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object w:dxaOrig="374" w:dyaOrig="489">
          <v:rect xmlns:o="urn:schemas-microsoft-com:office:office" xmlns:v="urn:schemas-microsoft-com:vml" id="rectole0000000000" style="width:18.700000pt;height:24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REPUBLIKA HRVATSKA - REPUBBLICA DI CROAZIA</w:t>
        <w:tab/>
        <w:tab/>
        <w:tab/>
        <w:tab/>
        <w:tab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object w:dxaOrig="339" w:dyaOrig="411">
          <v:rect xmlns:o="urn:schemas-microsoft-com:office:office" xmlns:v="urn:schemas-microsoft-com:vml" id="rectole0000000001" style="width:16.950000pt;height:20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ISTARSKA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ŽUPANIJA - REGIONE ISTRIANA</w:t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ab/>
        <w:tab/>
        <w:t xml:space="preserve">                      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GRAD BUJE - BUIE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CITTÀ DI BUJE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 BUIE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Povjerenstvo za provedbu natje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čaja za prodaju i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zakup  nekretnina u vlasni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štvu Grada Buja-Buie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Commissione per l'esecuzione dei bandi per la vendita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e l'affitto di immobili di proprietà della Città di Buje-Buie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KLASA/CLASSE:  944-05/26-01/7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URBROJ/NUM.PROT.: 2163-1-04/1-24-12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Buje/Buie,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15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rujn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settembre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2026.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Povjerenstvo za provedbu natje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čaja za prodaju i zakup  nekretnina u vlasništvu Grada Buja-Buie, u daljnjem tekstu: Povjerenstvo  u sastavu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ab/>
        <w:t xml:space="preserve">Elvis Glavičić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Sabri Abduli,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Ingrid Labinjan,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            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 svom radu Povjerenstvo podnosi slijede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ZAPISNIK O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ANALIZI I OCJENI PONUDA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 za osnivanje prava građenja na nekretninama u vlasništvu Grada Buja trajao je od  19.03.2026. do 20.06.2026. godine.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tab/>
        <w:t xml:space="preserve">Tekst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čaja objavljen je u integralnom tekstu na Oglasnoj ploči Grada Buja 19.03.2026.  godine u 8 sati, kada je objavljena i Obavijest  u Glasu Istre.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Natje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čaj je objavljen pod: KLASA: </w:t>
      </w: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944-01/26-01/7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, UR.BR.: </w:t>
      </w:r>
      <w:r>
        <w:rPr>
          <w:rFonts w:ascii="Times New Roman" w:hAnsi="Times New Roman" w:cs="Times New Roman" w:eastAsia="Times New Roman"/>
          <w:color w:val="000000"/>
          <w:spacing w:val="-3"/>
          <w:position w:val="0"/>
          <w:sz w:val="24"/>
          <w:shd w:fill="auto" w:val="clear"/>
        </w:rPr>
        <w:t xml:space="preserve">2163-2-01/1-26-1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.</w:t>
      </w:r>
    </w:p>
    <w:p>
      <w:pPr>
        <w:tabs>
          <w:tab w:val="left" w:pos="0" w:leader="none"/>
          <w:tab w:val="left" w:pos="709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Raspisan je natje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čaj za osnivanje prava građenja na nekretninama u vlasništvu Grada Buja: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</w:t>
      </w:r>
    </w:p>
    <w:tbl>
      <w:tblPr/>
      <w:tblGrid>
        <w:gridCol w:w="700"/>
        <w:gridCol w:w="2925"/>
        <w:gridCol w:w="1075"/>
        <w:gridCol w:w="2475"/>
        <w:gridCol w:w="2463"/>
      </w:tblGrid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R.br.</w:t>
            </w:r>
          </w:p>
        </w:tc>
        <w:tc>
          <w:tcPr>
            <w:tcW w:w="29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Oznaka nekretnine</w:t>
            </w:r>
          </w:p>
        </w:tc>
        <w:tc>
          <w:tcPr>
            <w:tcW w:w="10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Povr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šina</w:t>
            </w:r>
          </w:p>
        </w:tc>
        <w:tc>
          <w:tcPr>
            <w:tcW w:w="24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Mjese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čna naknada za pravo građenja</w:t>
            </w:r>
          </w:p>
        </w:tc>
        <w:tc>
          <w:tcPr>
            <w:tcW w:w="246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žišna vrijednost zemljišta u eurima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1230/4, k.o. Buje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719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124,83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74.900,00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686/4, k.o. Kaštel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496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121,50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72.900,00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686/26, k.o. Kaštel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496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121,50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72.900,00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686/27, k.o. Kaštel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496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133,67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80.200,00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686/28, k.o. Kaštel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496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133,67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80.200,00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85/8, k.o. Momjan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464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72,17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43.300,00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85/10, k.o. Momjan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464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80,17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48.100,00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461/1, k.o. Triban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353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77,67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46.600,00 EUR</w:t>
            </w:r>
          </w:p>
        </w:tc>
      </w:tr>
      <w:tr>
        <w:trPr>
          <w:trHeight w:val="1" w:hRule="atLeast"/>
          <w:jc w:val="left"/>
        </w:trPr>
        <w:tc>
          <w:tcPr>
            <w:tcW w:w="700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</w:t>
            </w:r>
          </w:p>
        </w:tc>
        <w:tc>
          <w:tcPr>
            <w:tcW w:w="2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č.br. 3370/2, k.o. Brdo</w:t>
            </w:r>
          </w:p>
        </w:tc>
        <w:tc>
          <w:tcPr>
            <w:tcW w:w="10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632 m2</w:t>
            </w:r>
          </w:p>
        </w:tc>
        <w:tc>
          <w:tcPr>
            <w:tcW w:w="247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136,83 EUR</w:t>
            </w:r>
          </w:p>
        </w:tc>
        <w:tc>
          <w:tcPr>
            <w:tcW w:w="246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82.100,00 EUR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Utvr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đeno je da je pristiglo 11 (jedanaest)  zatvorenih omotnica koje su pristigle pravodobno.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Pristigle su slijede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ponude: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</w:t>
      </w:r>
    </w:p>
    <w:tbl>
      <w:tblPr>
        <w:tblInd w:w="174" w:type="dxa"/>
      </w:tblPr>
      <w:tblGrid>
        <w:gridCol w:w="927"/>
        <w:gridCol w:w="2693"/>
        <w:gridCol w:w="3402"/>
        <w:gridCol w:w="2551"/>
      </w:tblGrid>
      <w:tr>
        <w:trPr>
          <w:trHeight w:val="765" w:hRule="auto"/>
          <w:jc w:val="left"/>
        </w:trPr>
        <w:tc>
          <w:tcPr>
            <w:tcW w:w="9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Redni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broj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Ponuditelj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Adresa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OIB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9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4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IVAN TUBAK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ULICA KA DVRCU 16, MOMJAN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57282936089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4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LUKA BIKI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RIBARSKA 17, VABRIGA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40955592402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4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IVANA RIBI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PALDIGIJA 137, KA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ŠTEL,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02046461340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5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LARA RE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ŠETAR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G. GARIBALDI 37,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83882691408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5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PETRA HRLI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RUDINE 4,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88854146143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5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ANA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ŠPOLJAR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TRIBAN 54A,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70108768013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6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BRANKA MARU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ŠIĆ BUDIIR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MARU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ŠIĆI 23,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72198652612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65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MATTEO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ŠTOKOVIĆ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ISTARSKA 37,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28023477476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6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ROBERT BI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ČANIĆ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GRAMSCI 21,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14119169054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7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KRE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ŠIMIR KABELKA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DORINA 46 C, KA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ŠTEL,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11979279719</w:t>
            </w:r>
          </w:p>
        </w:tc>
      </w:tr>
      <w:tr>
        <w:trPr>
          <w:trHeight w:val="528" w:hRule="auto"/>
          <w:jc w:val="left"/>
        </w:trPr>
        <w:tc>
          <w:tcPr>
            <w:tcW w:w="927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numPr>
                <w:ilvl w:val="0"/>
                <w:numId w:val="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3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ANTUN KOCH</w:t>
            </w:r>
          </w:p>
        </w:tc>
        <w:tc>
          <w:tcPr>
            <w:tcW w:w="3402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ŽINADA 76 B, KAŠTEL, BUJE</w:t>
            </w:r>
          </w:p>
        </w:tc>
        <w:tc>
          <w:tcPr>
            <w:tcW w:w="25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65413358555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Povjerenstvo utvr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đuje da je dana 8. lipnja 2026. godine zaprimljena izjava IVANA TUBAKA u kojoj navodi da odustaje od podnesene prijave na natječaj.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Povjerenstvo utvr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đuje da se pristigle ponude od Bičanić Roberta i Koch Antuna odbacuju.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ROBERT BIČANIĆ dostavio je nepotpunu ponudu.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ANTUN KOCH ne ispunjava uvjete Natječaja za osnivanje prava građenja, budući da je na dan objave Natječaja za osnivanje prava građenja imao navršenih 40 godina života.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Bodovna lista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>
        <w:tblInd w:w="50" w:type="dxa"/>
      </w:tblPr>
      <w:tblGrid>
        <w:gridCol w:w="786"/>
        <w:gridCol w:w="2454"/>
        <w:gridCol w:w="2809"/>
        <w:gridCol w:w="3427"/>
        <w:gridCol w:w="3489"/>
        <w:gridCol w:w="3072"/>
        <w:gridCol w:w="1280"/>
      </w:tblGrid>
      <w:tr>
        <w:trPr>
          <w:trHeight w:val="27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1. 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UKUPNO</w:t>
            </w:r>
          </w:p>
        </w:tc>
      </w:tr>
      <w:tr>
        <w:trPr>
          <w:trHeight w:val="27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Stupanj obrazovanja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Prebivalište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Broj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članova domaćinstva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Zaposlenje na podru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čju Grada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SSS - 10 bodova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5-15 god. 10 bodova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do tri 40 bodova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za svakog pojedina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čno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VŠS - 20 bodova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15-25 god. 20 bodova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do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četiri 50 bodova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 bodova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R.br.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Ponuditelj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VSS - 30 bodova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više od 25 god. 30 bodova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do pet ili više 70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Branka Maruši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 Budimir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Lara Rešetar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Krešimir Kabel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Ivana Ribi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Ana Špoljar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Luka Biki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Mateo Štokovi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80</w:t>
            </w:r>
          </w:p>
        </w:tc>
      </w:tr>
      <w:tr>
        <w:trPr>
          <w:trHeight w:val="256" w:hRule="auto"/>
          <w:jc w:val="left"/>
        </w:trPr>
        <w:tc>
          <w:tcPr>
            <w:tcW w:w="786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2454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Petra Hrli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ć</w:t>
            </w:r>
          </w:p>
        </w:tc>
        <w:tc>
          <w:tcPr>
            <w:tcW w:w="280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3427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3489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3072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2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30" w:type="dxa"/>
              <w:right w:w="3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Povjerenstvo  je zavr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šilo radom u 11,30 sati.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Povjerenstvo svojim potpisom potvr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đuje ovaj Zapisnik.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Članovi Povjerenstva: </w:t>
        <w:tab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 _____________________                                    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Elvis Glavi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čić)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 _____________________                                    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(Sabri Abduli)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 _____________________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(Ingrid Labinjan)</w:t>
        <w:tab/>
        <w:tab/>
        <w:tab/>
        <w:t xml:space="preserve">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num w:numId="42">
    <w:abstractNumId w:val="60"/>
  </w:num>
  <w:num w:numId="46">
    <w:abstractNumId w:val="54"/>
  </w:num>
  <w:num w:numId="49">
    <w:abstractNumId w:val="48"/>
  </w:num>
  <w:num w:numId="52">
    <w:abstractNumId w:val="42"/>
  </w:num>
  <w:num w:numId="56">
    <w:abstractNumId w:val="36"/>
  </w:num>
  <w:num w:numId="59">
    <w:abstractNumId w:val="30"/>
  </w:num>
  <w:num w:numId="62">
    <w:abstractNumId w:val="24"/>
  </w:num>
  <w:num w:numId="65">
    <w:abstractNumId w:val="18"/>
  </w:num>
  <w:num w:numId="69">
    <w:abstractNumId w:val="12"/>
  </w:num>
  <w:num w:numId="72">
    <w:abstractNumId w:val="6"/>
  </w:num>
  <w:num w:numId="7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