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Na temelju članka 35. stavka 2. Zakona o vlasništvu i drugim stvarnim pravima („Narodne novine“, br. 91/96, 68/98, 137/99, 22/00, 73/00, 114/01, 79/06, 141/06, 146/08, 38/09, 153/09, 143/12, 152/14, 81/15 i 94/17), članka 6. Odluke o uvjetima, načinu i postupku raspolaganja nekretninama u vlasništvu Grada Buja („Službene novine Grada Buja“, broj 15/25)  te članka 50. Statuta Grada Buja („Službene novine Grada Buja“, broj 11/09, 05/11, 11/11, 03/13, 05/18, 19/18 – pročišćeni tekst, 04/21 i 08/25), Gradsko vijeće Grada Buja na sjednici održanoj dana 29.09.2026. godine raspisuje:</w:t>
      </w:r>
    </w:p>
    <w:p>
      <w:pPr>
        <w:pStyle w:val="Normal"/>
        <w:bidi w:val="0"/>
        <w:spacing w:lineRule="exact" w:line="276" w:before="0" w:after="40"/>
        <w:ind w:left="0" w:right="0" w:hanging="0"/>
        <w:jc w:val="center"/>
        <w:rPr>
          <w:rFonts w:ascii="Liberation Serif" w:hAnsi="Liberation Serif" w:eastAsia="Liberation Serif" w:cs="Liberation Serif"/>
          <w:color w:val="auto"/>
          <w:spacing w:val="0"/>
          <w:sz w:val="22"/>
        </w:rPr>
      </w:pPr>
      <w:r>
        <w:rPr>
          <w:rFonts w:eastAsia="Liberation Serif" w:cs="Liberation Serif" w:ascii="Liberation Serif" w:hAnsi="Liberation Serif"/>
          <w:b/>
          <w:color w:val="auto"/>
          <w:spacing w:val="0"/>
          <w:sz w:val="22"/>
          <w:shd w:fill="auto" w:val="clear"/>
        </w:rPr>
        <w:t>N A T J E Č A J</w:t>
      </w:r>
    </w:p>
    <w:p>
      <w:pPr>
        <w:pStyle w:val="Normal"/>
        <w:bidi w:val="0"/>
        <w:spacing w:lineRule="exact" w:line="276" w:before="0" w:after="240"/>
        <w:ind w:left="0" w:right="0" w:hanging="0"/>
        <w:jc w:val="center"/>
        <w:rPr>
          <w:rFonts w:ascii="Liberation Serif" w:hAnsi="Liberation Serif" w:eastAsia="Liberation Serif" w:cs="Liberation Serif"/>
          <w:color w:val="auto"/>
          <w:spacing w:val="0"/>
          <w:sz w:val="22"/>
        </w:rPr>
      </w:pPr>
      <w:r>
        <w:rPr>
          <w:rFonts w:eastAsia="Liberation Serif" w:cs="Liberation Serif" w:ascii="Liberation Serif" w:hAnsi="Liberation Serif"/>
          <w:b/>
          <w:color w:val="auto"/>
          <w:spacing w:val="0"/>
          <w:sz w:val="22"/>
          <w:shd w:fill="auto" w:val="clear"/>
        </w:rPr>
        <w:t>ZA PRODAJU NEKRETNINA U VLASNIŠTVU GRADA BUJA</w:t>
      </w:r>
    </w:p>
    <w:p>
      <w:pPr>
        <w:pStyle w:val="Normal"/>
        <w:bidi w:val="0"/>
        <w:spacing w:lineRule="exact" w:line="276" w:before="0" w:after="120"/>
        <w:ind w:left="0" w:right="0" w:hanging="0"/>
        <w:jc w:val="center"/>
        <w:rPr>
          <w:rFonts w:ascii="Liberation Serif" w:hAnsi="Liberation Serif" w:eastAsia="Liberation Serif" w:cs="Liberation Serif"/>
          <w:color w:val="auto"/>
          <w:spacing w:val="0"/>
          <w:sz w:val="22"/>
        </w:rPr>
      </w:pPr>
      <w:r>
        <w:rPr>
          <w:rFonts w:eastAsia="Liberation Serif" w:cs="Liberation Serif" w:ascii="Liberation Serif" w:hAnsi="Liberation Serif"/>
          <w:b/>
          <w:color w:val="auto"/>
          <w:spacing w:val="0"/>
          <w:sz w:val="22"/>
          <w:shd w:fill="auto" w:val="clear"/>
        </w:rPr>
        <w:t>I.</w:t>
      </w:r>
    </w:p>
    <w:p>
      <w:pPr>
        <w:pStyle w:val="Normal"/>
        <w:bidi w:val="0"/>
        <w:spacing w:lineRule="exact" w:line="276" w:before="0" w:after="200"/>
        <w:ind w:left="0" w:right="0" w:hanging="0"/>
        <w:jc w:val="left"/>
        <w:rPr>
          <w:rFonts w:ascii="Times New Roman" w:hAnsi="Times New Roman" w:eastAsia="Times New Roman" w:cs="Times New Roman"/>
          <w:color w:val="auto"/>
          <w:spacing w:val="0"/>
          <w:sz w:val="22"/>
        </w:rPr>
      </w:pPr>
      <w:r>
        <w:rPr>
          <w:rFonts w:eastAsia="Liberation Serif" w:cs="Liberation Serif" w:ascii="Liberation Serif" w:hAnsi="Liberation Serif"/>
          <w:color w:val="auto"/>
          <w:spacing w:val="0"/>
          <w:sz w:val="22"/>
          <w:shd w:fill="auto" w:val="clear"/>
        </w:rPr>
        <w:tab/>
      </w:r>
      <w:r>
        <w:rPr>
          <w:rFonts w:eastAsia="Times New Roman" w:cs="Times New Roman" w:ascii="Times New Roman" w:hAnsi="Times New Roman"/>
          <w:color w:val="auto"/>
          <w:spacing w:val="0"/>
          <w:sz w:val="22"/>
          <w:shd w:fill="auto" w:val="clear"/>
        </w:rPr>
        <w:t xml:space="preserve">Raspisuje se javni natječaj za prodaju nekretnina na području Grada Buja, putem prikupljanja pisanih ponuda, radi daljnje gradnje, formiranja okućnica ili radi stjecanja samo vlasništva na nekretninama, sukladno  namjeni  određenoj  prostorno planskim  dokumentima, na  sljedećim  lokacijama:          </w:t>
      </w:r>
      <w:r>
        <w:rPr>
          <w:rFonts w:eastAsia="Liberation Serif" w:cs="Liberation Serif" w:ascii="Liberation Serif" w:hAnsi="Liberation Serif"/>
          <w:color w:val="auto"/>
          <w:spacing w:val="0"/>
          <w:sz w:val="22"/>
          <w:shd w:fill="auto" w:val="clear"/>
        </w:rPr>
        <w:t xml:space="preserve">                      </w:t>
      </w:r>
    </w:p>
    <w:p>
      <w:pPr>
        <w:pStyle w:val="Normal"/>
        <w:bidi w:val="0"/>
        <w:spacing w:lineRule="exact" w:line="276" w:before="0" w:after="200"/>
        <w:ind w:left="0" w:right="0" w:hanging="0"/>
        <w:jc w:val="left"/>
        <w:rPr/>
      </w:pPr>
      <w:r>
        <w:rPr>
          <w:rFonts w:eastAsia="Liberation Serif" w:cs="Liberation Serif" w:ascii="Liberation Serif" w:hAnsi="Liberation Serif"/>
          <w:color w:val="auto"/>
          <w:spacing w:val="0"/>
          <w:sz w:val="22"/>
          <w:shd w:fill="auto" w:val="clear"/>
        </w:rPr>
        <w:t xml:space="preserve">                 </w:t>
      </w:r>
    </w:p>
    <w:tbl>
      <w:tblPr>
        <w:tblW w:w="9975" w:type="dxa"/>
        <w:jc w:val="left"/>
        <w:tblInd w:w="110" w:type="dxa"/>
        <w:tblCellMar>
          <w:top w:w="0" w:type="dxa"/>
          <w:left w:w="108" w:type="dxa"/>
          <w:bottom w:w="0" w:type="dxa"/>
          <w:right w:w="108" w:type="dxa"/>
        </w:tblCellMar>
      </w:tblPr>
      <w:tblGrid>
        <w:gridCol w:w="675"/>
        <w:gridCol w:w="1759"/>
        <w:gridCol w:w="970"/>
        <w:gridCol w:w="1185"/>
        <w:gridCol w:w="1425"/>
        <w:gridCol w:w="1531"/>
        <w:gridCol w:w="1185"/>
        <w:gridCol w:w="1243"/>
      </w:tblGrid>
      <w:tr>
        <w:trPr>
          <w:trHeight w:val="1" w:hRule="atLeast"/>
        </w:trPr>
        <w:tc>
          <w:tcPr>
            <w:tcW w:w="67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b/>
                <w:color w:val="auto"/>
                <w:spacing w:val="0"/>
                <w:sz w:val="20"/>
                <w:shd w:fill="auto" w:val="clear"/>
              </w:rPr>
              <w:t>Red. br.</w:t>
            </w:r>
          </w:p>
        </w:tc>
        <w:tc>
          <w:tcPr>
            <w:tcW w:w="1759"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b/>
                <w:color w:val="auto"/>
                <w:spacing w:val="0"/>
                <w:sz w:val="20"/>
                <w:shd w:fill="auto" w:val="clear"/>
              </w:rPr>
              <w:t>Katastarska čestica</w:t>
            </w:r>
          </w:p>
        </w:tc>
        <w:tc>
          <w:tcPr>
            <w:tcW w:w="970"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b/>
                <w:color w:val="auto"/>
                <w:spacing w:val="0"/>
                <w:sz w:val="20"/>
                <w:shd w:fill="auto" w:val="clear"/>
              </w:rPr>
              <w:t>K.O.</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b/>
                <w:color w:val="auto"/>
                <w:spacing w:val="0"/>
                <w:sz w:val="20"/>
                <w:shd w:fill="auto" w:val="clear"/>
              </w:rPr>
              <w:t>Mjesto nekretnine</w:t>
            </w:r>
          </w:p>
        </w:tc>
        <w:tc>
          <w:tcPr>
            <w:tcW w:w="142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b/>
                <w:color w:val="auto"/>
                <w:spacing w:val="0"/>
                <w:sz w:val="20"/>
                <w:shd w:fill="auto" w:val="clear"/>
              </w:rPr>
              <w:t>Površina</w:t>
            </w:r>
          </w:p>
        </w:tc>
        <w:tc>
          <w:tcPr>
            <w:tcW w:w="1531"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b/>
                <w:color w:val="auto"/>
                <w:spacing w:val="0"/>
                <w:sz w:val="20"/>
                <w:shd w:fill="auto" w:val="clear"/>
              </w:rPr>
              <w:t>Opis</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b/>
                <w:color w:val="auto"/>
                <w:spacing w:val="0"/>
                <w:sz w:val="20"/>
                <w:shd w:fill="auto" w:val="clear"/>
              </w:rPr>
              <w:t>Početna cijena (€)</w:t>
            </w:r>
          </w:p>
        </w:tc>
        <w:tc>
          <w:tcPr>
            <w:tcW w:w="1243"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b/>
                <w:color w:val="auto"/>
                <w:spacing w:val="0"/>
                <w:sz w:val="20"/>
                <w:shd w:fill="auto" w:val="clear"/>
              </w:rPr>
              <w:t>Jamčevina (€)</w:t>
            </w:r>
          </w:p>
        </w:tc>
      </w:tr>
      <w:tr>
        <w:trPr>
          <w:trHeight w:val="1" w:hRule="atLeast"/>
        </w:trPr>
        <w:tc>
          <w:tcPr>
            <w:tcW w:w="67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1.</w:t>
            </w:r>
          </w:p>
        </w:tc>
        <w:tc>
          <w:tcPr>
            <w:tcW w:w="1759"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rFonts w:ascii="Liberation Serif" w:hAnsi="Liberation Serif" w:eastAsia="Liberation Serif" w:cs="Liberation Serif"/>
                <w:color w:val="auto"/>
                <w:spacing w:val="0"/>
                <w:sz w:val="20"/>
              </w:rPr>
            </w:pPr>
            <w:r>
              <w:rPr>
                <w:rFonts w:eastAsia="Liberation Serif" w:cs="Liberation Serif" w:ascii="Liberation Serif" w:hAnsi="Liberation Serif"/>
                <w:color w:val="auto"/>
                <w:spacing w:val="0"/>
                <w:sz w:val="20"/>
                <w:shd w:fill="auto" w:val="clear"/>
              </w:rPr>
              <w:t>247 ZGR.</w:t>
            </w:r>
          </w:p>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 xml:space="preserve">             </w:t>
            </w:r>
          </w:p>
        </w:tc>
        <w:tc>
          <w:tcPr>
            <w:tcW w:w="970"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Buje</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Buje</w:t>
            </w:r>
          </w:p>
        </w:tc>
        <w:tc>
          <w:tcPr>
            <w:tcW w:w="142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Površina zemljišta: 14 m² Površina prostorije: 18m2</w:t>
            </w:r>
          </w:p>
        </w:tc>
        <w:tc>
          <w:tcPr>
            <w:tcW w:w="1531"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both"/>
              <w:rPr>
                <w:color w:val="auto"/>
                <w:spacing w:val="0"/>
              </w:rPr>
            </w:pPr>
            <w:r>
              <w:rPr>
                <w:rFonts w:eastAsia="Liberation Serif" w:cs="Liberation Serif" w:ascii="Liberation Serif" w:hAnsi="Liberation Serif"/>
                <w:color w:val="auto"/>
                <w:spacing w:val="0"/>
                <w:sz w:val="20"/>
                <w:shd w:fill="auto" w:val="clear"/>
              </w:rPr>
              <w:t>Zemljište unutar granica građevinskog područja</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4.390,00</w:t>
            </w:r>
          </w:p>
        </w:tc>
        <w:tc>
          <w:tcPr>
            <w:tcW w:w="1243"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439,00</w:t>
            </w:r>
          </w:p>
        </w:tc>
      </w:tr>
      <w:tr>
        <w:trPr>
          <w:trHeight w:val="1" w:hRule="atLeast"/>
        </w:trPr>
        <w:tc>
          <w:tcPr>
            <w:tcW w:w="67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2.</w:t>
            </w:r>
          </w:p>
        </w:tc>
        <w:tc>
          <w:tcPr>
            <w:tcW w:w="1759"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248 ZGR.</w:t>
            </w:r>
          </w:p>
        </w:tc>
        <w:tc>
          <w:tcPr>
            <w:tcW w:w="970"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Buje</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Buje</w:t>
            </w:r>
          </w:p>
        </w:tc>
        <w:tc>
          <w:tcPr>
            <w:tcW w:w="142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Površina zemljišta: 14 m² Površina prostorije: 22,64 m²</w:t>
            </w:r>
          </w:p>
        </w:tc>
        <w:tc>
          <w:tcPr>
            <w:tcW w:w="1531"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Zemljište unutar granica građevinskog područja</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5.850,00</w:t>
            </w:r>
          </w:p>
        </w:tc>
        <w:tc>
          <w:tcPr>
            <w:tcW w:w="1243"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585,00</w:t>
            </w:r>
          </w:p>
        </w:tc>
      </w:tr>
      <w:tr>
        <w:trPr>
          <w:trHeight w:val="1" w:hRule="atLeast"/>
        </w:trPr>
        <w:tc>
          <w:tcPr>
            <w:tcW w:w="67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3.</w:t>
            </w:r>
          </w:p>
        </w:tc>
        <w:tc>
          <w:tcPr>
            <w:tcW w:w="1759"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249 ZGR.</w:t>
            </w:r>
          </w:p>
        </w:tc>
        <w:tc>
          <w:tcPr>
            <w:tcW w:w="970"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Buje</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Buje</w:t>
            </w:r>
          </w:p>
        </w:tc>
        <w:tc>
          <w:tcPr>
            <w:tcW w:w="142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25</w:t>
            </w:r>
          </w:p>
        </w:tc>
        <w:tc>
          <w:tcPr>
            <w:tcW w:w="1531"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Zemljište unutar granica građevinskog područja</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2.750,00</w:t>
            </w:r>
          </w:p>
        </w:tc>
        <w:tc>
          <w:tcPr>
            <w:tcW w:w="1243"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275,00</w:t>
            </w:r>
          </w:p>
        </w:tc>
      </w:tr>
      <w:tr>
        <w:trPr>
          <w:trHeight w:val="1" w:hRule="atLeast"/>
        </w:trPr>
        <w:tc>
          <w:tcPr>
            <w:tcW w:w="67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4.</w:t>
            </w:r>
          </w:p>
        </w:tc>
        <w:tc>
          <w:tcPr>
            <w:tcW w:w="1759"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203/1</w:t>
            </w:r>
          </w:p>
        </w:tc>
        <w:tc>
          <w:tcPr>
            <w:tcW w:w="970"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Kaštel</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Špecijarija</w:t>
            </w:r>
          </w:p>
        </w:tc>
        <w:tc>
          <w:tcPr>
            <w:tcW w:w="142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660</w:t>
            </w:r>
          </w:p>
        </w:tc>
        <w:tc>
          <w:tcPr>
            <w:tcW w:w="1531"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Zemljište unutar granica građevinskog područja</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74.440,00</w:t>
            </w:r>
          </w:p>
        </w:tc>
        <w:tc>
          <w:tcPr>
            <w:tcW w:w="1243"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7.444,00</w:t>
            </w:r>
          </w:p>
        </w:tc>
      </w:tr>
      <w:tr>
        <w:trPr>
          <w:trHeight w:val="1" w:hRule="atLeast"/>
        </w:trPr>
        <w:tc>
          <w:tcPr>
            <w:tcW w:w="67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5.</w:t>
            </w:r>
          </w:p>
        </w:tc>
        <w:tc>
          <w:tcPr>
            <w:tcW w:w="1759"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334/28</w:t>
            </w:r>
          </w:p>
        </w:tc>
        <w:tc>
          <w:tcPr>
            <w:tcW w:w="970"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Kaštel</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Vinjarija</w:t>
            </w:r>
          </w:p>
        </w:tc>
        <w:tc>
          <w:tcPr>
            <w:tcW w:w="142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140</w:t>
            </w:r>
          </w:p>
        </w:tc>
        <w:tc>
          <w:tcPr>
            <w:tcW w:w="1531"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Zemljište unutar granica građevinskog područja</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11.410,00</w:t>
            </w:r>
          </w:p>
        </w:tc>
        <w:tc>
          <w:tcPr>
            <w:tcW w:w="1243"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1.141,00</w:t>
            </w:r>
          </w:p>
        </w:tc>
      </w:tr>
      <w:tr>
        <w:trPr>
          <w:trHeight w:val="1" w:hRule="atLeast"/>
        </w:trPr>
        <w:tc>
          <w:tcPr>
            <w:tcW w:w="67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6.</w:t>
            </w:r>
          </w:p>
        </w:tc>
        <w:tc>
          <w:tcPr>
            <w:tcW w:w="1759"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773/2</w:t>
            </w:r>
          </w:p>
        </w:tc>
        <w:tc>
          <w:tcPr>
            <w:tcW w:w="970"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Kaštel</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Montrin</w:t>
            </w:r>
          </w:p>
        </w:tc>
        <w:tc>
          <w:tcPr>
            <w:tcW w:w="142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151</w:t>
            </w:r>
          </w:p>
        </w:tc>
        <w:tc>
          <w:tcPr>
            <w:tcW w:w="1531"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Zemljište unutar granica građevinskog područja</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14.580,00</w:t>
            </w:r>
          </w:p>
        </w:tc>
        <w:tc>
          <w:tcPr>
            <w:tcW w:w="1243"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1.458,00</w:t>
            </w:r>
          </w:p>
        </w:tc>
      </w:tr>
      <w:tr>
        <w:trPr>
          <w:trHeight w:val="1" w:hRule="atLeast"/>
        </w:trPr>
        <w:tc>
          <w:tcPr>
            <w:tcW w:w="67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pPr>
            <w:r>
              <w:rPr>
                <w:rFonts w:eastAsia="Liberation Serif" w:cs="Liberation Serif" w:ascii="Liberation Serif" w:hAnsi="Liberation Serif"/>
                <w:color w:val="auto"/>
                <w:spacing w:val="0"/>
                <w:sz w:val="20"/>
                <w:shd w:fill="auto" w:val="clear"/>
              </w:rPr>
              <w:t>7.</w:t>
            </w:r>
          </w:p>
        </w:tc>
        <w:tc>
          <w:tcPr>
            <w:tcW w:w="1759"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1079</w:t>
            </w:r>
          </w:p>
        </w:tc>
        <w:tc>
          <w:tcPr>
            <w:tcW w:w="970"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Krasica</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Glavači</w:t>
            </w:r>
          </w:p>
        </w:tc>
        <w:tc>
          <w:tcPr>
            <w:tcW w:w="142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888</w:t>
            </w:r>
          </w:p>
        </w:tc>
        <w:tc>
          <w:tcPr>
            <w:tcW w:w="1531"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Zemljište unutar granica građevinskog područja</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72.200,00</w:t>
            </w:r>
          </w:p>
        </w:tc>
        <w:tc>
          <w:tcPr>
            <w:tcW w:w="1243"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7.220,00</w:t>
            </w:r>
          </w:p>
        </w:tc>
      </w:tr>
      <w:tr>
        <w:trPr>
          <w:trHeight w:val="1" w:hRule="atLeast"/>
        </w:trPr>
        <w:tc>
          <w:tcPr>
            <w:tcW w:w="67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rFonts w:ascii="Liberation Serif" w:hAnsi="Liberation Serif" w:eastAsia="Liberation Serif" w:cs="Liberation Serif"/>
                <w:color w:val="auto"/>
                <w:spacing w:val="0"/>
                <w:sz w:val="20"/>
              </w:rPr>
            </w:pPr>
            <w:r>
              <w:rPr>
                <w:rFonts w:eastAsia="Liberation Serif" w:cs="Liberation Serif" w:ascii="Liberation Serif" w:hAnsi="Liberation Serif"/>
                <w:color w:val="auto"/>
                <w:spacing w:val="0"/>
                <w:sz w:val="20"/>
                <w:shd w:fill="auto" w:val="clear"/>
              </w:rPr>
            </w:r>
          </w:p>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8.</w:t>
            </w:r>
          </w:p>
        </w:tc>
        <w:tc>
          <w:tcPr>
            <w:tcW w:w="1759"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rFonts w:ascii="Liberation Serif" w:hAnsi="Liberation Serif" w:eastAsia="Liberation Serif" w:cs="Liberation Serif"/>
                <w:color w:val="auto"/>
                <w:spacing w:val="0"/>
                <w:sz w:val="20"/>
              </w:rPr>
            </w:pPr>
            <w:r>
              <w:rPr>
                <w:rFonts w:eastAsia="Liberation Serif" w:cs="Liberation Serif" w:ascii="Liberation Serif" w:hAnsi="Liberation Serif"/>
                <w:color w:val="auto"/>
                <w:spacing w:val="0"/>
                <w:sz w:val="20"/>
                <w:shd w:fill="auto" w:val="clear"/>
              </w:rPr>
            </w:r>
          </w:p>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1175</w:t>
            </w:r>
          </w:p>
        </w:tc>
        <w:tc>
          <w:tcPr>
            <w:tcW w:w="970"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rFonts w:ascii="Liberation Serif" w:hAnsi="Liberation Serif" w:eastAsia="Liberation Serif" w:cs="Liberation Serif"/>
                <w:color w:val="auto"/>
                <w:spacing w:val="0"/>
                <w:sz w:val="20"/>
              </w:rPr>
            </w:pPr>
            <w:r>
              <w:rPr>
                <w:rFonts w:eastAsia="Liberation Serif" w:cs="Liberation Serif" w:ascii="Liberation Serif" w:hAnsi="Liberation Serif"/>
                <w:color w:val="auto"/>
                <w:spacing w:val="0"/>
                <w:sz w:val="20"/>
                <w:shd w:fill="auto" w:val="clear"/>
              </w:rPr>
            </w:r>
          </w:p>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Krasica</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rFonts w:ascii="Liberation Serif" w:hAnsi="Liberation Serif" w:eastAsia="Liberation Serif" w:cs="Liberation Serif"/>
                <w:color w:val="auto"/>
                <w:spacing w:val="0"/>
                <w:sz w:val="20"/>
              </w:rPr>
            </w:pPr>
            <w:r>
              <w:rPr>
                <w:rFonts w:eastAsia="Liberation Serif" w:cs="Liberation Serif" w:ascii="Liberation Serif" w:hAnsi="Liberation Serif"/>
                <w:color w:val="auto"/>
                <w:spacing w:val="0"/>
                <w:sz w:val="20"/>
                <w:shd w:fill="auto" w:val="clear"/>
              </w:rPr>
            </w:r>
          </w:p>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Glavači</w:t>
            </w:r>
          </w:p>
        </w:tc>
        <w:tc>
          <w:tcPr>
            <w:tcW w:w="142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rFonts w:ascii="Liberation Serif" w:hAnsi="Liberation Serif" w:eastAsia="Liberation Serif" w:cs="Liberation Serif"/>
                <w:color w:val="auto"/>
                <w:spacing w:val="0"/>
                <w:sz w:val="20"/>
              </w:rPr>
            </w:pPr>
            <w:r>
              <w:rPr>
                <w:rFonts w:eastAsia="Liberation Serif" w:cs="Liberation Serif" w:ascii="Liberation Serif" w:hAnsi="Liberation Serif"/>
                <w:color w:val="auto"/>
                <w:spacing w:val="0"/>
                <w:sz w:val="20"/>
                <w:shd w:fill="auto" w:val="clear"/>
              </w:rPr>
            </w:r>
          </w:p>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665 u 2/4 dijela</w:t>
            </w:r>
          </w:p>
        </w:tc>
        <w:tc>
          <w:tcPr>
            <w:tcW w:w="1531"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rFonts w:ascii="Liberation Serif" w:hAnsi="Liberation Serif" w:eastAsia="Liberation Serif" w:cs="Liberation Serif"/>
                <w:color w:val="auto"/>
                <w:spacing w:val="0"/>
                <w:sz w:val="20"/>
              </w:rPr>
            </w:pPr>
            <w:r>
              <w:rPr>
                <w:rFonts w:eastAsia="Liberation Serif" w:cs="Liberation Serif" w:ascii="Liberation Serif" w:hAnsi="Liberation Serif"/>
                <w:color w:val="auto"/>
                <w:spacing w:val="0"/>
                <w:sz w:val="20"/>
                <w:shd w:fill="auto" w:val="clear"/>
              </w:rPr>
            </w:r>
          </w:p>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Zemljište unutar granica građevinskog područja</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rFonts w:ascii="Liberation Serif" w:hAnsi="Liberation Serif" w:eastAsia="Liberation Serif" w:cs="Liberation Serif"/>
                <w:color w:val="auto"/>
                <w:spacing w:val="0"/>
                <w:sz w:val="20"/>
              </w:rPr>
            </w:pPr>
            <w:r>
              <w:rPr>
                <w:rFonts w:eastAsia="Liberation Serif" w:cs="Liberation Serif" w:ascii="Liberation Serif" w:hAnsi="Liberation Serif"/>
                <w:color w:val="auto"/>
                <w:spacing w:val="0"/>
                <w:sz w:val="20"/>
                <w:shd w:fill="auto" w:val="clear"/>
              </w:rPr>
            </w:r>
          </w:p>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29.800,00</w:t>
            </w:r>
          </w:p>
        </w:tc>
        <w:tc>
          <w:tcPr>
            <w:tcW w:w="1243"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rFonts w:ascii="Liberation Serif" w:hAnsi="Liberation Serif" w:eastAsia="Liberation Serif" w:cs="Liberation Serif"/>
                <w:color w:val="auto"/>
                <w:spacing w:val="0"/>
                <w:sz w:val="20"/>
              </w:rPr>
            </w:pPr>
            <w:r>
              <w:rPr>
                <w:rFonts w:eastAsia="Liberation Serif" w:cs="Liberation Serif" w:ascii="Liberation Serif" w:hAnsi="Liberation Serif"/>
                <w:color w:val="auto"/>
                <w:spacing w:val="0"/>
                <w:sz w:val="20"/>
                <w:shd w:fill="auto" w:val="clear"/>
              </w:rPr>
            </w:r>
          </w:p>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2.980,00</w:t>
            </w:r>
          </w:p>
        </w:tc>
      </w:tr>
      <w:tr>
        <w:trPr>
          <w:trHeight w:val="1" w:hRule="atLeast"/>
        </w:trPr>
        <w:tc>
          <w:tcPr>
            <w:tcW w:w="67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9.</w:t>
            </w:r>
          </w:p>
        </w:tc>
        <w:tc>
          <w:tcPr>
            <w:tcW w:w="1759"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1163</w:t>
            </w:r>
          </w:p>
        </w:tc>
        <w:tc>
          <w:tcPr>
            <w:tcW w:w="970"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Krasica</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Glavači</w:t>
            </w:r>
          </w:p>
        </w:tc>
        <w:tc>
          <w:tcPr>
            <w:tcW w:w="142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338 u 1/3 dijela</w:t>
            </w:r>
          </w:p>
        </w:tc>
        <w:tc>
          <w:tcPr>
            <w:tcW w:w="1531"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Zemljište unutar granica građevinskog područja</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11.400,00</w:t>
            </w:r>
          </w:p>
        </w:tc>
        <w:tc>
          <w:tcPr>
            <w:tcW w:w="1243"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1.140,00</w:t>
            </w:r>
          </w:p>
        </w:tc>
      </w:tr>
      <w:tr>
        <w:trPr>
          <w:trHeight w:val="1" w:hRule="atLeast"/>
        </w:trPr>
        <w:tc>
          <w:tcPr>
            <w:tcW w:w="67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10.</w:t>
            </w:r>
          </w:p>
        </w:tc>
        <w:tc>
          <w:tcPr>
            <w:tcW w:w="1759"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1161/1</w:t>
            </w:r>
          </w:p>
        </w:tc>
        <w:tc>
          <w:tcPr>
            <w:tcW w:w="970"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Krasica</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Glavači</w:t>
            </w:r>
          </w:p>
        </w:tc>
        <w:tc>
          <w:tcPr>
            <w:tcW w:w="142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111 m² u 26/30 dijela</w:t>
            </w:r>
          </w:p>
        </w:tc>
        <w:tc>
          <w:tcPr>
            <w:tcW w:w="1531"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Zemljište unutar granica građevinskog područja</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7.500,00</w:t>
            </w:r>
          </w:p>
        </w:tc>
        <w:tc>
          <w:tcPr>
            <w:tcW w:w="1243"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750,00</w:t>
            </w:r>
          </w:p>
        </w:tc>
      </w:tr>
      <w:tr>
        <w:trPr>
          <w:trHeight w:val="1" w:hRule="atLeast"/>
        </w:trPr>
        <w:tc>
          <w:tcPr>
            <w:tcW w:w="67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11.</w:t>
            </w:r>
          </w:p>
        </w:tc>
        <w:tc>
          <w:tcPr>
            <w:tcW w:w="1759"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1162/2</w:t>
            </w:r>
          </w:p>
        </w:tc>
        <w:tc>
          <w:tcPr>
            <w:tcW w:w="970"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Krasica</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Glavači</w:t>
            </w:r>
          </w:p>
        </w:tc>
        <w:tc>
          <w:tcPr>
            <w:tcW w:w="142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11</w:t>
            </w:r>
          </w:p>
        </w:tc>
        <w:tc>
          <w:tcPr>
            <w:tcW w:w="1531"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Zemljište izvan granica građevinskog područja</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860,00</w:t>
            </w:r>
          </w:p>
        </w:tc>
        <w:tc>
          <w:tcPr>
            <w:tcW w:w="1243"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86,00</w:t>
            </w:r>
          </w:p>
        </w:tc>
      </w:tr>
      <w:tr>
        <w:trPr>
          <w:trHeight w:val="1" w:hRule="atLeast"/>
        </w:trPr>
        <w:tc>
          <w:tcPr>
            <w:tcW w:w="67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12.</w:t>
            </w:r>
          </w:p>
        </w:tc>
        <w:tc>
          <w:tcPr>
            <w:tcW w:w="1759"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38</w:t>
            </w:r>
          </w:p>
        </w:tc>
        <w:tc>
          <w:tcPr>
            <w:tcW w:w="970"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Momjan</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Momjan</w:t>
            </w:r>
          </w:p>
        </w:tc>
        <w:tc>
          <w:tcPr>
            <w:tcW w:w="142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139</w:t>
            </w:r>
          </w:p>
        </w:tc>
        <w:tc>
          <w:tcPr>
            <w:tcW w:w="1531"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Zemljište izvan granica građevinskog područja</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13.500,00</w:t>
            </w:r>
          </w:p>
        </w:tc>
        <w:tc>
          <w:tcPr>
            <w:tcW w:w="1243"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1.350,00</w:t>
            </w:r>
          </w:p>
        </w:tc>
      </w:tr>
      <w:tr>
        <w:trPr>
          <w:trHeight w:val="1" w:hRule="atLeast"/>
        </w:trPr>
        <w:tc>
          <w:tcPr>
            <w:tcW w:w="67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13.</w:t>
            </w:r>
          </w:p>
        </w:tc>
        <w:tc>
          <w:tcPr>
            <w:tcW w:w="1759"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20/2 zgr.</w:t>
            </w:r>
          </w:p>
        </w:tc>
        <w:tc>
          <w:tcPr>
            <w:tcW w:w="970"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Triban</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Triban</w:t>
            </w:r>
          </w:p>
        </w:tc>
        <w:tc>
          <w:tcPr>
            <w:tcW w:w="142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rFonts w:ascii="Liberation Serif" w:hAnsi="Liberation Serif" w:eastAsia="Liberation Serif" w:cs="Liberation Serif"/>
                <w:color w:val="auto"/>
                <w:spacing w:val="0"/>
                <w:sz w:val="20"/>
              </w:rPr>
            </w:pPr>
            <w:r>
              <w:rPr>
                <w:rFonts w:eastAsia="Liberation Serif" w:cs="Liberation Serif" w:ascii="Liberation Serif" w:hAnsi="Liberation Serif"/>
                <w:color w:val="auto"/>
                <w:spacing w:val="0"/>
                <w:sz w:val="20"/>
                <w:shd w:fill="auto" w:val="clear"/>
              </w:rPr>
              <w:t>58</w:t>
            </w:r>
          </w:p>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 xml:space="preserve">            </w:t>
            </w:r>
          </w:p>
        </w:tc>
        <w:tc>
          <w:tcPr>
            <w:tcW w:w="1531"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Zemljište izvan granica građevinskog područja</w:t>
            </w:r>
          </w:p>
        </w:tc>
        <w:tc>
          <w:tcPr>
            <w:tcW w:w="1185"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5.770,00</w:t>
            </w:r>
          </w:p>
        </w:tc>
        <w:tc>
          <w:tcPr>
            <w:tcW w:w="1243"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bidi w:val="0"/>
              <w:spacing w:lineRule="exact" w:line="240" w:before="0" w:after="0"/>
              <w:ind w:left="0" w:right="0" w:hanging="0"/>
              <w:jc w:val="left"/>
              <w:rPr>
                <w:color w:val="auto"/>
                <w:spacing w:val="0"/>
              </w:rPr>
            </w:pPr>
            <w:r>
              <w:rPr>
                <w:rFonts w:eastAsia="Liberation Serif" w:cs="Liberation Serif" w:ascii="Liberation Serif" w:hAnsi="Liberation Serif"/>
                <w:color w:val="auto"/>
                <w:spacing w:val="0"/>
                <w:sz w:val="20"/>
                <w:shd w:fill="auto" w:val="clear"/>
              </w:rPr>
              <w:t>577,00</w:t>
            </w:r>
          </w:p>
        </w:tc>
      </w:tr>
    </w:tbl>
    <w:p>
      <w:pPr>
        <w:pStyle w:val="Normal"/>
        <w:bidi w:val="0"/>
        <w:spacing w:lineRule="exact" w:line="276" w:before="0" w:after="120"/>
        <w:ind w:left="0" w:right="0" w:hanging="0"/>
        <w:jc w:val="both"/>
        <w:rPr>
          <w:rFonts w:ascii="Times New Roman" w:hAnsi="Times New Roman" w:eastAsia="Times New Roman" w:cs="Times New Roman"/>
          <w:color w:val="auto"/>
          <w:spacing w:val="0"/>
          <w:sz w:val="22"/>
        </w:rPr>
      </w:pPr>
      <w:r>
        <w:rPr>
          <w:rFonts w:eastAsia="Times New Roman" w:cs="Times New Roman" w:ascii="Times New Roman" w:hAnsi="Times New Roman"/>
          <w:color w:val="auto"/>
          <w:spacing w:val="0"/>
          <w:sz w:val="22"/>
          <w:shd w:fill="auto" w:val="clear"/>
        </w:rPr>
      </w:r>
    </w:p>
    <w:p>
      <w:pPr>
        <w:pStyle w:val="Normal"/>
        <w:bidi w:val="0"/>
        <w:spacing w:lineRule="exact" w:line="276" w:before="0" w:after="120"/>
        <w:ind w:left="0" w:right="0" w:hanging="0"/>
        <w:jc w:val="both"/>
        <w:rPr>
          <w:rFonts w:ascii="Liberation Serif" w:hAnsi="Liberation Serif" w:eastAsia="Liberation Serif" w:cs="Liberation Serif"/>
          <w:b/>
          <w:b/>
          <w:color w:val="auto"/>
          <w:spacing w:val="0"/>
          <w:sz w:val="22"/>
        </w:rPr>
      </w:pPr>
      <w:r>
        <w:rPr>
          <w:rFonts w:eastAsia="Liberation Serif" w:cs="Liberation Serif" w:ascii="Liberation Serif" w:hAnsi="Liberation Serif"/>
          <w:b/>
          <w:color w:val="auto"/>
          <w:spacing w:val="0"/>
          <w:sz w:val="22"/>
          <w:shd w:fill="auto" w:val="clear"/>
        </w:rPr>
        <w:t>Za nekretnine pod rednim brojevima 1., 2., 3., 4., 5. i 7. utvrđuje se prvenstveno pravo kupnje u korist nositelja prava vlasništva ili zakupoprimca čija nekretnina neposredno graniči s nekretninom koja je predmet prodaje, u smislu članka 21. Odluke.</w:t>
      </w:r>
    </w:p>
    <w:p>
      <w:pPr>
        <w:pStyle w:val="Normal"/>
        <w:bidi w:val="0"/>
        <w:spacing w:lineRule="exact" w:line="276" w:before="0" w:after="120"/>
        <w:ind w:left="0" w:right="0" w:hanging="0"/>
        <w:jc w:val="both"/>
        <w:rPr>
          <w:rFonts w:ascii="Liberation Serif" w:hAnsi="Liberation Serif" w:eastAsia="Liberation Serif" w:cs="Liberation Serif"/>
          <w:b/>
          <w:b/>
          <w:color w:val="auto"/>
          <w:spacing w:val="0"/>
          <w:sz w:val="22"/>
        </w:rPr>
      </w:pPr>
      <w:r>
        <w:rPr>
          <w:rFonts w:eastAsia="Liberation Serif" w:cs="Liberation Serif" w:ascii="Liberation Serif" w:hAnsi="Liberation Serif"/>
          <w:b/>
          <w:color w:val="auto"/>
          <w:spacing w:val="0"/>
          <w:sz w:val="22"/>
          <w:shd w:fill="auto" w:val="clear"/>
        </w:rPr>
        <w:t>Za nekretninu pod rednim brojem 6. utvrđuje se prvenstveno pravo kupnje u korist dosadašnjeg zakupnika, uz uvjet da je redovito ispunjavao svoje obveze, u smislu članka 21. Odluke.</w:t>
      </w:r>
    </w:p>
    <w:p>
      <w:pPr>
        <w:pStyle w:val="Normal"/>
        <w:bidi w:val="0"/>
        <w:spacing w:lineRule="exact" w:line="276" w:before="0" w:after="120"/>
        <w:ind w:left="0" w:right="0" w:hanging="0"/>
        <w:jc w:val="both"/>
        <w:rPr>
          <w:rFonts w:ascii="Liberation Serif" w:hAnsi="Liberation Serif" w:eastAsia="Liberation Serif" w:cs="Liberation Serif"/>
          <w:b/>
          <w:b/>
          <w:color w:val="auto"/>
          <w:spacing w:val="0"/>
          <w:sz w:val="22"/>
        </w:rPr>
      </w:pPr>
      <w:r>
        <w:rPr>
          <w:rFonts w:eastAsia="Liberation Serif" w:cs="Liberation Serif" w:ascii="Liberation Serif" w:hAnsi="Liberation Serif"/>
          <w:b/>
          <w:color w:val="auto"/>
          <w:spacing w:val="0"/>
          <w:sz w:val="22"/>
          <w:shd w:fill="auto" w:val="clear"/>
        </w:rPr>
        <w:t>Za nekretnine pod rednim brojevima 8., 9. i 10. utvrđuje se prvenstveno pravo kupnje u korist suvlasnika predmetne nekretnine, u smislu članka 21. Odluke.</w:t>
      </w:r>
    </w:p>
    <w:p>
      <w:pPr>
        <w:pStyle w:val="Normal"/>
        <w:bidi w:val="0"/>
        <w:spacing w:lineRule="exact" w:line="276" w:before="57"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Za ponuditelje koji ostvaruju prvenstveno pravo kupnje primjenjuju se odredbe članka 21. Odluke, a ako ponuditelj s prvenstvenim pravom nije najpovoljniji, Povjerenstvo će ga pozvati da u roku od 8 (osam) dana pristupi u nadležni upravni odjel radi upoznavanja s najvišom postignutom cijenom i davanja izjave o prihvaćanju najviše postignute cijene. Ako se pozivu ne odazove, gubi pravo prvenstva.</w:t>
      </w:r>
    </w:p>
    <w:p>
      <w:pPr>
        <w:pStyle w:val="Normal"/>
        <w:bidi w:val="0"/>
        <w:spacing w:lineRule="exact" w:line="276" w:before="57"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Nekretnine se prodaju po načelu „viđeno-kupljeno“, sa svim uknjiženim i neuknjiženim teretima.</w:t>
      </w:r>
    </w:p>
    <w:p>
      <w:pPr>
        <w:pStyle w:val="Normal"/>
        <w:bidi w:val="0"/>
        <w:spacing w:lineRule="exact" w:line="276" w:before="57"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Uvjeti gradnje definirani su odredbama PPUGB-a i navedeni su u prilozima ovog natječaja.</w:t>
      </w:r>
    </w:p>
    <w:p>
      <w:pPr>
        <w:pStyle w:val="Normal"/>
        <w:bidi w:val="0"/>
        <w:spacing w:lineRule="exact" w:line="276" w:before="57"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Za nekretnine u suvlasništvu ili s teretom, razvrgnuće suvlasničke zajednice i brisanje tereta padaju na teret budućeg kupca.</w:t>
      </w:r>
    </w:p>
    <w:p>
      <w:pPr>
        <w:pStyle w:val="Normal"/>
        <w:bidi w:val="0"/>
        <w:spacing w:lineRule="exact" w:line="276" w:before="57"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U slučaju postojanja posjeda treće osobe na nekretnini, kupac je dužan o svom trošku osloboditi nekretninu od osoba i stvari.</w:t>
      </w:r>
    </w:p>
    <w:p>
      <w:pPr>
        <w:pStyle w:val="Normal"/>
        <w:bidi w:val="0"/>
        <w:spacing w:lineRule="exact" w:line="276" w:before="57"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Vlasnici nekretnina na kojima postoji teret raznih instalacija dužni su, u slučaju intervencije ili sličnih radova na instalacijama, osigurati nesmetan pristup instalacijama ovlaštenim djelatnicima radi izvođenja radova.</w:t>
      </w:r>
    </w:p>
    <w:p>
      <w:pPr>
        <w:pStyle w:val="Normal"/>
        <w:bidi w:val="0"/>
        <w:spacing w:lineRule="exact" w:line="276" w:before="57"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Eventualna izmještanja instalacija i priključaka koji predstavljaju teret na predmetnim nekretninama kupac će izvršiti o svom trošku, u skladu s posebnim uvjetima nadležnih pravnih osoba.</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U slučaju raskida ugovora zbog krivnje kupca, kupcu ne pripada nikakva naknada niti pravo na povrat uloženih sredstava.</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Troškovi formiranja građevinskih parcela putem geodetskog elaborata i uspostavljanja međa nisu uključeni u početnu natječajnu cijenu nekretnine.</w:t>
      </w:r>
    </w:p>
    <w:p>
      <w:pPr>
        <w:pStyle w:val="Normal"/>
        <w:bidi w:val="0"/>
        <w:spacing w:lineRule="exact" w:line="276" w:before="0" w:after="63"/>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Visina i način plaćanja komunalnog doprinosa te rok u kojem će se omogućiti priključak građevinskim parcelama na komunalnu infrastrukturu odredit će se sukladno važećim propisima.</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Grad Buje ne odgovara za eventualnu neusklađenost podataka koji se odnose na površinu, kulturu ili namjenu nekretnina, a koji mogu proizaći iz katastarske, zemljišnoknjižne i druge dokumentacije i stvarnog stanja u prostoru.</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Grad Buje ne odgovara za uvjete gradnje ili ograničenja u pogledu određenih uvjeta gradnje koji se odnose na nekretnine izložene na prodaju u ovom natječaju, a koji mogu proizaći iz odgovarajućih zakonskih propisa ili prostorno-planske dokumentacije.</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Očevid nekretnina omogućit će se u radnim danima nakon objave natječaja, uz prethodni dogovor.</w:t>
      </w:r>
    </w:p>
    <w:p>
      <w:pPr>
        <w:pStyle w:val="Normal"/>
        <w:bidi w:val="0"/>
        <w:spacing w:lineRule="exact" w:line="276" w:before="0" w:after="120"/>
        <w:ind w:left="0" w:right="0" w:hanging="0"/>
        <w:jc w:val="center"/>
        <w:rPr>
          <w:rFonts w:ascii="Liberation Serif" w:hAnsi="Liberation Serif" w:eastAsia="Liberation Serif" w:cs="Liberation Serif"/>
          <w:color w:val="auto"/>
          <w:spacing w:val="0"/>
          <w:sz w:val="22"/>
        </w:rPr>
      </w:pPr>
      <w:r>
        <w:rPr>
          <w:rFonts w:eastAsia="Liberation Serif" w:cs="Liberation Serif" w:ascii="Liberation Serif" w:hAnsi="Liberation Serif"/>
          <w:b/>
          <w:color w:val="auto"/>
          <w:spacing w:val="0"/>
          <w:sz w:val="22"/>
          <w:shd w:fill="auto" w:val="clear"/>
        </w:rPr>
        <w:t>II.</w:t>
      </w:r>
    </w:p>
    <w:p>
      <w:pPr>
        <w:pStyle w:val="Normal"/>
        <w:bidi w:val="0"/>
        <w:spacing w:lineRule="exact" w:line="276" w:before="0" w:after="120"/>
        <w:ind w:left="0" w:right="0" w:hanging="0"/>
        <w:jc w:val="both"/>
        <w:rPr>
          <w:rFonts w:ascii="Liberation Serif" w:hAnsi="Liberation Serif" w:eastAsia="Liberation Serif" w:cs="Liberation Serif"/>
          <w:b/>
          <w:b/>
          <w:i/>
          <w:i/>
          <w:color w:val="auto"/>
          <w:spacing w:val="0"/>
          <w:sz w:val="22"/>
        </w:rPr>
      </w:pPr>
      <w:r>
        <w:rPr>
          <w:rFonts w:eastAsia="Liberation Serif" w:cs="Liberation Serif" w:ascii="Liberation Serif" w:hAnsi="Liberation Serif"/>
          <w:b/>
          <w:i/>
          <w:color w:val="auto"/>
          <w:spacing w:val="0"/>
          <w:sz w:val="22"/>
          <w:shd w:fill="auto" w:val="clear"/>
        </w:rPr>
        <w:t>Jamčevina naznačena u točki I. uplaćuje se na transakcijski račun Grada Buja – IBAN: HR5223800061804200004, s pozivom na broj 68-7757-OIB.</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Dokaz o uplati jamčevine prilaže se pisanoj ponudi.</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Jamčevina najpovoljnijeg ponuditelja uračunava se u kupoprodajnu cijenu.</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Jamčevina se ne vraća ako najpovoljniji ponuditelj ne zaključi ugovor u propisanom roku, ako odustane od ponude u tijeku ili nakon postupka otvaranja ponuda, a najpovoljniji je ponuditelj, odnosno ako se ugovor raskine zbog neplaćanja kupoprodajne cijene.</w:t>
      </w:r>
    </w:p>
    <w:p>
      <w:pPr>
        <w:pStyle w:val="Normal"/>
        <w:bidi w:val="0"/>
        <w:spacing w:lineRule="exact" w:line="276" w:before="0" w:after="120"/>
        <w:ind w:left="0" w:right="0" w:hanging="0"/>
        <w:jc w:val="center"/>
        <w:rPr>
          <w:rFonts w:ascii="Liberation Serif" w:hAnsi="Liberation Serif" w:eastAsia="Liberation Serif" w:cs="Liberation Serif"/>
          <w:color w:val="auto"/>
          <w:spacing w:val="0"/>
          <w:sz w:val="22"/>
        </w:rPr>
      </w:pPr>
      <w:r>
        <w:rPr>
          <w:rFonts w:eastAsia="Liberation Serif" w:cs="Liberation Serif" w:ascii="Liberation Serif" w:hAnsi="Liberation Serif"/>
          <w:b/>
          <w:color w:val="auto"/>
          <w:spacing w:val="0"/>
          <w:sz w:val="22"/>
          <w:shd w:fill="auto" w:val="clear"/>
        </w:rPr>
        <w:t>III.</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b/>
          <w:bCs/>
          <w:i/>
          <w:iCs/>
          <w:color w:val="auto"/>
          <w:spacing w:val="0"/>
          <w:sz w:val="22"/>
          <w:shd w:fill="auto" w:val="clear"/>
        </w:rPr>
        <w:t>Natječaj se provodi prikupljanjem pisanih ponuda u zatvorenim omotnicama od 01. listopada 2026. godine do 09. listopada, 2026. godine.</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Dan isticanja natječaja na oglasnoj ploči Grada Buja smatra se danom objave natječaja.</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b/>
          <w:bCs/>
          <w:i/>
          <w:iCs/>
          <w:color w:val="auto"/>
          <w:spacing w:val="0"/>
          <w:sz w:val="22"/>
          <w:shd w:fill="auto" w:val="clear"/>
        </w:rPr>
        <w:t>Javno otvaranje ponuda izvršit će se 14.listopada, 2026. godine u 10:00 sati u prostorijama gradske uprave Grada Buja-Buie, Istarska 2</w:t>
      </w:r>
      <w:r>
        <w:rPr>
          <w:rFonts w:eastAsia="Liberation Serif" w:cs="Liberation Serif" w:ascii="Liberation Serif" w:hAnsi="Liberation Serif"/>
          <w:b/>
          <w:bCs/>
          <w:color w:val="auto"/>
          <w:spacing w:val="0"/>
          <w:sz w:val="22"/>
          <w:shd w:fill="auto" w:val="clear"/>
        </w:rPr>
        <w:t>.</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Natječaj se objavljuje na oglasnoj ploči i mrežnim stranicama Grada Buja, a u dnevnom tisku objavljuje se obavijest o raspisivanju javnog natječaja.</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Natjecatelji su dužni pisane ponude dostaviti preporučenom poštom ili predajom u pisarnici Grada Buja, u zatvorenoj omotnici s naznakom:</w:t>
      </w:r>
      <w:r>
        <w:rPr>
          <w:rFonts w:eastAsia="Liberation Serif" w:cs="Liberation Serif" w:ascii="Liberation Serif" w:hAnsi="Liberation Serif"/>
          <w:b/>
          <w:i/>
          <w:color w:val="auto"/>
          <w:spacing w:val="0"/>
          <w:sz w:val="22"/>
          <w:shd w:fill="auto" w:val="clear"/>
        </w:rPr>
        <w:t xml:space="preserve"> „NE OTVARAJ – PONUDA ZA NATJEČAJ“ te uz naznaku rednog broja nekretnine za koju se ponuda podnosi, na adresu: Grad Buje, Istarska 2, 52460 Buje.</w:t>
      </w:r>
    </w:p>
    <w:p>
      <w:pPr>
        <w:pStyle w:val="Normal"/>
        <w:bidi w:val="0"/>
        <w:spacing w:lineRule="exact" w:line="276" w:before="0" w:after="120"/>
        <w:ind w:left="0" w:right="0" w:hanging="0"/>
        <w:jc w:val="both"/>
        <w:rPr/>
      </w:pPr>
      <w:r>
        <w:rPr>
          <w:rFonts w:eastAsia="Liberation Serif" w:cs="Liberation Serif" w:ascii="Liberation Serif" w:hAnsi="Liberation Serif"/>
          <w:color w:val="auto"/>
          <w:spacing w:val="0"/>
          <w:sz w:val="22"/>
          <w:shd w:fill="auto" w:val="clear"/>
        </w:rPr>
        <w:t xml:space="preserve">                       </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Pisana ponuda obvezno sadrži:</w:t>
      </w:r>
    </w:p>
    <w:p>
      <w:pPr>
        <w:pStyle w:val="Normal"/>
        <w:numPr>
          <w:ilvl w:val="0"/>
          <w:numId w:val="1"/>
        </w:numPr>
        <w:tabs>
          <w:tab w:val="clear" w:pos="709"/>
          <w:tab w:val="left" w:pos="360" w:leader="none"/>
        </w:tabs>
        <w:bidi w:val="0"/>
        <w:spacing w:lineRule="exact" w:line="276" w:before="0" w:after="40"/>
        <w:ind w:left="360" w:right="0" w:hanging="36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ime i prezime i adresu prebivališta za fizičke osobe, odnosno naziv/tvrtku i sjedište za pravne osobe;</w:t>
      </w:r>
    </w:p>
    <w:p>
      <w:pPr>
        <w:pStyle w:val="Normal"/>
        <w:numPr>
          <w:ilvl w:val="0"/>
          <w:numId w:val="1"/>
        </w:numPr>
        <w:tabs>
          <w:tab w:val="clear" w:pos="709"/>
          <w:tab w:val="left" w:pos="360" w:leader="none"/>
        </w:tabs>
        <w:bidi w:val="0"/>
        <w:spacing w:lineRule="exact" w:line="276" w:before="0" w:after="40"/>
        <w:ind w:left="360" w:right="0" w:hanging="36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redni broj nekretnine iz natječaja za koju se podnosi ponuda;</w:t>
      </w:r>
    </w:p>
    <w:p>
      <w:pPr>
        <w:pStyle w:val="Normal"/>
        <w:numPr>
          <w:ilvl w:val="0"/>
          <w:numId w:val="1"/>
        </w:numPr>
        <w:tabs>
          <w:tab w:val="clear" w:pos="709"/>
          <w:tab w:val="left" w:pos="360" w:leader="none"/>
        </w:tabs>
        <w:bidi w:val="0"/>
        <w:spacing w:lineRule="exact" w:line="276" w:before="0" w:after="40"/>
        <w:ind w:left="360" w:right="0" w:hanging="36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ponuđenu kupoprodajnu cijenu, isključivo u eurima, koja ne može biti niža od početne cijene, iskazanu brojkama i slovima;</w:t>
      </w:r>
    </w:p>
    <w:p>
      <w:pPr>
        <w:pStyle w:val="Normal"/>
        <w:numPr>
          <w:ilvl w:val="0"/>
          <w:numId w:val="1"/>
        </w:numPr>
        <w:tabs>
          <w:tab w:val="clear" w:pos="709"/>
          <w:tab w:val="left" w:pos="360" w:leader="none"/>
        </w:tabs>
        <w:bidi w:val="0"/>
        <w:spacing w:lineRule="exact" w:line="276" w:before="0" w:after="40"/>
        <w:ind w:left="360" w:right="0" w:hanging="36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izričitu izjavu ponuditelja o načinu plaćanja kupoprodajne cijene – jednokratno ili obročno;</w:t>
      </w:r>
    </w:p>
    <w:p>
      <w:pPr>
        <w:pStyle w:val="Normal"/>
        <w:numPr>
          <w:ilvl w:val="0"/>
          <w:numId w:val="1"/>
        </w:numPr>
        <w:tabs>
          <w:tab w:val="clear" w:pos="709"/>
          <w:tab w:val="left" w:pos="360" w:leader="none"/>
        </w:tabs>
        <w:bidi w:val="0"/>
        <w:spacing w:lineRule="exact" w:line="276" w:before="0" w:after="40"/>
        <w:ind w:left="360" w:right="0" w:hanging="36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presliku osobnog identifikacijskog dokumenta za fizičke osobe;</w:t>
      </w:r>
    </w:p>
    <w:p>
      <w:pPr>
        <w:pStyle w:val="Normal"/>
        <w:numPr>
          <w:ilvl w:val="0"/>
          <w:numId w:val="1"/>
        </w:numPr>
        <w:tabs>
          <w:tab w:val="clear" w:pos="709"/>
          <w:tab w:val="left" w:pos="360" w:leader="none"/>
        </w:tabs>
        <w:bidi w:val="0"/>
        <w:spacing w:lineRule="exact" w:line="276" w:before="0" w:after="40"/>
        <w:ind w:left="360" w:right="0" w:hanging="36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presliku dokaza o registraciji pravne osobe, ne starijeg od 6 (šest) mjeseci, za pravne osobe;</w:t>
      </w:r>
    </w:p>
    <w:p>
      <w:pPr>
        <w:pStyle w:val="Normal"/>
        <w:numPr>
          <w:ilvl w:val="0"/>
          <w:numId w:val="1"/>
        </w:numPr>
        <w:tabs>
          <w:tab w:val="clear" w:pos="709"/>
          <w:tab w:val="left" w:pos="360" w:leader="none"/>
        </w:tabs>
        <w:bidi w:val="0"/>
        <w:spacing w:lineRule="exact" w:line="276" w:before="0" w:after="40"/>
        <w:ind w:left="360" w:right="0" w:hanging="36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dokaz o uplati jamčevine;</w:t>
      </w:r>
    </w:p>
    <w:p>
      <w:pPr>
        <w:pStyle w:val="Normal"/>
        <w:numPr>
          <w:ilvl w:val="0"/>
          <w:numId w:val="1"/>
        </w:numPr>
        <w:tabs>
          <w:tab w:val="clear" w:pos="709"/>
          <w:tab w:val="left" w:pos="360" w:leader="none"/>
        </w:tabs>
        <w:bidi w:val="0"/>
        <w:spacing w:lineRule="exact" w:line="276" w:before="0" w:after="40"/>
        <w:ind w:left="360" w:right="0" w:hanging="36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dokaz o prvenstvenom pravu kupnje, ako ponuditelj takvo pravo ostvaruje;</w:t>
      </w:r>
    </w:p>
    <w:p>
      <w:pPr>
        <w:pStyle w:val="Normal"/>
        <w:numPr>
          <w:ilvl w:val="0"/>
          <w:numId w:val="1"/>
        </w:numPr>
        <w:tabs>
          <w:tab w:val="clear" w:pos="709"/>
          <w:tab w:val="left" w:pos="360" w:leader="none"/>
        </w:tabs>
        <w:bidi w:val="0"/>
        <w:spacing w:lineRule="exact" w:line="276" w:before="0" w:after="40"/>
        <w:ind w:left="360" w:right="0" w:hanging="36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dokaz da ponuditelj nema dospjelih financijskih obveza, odnosno dugovanja prema Gradu Buje, u izvorniku, koji izdaje nadležni upravni odjel;</w:t>
      </w:r>
    </w:p>
    <w:p>
      <w:pPr>
        <w:pStyle w:val="Normal"/>
        <w:numPr>
          <w:ilvl w:val="0"/>
          <w:numId w:val="1"/>
        </w:numPr>
        <w:tabs>
          <w:tab w:val="clear" w:pos="709"/>
          <w:tab w:val="left" w:pos="360" w:leader="none"/>
        </w:tabs>
        <w:bidi w:val="0"/>
        <w:spacing w:lineRule="exact" w:line="276" w:before="0" w:after="40"/>
        <w:ind w:left="360" w:right="0" w:hanging="36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ovlaštenje odnosno punomoć za ovlaštene predstavnike, odnosno opunomoćenike, ako ponudu podnosi druga osoba.</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Nepravodobne i nepotpune ponude neće se razmatrati i smatrat će se nevaljanima.</w:t>
      </w:r>
    </w:p>
    <w:p>
      <w:pPr>
        <w:pStyle w:val="Normal"/>
        <w:bidi w:val="0"/>
        <w:spacing w:lineRule="exact" w:line="276" w:before="0" w:after="120"/>
        <w:ind w:left="0" w:right="0" w:hanging="0"/>
        <w:jc w:val="center"/>
        <w:rPr>
          <w:rFonts w:ascii="Liberation Serif" w:hAnsi="Liberation Serif" w:eastAsia="Liberation Serif" w:cs="Liberation Serif"/>
          <w:color w:val="auto"/>
          <w:spacing w:val="0"/>
          <w:sz w:val="22"/>
        </w:rPr>
      </w:pPr>
      <w:r>
        <w:rPr>
          <w:rFonts w:eastAsia="Liberation Serif" w:cs="Liberation Serif" w:ascii="Liberation Serif" w:hAnsi="Liberation Serif"/>
          <w:b/>
          <w:color w:val="auto"/>
          <w:spacing w:val="0"/>
          <w:sz w:val="22"/>
          <w:shd w:fill="auto" w:val="clear"/>
        </w:rPr>
        <w:t>IV.</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Pravo sudjelovanja u ovom javnom natječaju imaju fizičke i pravne osobe koje, prema važećim propisima Republike Hrvatske, mogu stjecati vlasništvo nekretnina u Republici Hrvatskoj.</w:t>
      </w:r>
    </w:p>
    <w:p>
      <w:pPr>
        <w:pStyle w:val="Normal"/>
        <w:bidi w:val="0"/>
        <w:spacing w:lineRule="exact" w:line="276" w:before="0" w:after="120"/>
        <w:ind w:left="0" w:right="0" w:hanging="0"/>
        <w:jc w:val="center"/>
        <w:rPr>
          <w:rFonts w:ascii="Liberation Serif" w:hAnsi="Liberation Serif" w:eastAsia="Liberation Serif" w:cs="Liberation Serif"/>
          <w:color w:val="auto"/>
          <w:spacing w:val="0"/>
          <w:sz w:val="22"/>
        </w:rPr>
      </w:pPr>
      <w:r>
        <w:rPr>
          <w:rFonts w:eastAsia="Liberation Serif" w:cs="Liberation Serif" w:ascii="Liberation Serif" w:hAnsi="Liberation Serif"/>
          <w:b/>
          <w:color w:val="auto"/>
          <w:spacing w:val="0"/>
          <w:sz w:val="22"/>
          <w:shd w:fill="auto" w:val="clear"/>
        </w:rPr>
        <w:t>V.</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Postupak otvaranja ponuda provodi Povjerenstvo za provedbu javnog natječaja za prodaju nekretnina u vlasništvu Grada Buja (u daljnjem tekstu: Povjerenstvo), imenovano od strane Gradskog vijeća.</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Otvaranje ponuda obavlja se na javnoj sjednici na kojoj mogu prisustvovati zainteresirane osobe, uz predočenje osobnog identifikacijskog dokumenta.</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Povjerenstvo otvara pristigle ponude, ocjenjuje njihovu valjanost te predlaže nadležnom tijelu izbor najpovoljnijeg ponuditelja. Ako nema valjanih ponuda, Povjerenstvo predlaže neprihvaćanje pristiglih ponuda.</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Najpovoljnijim ponuditeljem smatra se ponuditelj koji ponudi najvišu kupoprodajnu cijenu, pod uvjetom da ispunjava sve ostale natječajne uvjete.</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Ako najpovoljniji ponuditelj odustane od ponude, ponuđeni iznos ostaje najpovoljnijim, a jamčevina se ne vraća.</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Ako za istu nekretninu više ponuditelja dostavi valjane ponude s istovjetnom najvišom ponuđenom kupoprodajnom cijenom, Povjerenstvo će o tome pisanim putem obavijestiti ponuditelje i pozvati ih da u roku od 3 (tri) dana od primitka poziva, pisanim putem, u zatvorenoj omotnici, ponude novi iznos kupoprodajne cijene. Nakon toga Povjerenstvo otvara dostavljene ponude uz prisustvovanje natjecatelja i predlaže najpovoljnijeg ponuditelja. Nadležno tijelo može odlučiti da se provede i usmeno javno nadmetanje.</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Ako se za ponuditelja koji ostvaruje prvenstveno pravo kupnje utvrdi da nije najpovoljniji ponuditelj, Povjerenstvo će ga pozvati da u roku od 8 (osam) dana pristupi u nadležni upravni odjel radi upoznavanja s najvišom postignutom cijenom i davanja izjave o prihvaćanju najviše postignute cijene. Ako se pozivu ne odazove, gubi pravo prvenstva.</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Po okončanju postupka Povjerenstvo sastavlja i potpisuje zapisnik te ga, s prijedlogom izbora najpovoljnijih ponuditelja i izjavama ovlaštenika prvenstva o prihvaćanju najviše ponuđene cijene, dostavlja ovlaštenom tijelu.</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Na temelju zapisnika i prijedloga Povjerenstva, ovlašteno tijelo donosi  Odluku o utvrđivanju najpovoljnijih ponuda i zaključenju ugovora s najboljim ponuditeljima.</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Nadležni upravni odjel Grada dostavlja svim ponuditeljima dopis s preslikom odluke ovlaštenog tijela i poziva najbolje ponuditelje na zaključenje ugovora u roku od 15 (petnaest) dana od zaprimanja dopisa.</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U roku od 8 (osam) dana od primitka navedenog dopisa ponuditelji imaju pravo na prigovor na odluku ovlaštenog tijela, ali samo na dio natječaja koji se odnosi na nekretninu za koju su dostavili ponudu. Istekom tog roka prigovor se neće razmatrati. O uloženom prigovoru ovlašteno tijelo konačno se očituje odlukom na prvoj sljedećoj sjednici, protiv koje ponuditelji nemaju pravo daljnjeg prigovora ili žalbe.</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Nekretnine za koje nije pristigla nijedna ponuda ili za koje nije izabran najpovoljniji ponuditelj mogu se izložiti na prodaju u sljedećim javnim natječajima bez donošenja posebne odluke o ponovnom izlaganju, najkasnije u roku od 6 (šest) mjeseci.</w:t>
      </w:r>
    </w:p>
    <w:p>
      <w:pPr>
        <w:pStyle w:val="Normal"/>
        <w:bidi w:val="0"/>
        <w:spacing w:lineRule="exact" w:line="276" w:before="0" w:after="120"/>
        <w:ind w:left="0" w:right="0" w:hanging="0"/>
        <w:jc w:val="center"/>
        <w:rPr>
          <w:rFonts w:ascii="Times New Roman" w:hAnsi="Times New Roman" w:eastAsia="Times New Roman" w:cs="Times New Roman"/>
          <w:b/>
          <w:b/>
          <w:color w:val="auto"/>
          <w:spacing w:val="0"/>
          <w:sz w:val="22"/>
        </w:rPr>
      </w:pPr>
      <w:r>
        <w:rPr>
          <w:rFonts w:eastAsia="Times New Roman" w:cs="Times New Roman" w:ascii="Times New Roman" w:hAnsi="Times New Roman"/>
          <w:b/>
          <w:color w:val="auto"/>
          <w:spacing w:val="0"/>
          <w:sz w:val="22"/>
          <w:shd w:fill="auto" w:val="clear"/>
        </w:rPr>
      </w:r>
    </w:p>
    <w:p>
      <w:pPr>
        <w:pStyle w:val="Normal"/>
        <w:bidi w:val="0"/>
        <w:spacing w:lineRule="exact" w:line="276" w:before="0" w:after="120"/>
        <w:ind w:left="0" w:right="0" w:hanging="0"/>
        <w:jc w:val="center"/>
        <w:rPr>
          <w:rFonts w:ascii="Liberation Serif" w:hAnsi="Liberation Serif" w:eastAsia="Liberation Serif" w:cs="Liberation Serif"/>
          <w:color w:val="auto"/>
          <w:spacing w:val="0"/>
          <w:sz w:val="22"/>
        </w:rPr>
      </w:pPr>
      <w:r>
        <w:rPr>
          <w:rFonts w:eastAsia="Liberation Serif" w:cs="Liberation Serif" w:ascii="Liberation Serif" w:hAnsi="Liberation Serif"/>
          <w:b/>
          <w:color w:val="auto"/>
          <w:spacing w:val="0"/>
          <w:sz w:val="22"/>
          <w:shd w:fill="auto" w:val="clear"/>
        </w:rPr>
        <w:t>VI.</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Po konačnoj odluci o najpovoljnijim ponuditeljima i o eventualnim prigovorima, nadležno upravno tijelo pripremit će odgovarajuće kupoprodajne ugovore koje će potpisati Gradonačelnik Grada Buja ili osoba koju on opunomoći, s jedne strane, te najpovoljniji ponuditelj, s druge strane.</w:t>
      </w:r>
    </w:p>
    <w:p>
      <w:pPr>
        <w:pStyle w:val="Normal"/>
        <w:bidi w:val="0"/>
        <w:spacing w:lineRule="exact" w:line="276" w:before="0" w:after="120"/>
        <w:ind w:left="0" w:right="0" w:hanging="0"/>
        <w:jc w:val="center"/>
        <w:rPr>
          <w:rFonts w:ascii="Liberation Serif" w:hAnsi="Liberation Serif" w:eastAsia="Liberation Serif" w:cs="Liberation Serif"/>
          <w:color w:val="auto"/>
          <w:spacing w:val="0"/>
          <w:sz w:val="22"/>
        </w:rPr>
      </w:pPr>
      <w:r>
        <w:rPr>
          <w:rFonts w:eastAsia="Liberation Serif" w:cs="Liberation Serif" w:ascii="Liberation Serif" w:hAnsi="Liberation Serif"/>
          <w:b/>
          <w:color w:val="auto"/>
          <w:spacing w:val="0"/>
          <w:sz w:val="22"/>
          <w:shd w:fill="auto" w:val="clear"/>
        </w:rPr>
        <w:t>VII.</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Najbolji ponuditelji koji nakon donošenja odluke o prihvatu njihove ponude odustanu od zaključenja ugovora ili se ne odazovu na zaključenje ugovora u roku od 15 (petnaest) dana od zaprimanja dopisa, gube pravo na povrat uplaćene jamčevine.</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Iznimno, na pisani zahtjev ponuditelja, iz opravdanog razloga, zaključenje ugovora može se odgoditi, ali najduže na rok od 3 (tri) mjeseca.</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Ponuditeljima čije su ponude utvrđene kao nevaljane ili nepovoljne uplaćena jamčevina vratit će se u roku od 8 (osam) dana od donošenja konačne odluke o prihvatu najpovoljnije ponude.</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Nadležno tijelo zadržava pravo ne izabrati najpovoljnijeg ponuditelja za kupnju nekretnina izloženih na prodaju, kao i pravo poništiti dio ili cijeli javni natječaj u bilo kojoj fazi postupka, bez obveze obrazlaganja razloga poništenja ili neizbora najpovoljnijeg ponuditelja, te pravo poništiti odluku o prihvatu najpovoljnije ponude prije sklapanja ugovora.</w:t>
      </w:r>
    </w:p>
    <w:p>
      <w:pPr>
        <w:pStyle w:val="Normal"/>
        <w:bidi w:val="0"/>
        <w:spacing w:lineRule="exact" w:line="276" w:before="0" w:after="120"/>
        <w:ind w:left="0" w:right="0" w:hanging="0"/>
        <w:jc w:val="center"/>
        <w:rPr>
          <w:rFonts w:ascii="Liberation Serif" w:hAnsi="Liberation Serif" w:eastAsia="Liberation Serif" w:cs="Liberation Serif"/>
          <w:color w:val="auto"/>
          <w:spacing w:val="0"/>
          <w:sz w:val="22"/>
        </w:rPr>
      </w:pPr>
      <w:r>
        <w:rPr>
          <w:rFonts w:eastAsia="Liberation Serif" w:cs="Liberation Serif" w:ascii="Liberation Serif" w:hAnsi="Liberation Serif"/>
          <w:b/>
          <w:color w:val="auto"/>
          <w:spacing w:val="0"/>
          <w:sz w:val="22"/>
          <w:shd w:fill="auto" w:val="clear"/>
        </w:rPr>
        <w:t>VIII.</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Nekretnina se prodaje u stanju u kojem je viđena. Sa stanjem nekretnine natjecatelji se mogu upoznati u terminu za očevid navedenom u točki I. ovog natječaja.</w:t>
      </w:r>
    </w:p>
    <w:p>
      <w:pPr>
        <w:pStyle w:val="Normal"/>
        <w:bidi w:val="0"/>
        <w:spacing w:lineRule="exact" w:line="276" w:before="0" w:after="120"/>
        <w:ind w:left="0" w:right="0" w:hanging="0"/>
        <w:jc w:val="center"/>
        <w:rPr>
          <w:rFonts w:ascii="Liberation Serif" w:hAnsi="Liberation Serif" w:eastAsia="Liberation Serif" w:cs="Liberation Serif"/>
          <w:color w:val="auto"/>
          <w:spacing w:val="0"/>
          <w:sz w:val="22"/>
        </w:rPr>
      </w:pPr>
      <w:r>
        <w:rPr>
          <w:rFonts w:eastAsia="Liberation Serif" w:cs="Liberation Serif" w:ascii="Liberation Serif" w:hAnsi="Liberation Serif"/>
          <w:b/>
          <w:color w:val="auto"/>
          <w:spacing w:val="0"/>
          <w:sz w:val="22"/>
          <w:shd w:fill="auto" w:val="clear"/>
        </w:rPr>
        <w:t>IX.</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Ugovorenu prodajnu cijenu kupac može platiti odjednom ili u obrocima, o čemu se natjecatelj pisano izjašnjava prilikom podnošenja ponude.</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Kod plaćanja prodajne cijene odjednom rok plaćanja je 15 (petnaest) dana od dana sklapanja ugovora.</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Kod obročnog plaćanja prvi obrok iznosi 40% ugovorene prodajne cijene umanjene za uplaćenu jamčevinu i plaća se u roku od 15 (petnaest) dana od dana sklapanja ugovora, a preostali dio duga kupac plaća u 3 (tri) mjesečna obroka uz obračun kamatne stope od 6% godišnje.</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Iznimno, na zahtjev kupca, Gradonačelnik može odobriti obročno plaćanje kupoprodajne cijene i na veći broj mjesečnih obroka, ali ne više od 36 (trideset šest) mjesečnih obroka uz obračun kamatne stope od 6% godišnje.</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Kupac koji kupuje stan temeljem ostvarenog prvenstvenog prava ili stan koji drži u zadnjem mirnom posjedu može kupoprodajnu cijenu platiti u roku od 5 (pet) godina u mjesečnim obrocima, uz obračun kamate od 6% godišnje.</w:t>
      </w:r>
    </w:p>
    <w:p>
      <w:pPr>
        <w:pStyle w:val="Normal"/>
        <w:bidi w:val="0"/>
        <w:spacing w:lineRule="exact" w:line="276" w:before="0" w:after="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Kao sredstvo osiguranja plaćanja kod obročne isplate kupac dopušta zasnivanje založnog prava (hipoteke) u korist Grada Buja na predmetnoj nekretnini.</w:t>
      </w:r>
    </w:p>
    <w:p>
      <w:pPr>
        <w:pStyle w:val="Normal"/>
        <w:bidi w:val="0"/>
        <w:spacing w:lineRule="exact" w:line="276" w:before="0" w:after="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Za kašnjenje plaćanja kupac plaća zakonom propisane zatezne kamate.</w:t>
      </w:r>
    </w:p>
    <w:p>
      <w:pPr>
        <w:pStyle w:val="Normal"/>
        <w:bidi w:val="0"/>
        <w:spacing w:lineRule="exact" w:line="276" w:before="0" w:after="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Kupac nekretnine s obročnom isplatom cijene dužan je podnijeti ugovor o prodaji na solemnizaciju javnom bilježniku. Troškove solmizacije snosi kupac.</w:t>
      </w:r>
    </w:p>
    <w:p>
      <w:pPr>
        <w:pStyle w:val="Normal"/>
        <w:bidi w:val="0"/>
        <w:spacing w:lineRule="exact" w:line="276" w:before="0" w:after="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Porez na promet nekretnina te druge troškove prijenosa nekretnine u vlasništvu Grada snosi kupac.</w:t>
      </w:r>
    </w:p>
    <w:p>
      <w:pPr>
        <w:pStyle w:val="Normal"/>
        <w:bidi w:val="0"/>
        <w:spacing w:lineRule="exact" w:line="276" w:before="0" w:after="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Ako kupac kasni s plaćanjem kupoprodajne cijene više od 30 (trideset) dana od dana sklapanja ugovora, Grad može raskinuti ugovor, a uplaćenu jamčevinu zadržati.</w:t>
      </w:r>
    </w:p>
    <w:p>
      <w:pPr>
        <w:pStyle w:val="Normal"/>
        <w:bidi w:val="0"/>
        <w:spacing w:lineRule="exact" w:line="276" w:before="0" w:after="0"/>
        <w:ind w:left="0" w:right="0" w:hanging="0"/>
        <w:jc w:val="both"/>
        <w:rPr>
          <w:rFonts w:ascii="Times New Roman" w:hAnsi="Times New Roman" w:eastAsia="Times New Roman" w:cs="Times New Roman"/>
          <w:color w:val="auto"/>
          <w:spacing w:val="0"/>
          <w:sz w:val="22"/>
        </w:rPr>
      </w:pPr>
      <w:r>
        <w:rPr>
          <w:rFonts w:eastAsia="Times New Roman" w:cs="Times New Roman" w:ascii="Times New Roman" w:hAnsi="Times New Roman"/>
          <w:color w:val="auto"/>
          <w:spacing w:val="0"/>
          <w:sz w:val="22"/>
          <w:shd w:fill="auto" w:val="clear"/>
        </w:rPr>
      </w:r>
    </w:p>
    <w:p>
      <w:pPr>
        <w:pStyle w:val="Normal"/>
        <w:bidi w:val="0"/>
        <w:spacing w:lineRule="exact" w:line="276" w:before="0" w:after="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Ugovor o prodaji obvezno sadrži odredbe o:</w:t>
      </w:r>
    </w:p>
    <w:p>
      <w:pPr>
        <w:pStyle w:val="Normal"/>
        <w:numPr>
          <w:ilvl w:val="0"/>
          <w:numId w:val="2"/>
        </w:numPr>
        <w:bidi w:val="0"/>
        <w:spacing w:lineRule="exact" w:line="276" w:before="0" w:after="40"/>
        <w:ind w:left="720" w:right="0" w:hanging="36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odgodi uknjižbe prava vlasništva kupca na nekretnini do isplate cjelokupne prodajne cijene kod obročne otplate, uz zasnivanje založnog prava (hipoteke) u korist Grada;</w:t>
      </w:r>
    </w:p>
    <w:p>
      <w:pPr>
        <w:pStyle w:val="Normal"/>
        <w:numPr>
          <w:ilvl w:val="0"/>
          <w:numId w:val="2"/>
        </w:numPr>
        <w:bidi w:val="0"/>
        <w:spacing w:lineRule="exact" w:line="276" w:before="0" w:after="40"/>
        <w:ind w:left="720" w:right="0" w:hanging="36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zadržavanju prava vlasništva i preuzimanju posjeda od strane prodavatelja na nekretnini, u zatečenom stanju i bez povrata sredstava koja je kupac uložio do preuzimanja, ako kupac ne uplati prodajnu cijenu u ugovorenom roku;</w:t>
      </w:r>
    </w:p>
    <w:p>
      <w:pPr>
        <w:pStyle w:val="Normal"/>
        <w:numPr>
          <w:ilvl w:val="0"/>
          <w:numId w:val="2"/>
        </w:numPr>
        <w:bidi w:val="0"/>
        <w:spacing w:lineRule="exact" w:line="276" w:before="0" w:after="40"/>
        <w:ind w:left="720" w:right="0" w:hanging="36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obvezi da se ugovor o prodaji, na teret kupca, potvrdi kod javnog bilježnika tako da predstavlja ovršnu ispravu radi ostvarenja eventualne tražbine prodavatelja na naplatu dužne cijene i kamata te predaje u posjed nekretnine, odnosno uspostave ranijeg zemljišnoknjižnog stanja.</w:t>
      </w:r>
    </w:p>
    <w:p>
      <w:pPr>
        <w:pStyle w:val="Normal"/>
        <w:bidi w:val="0"/>
        <w:spacing w:lineRule="exact" w:line="276" w:before="0" w:after="12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Sve obavijesti glede nekretnina izloženih na natječaju mogu se dobiti tijekom uredovnog radnog vremena u Upravnom odjelu za prostorno uređenje i upravljanje gradskom imovinom, Buje, Istarska 2, odnosno na telefonskom broju 772-122.</w:t>
      </w:r>
    </w:p>
    <w:p>
      <w:pPr>
        <w:pStyle w:val="Normal"/>
        <w:bidi w:val="0"/>
        <w:spacing w:lineRule="exact" w:line="276" w:before="0" w:after="120"/>
        <w:ind w:left="0" w:right="0" w:hanging="0"/>
        <w:jc w:val="both"/>
        <w:rPr>
          <w:rFonts w:ascii="Times New Roman" w:hAnsi="Times New Roman" w:eastAsia="Times New Roman" w:cs="Times New Roman"/>
          <w:color w:val="auto"/>
          <w:spacing w:val="0"/>
          <w:sz w:val="22"/>
        </w:rPr>
      </w:pPr>
      <w:r>
        <w:rPr>
          <w:rFonts w:eastAsia="Times New Roman" w:cs="Times New Roman" w:ascii="Times New Roman" w:hAnsi="Times New Roman"/>
          <w:color w:val="auto"/>
          <w:spacing w:val="0"/>
          <w:sz w:val="22"/>
          <w:shd w:fill="auto" w:val="clear"/>
        </w:rPr>
      </w:r>
    </w:p>
    <w:p>
      <w:pPr>
        <w:pStyle w:val="Normal"/>
        <w:bidi w:val="0"/>
        <w:spacing w:lineRule="exact" w:line="276" w:before="0" w:after="120"/>
        <w:ind w:left="0" w:right="0" w:hanging="0"/>
        <w:jc w:val="both"/>
        <w:rPr>
          <w:rFonts w:ascii="Times New Roman" w:hAnsi="Times New Roman" w:eastAsia="Times New Roman" w:cs="Times New Roman"/>
          <w:color w:val="auto"/>
          <w:spacing w:val="0"/>
          <w:sz w:val="22"/>
        </w:rPr>
      </w:pPr>
      <w:r>
        <w:rPr>
          <w:rFonts w:eastAsia="Times New Roman" w:cs="Times New Roman" w:ascii="Times New Roman" w:hAnsi="Times New Roman"/>
          <w:color w:val="auto"/>
          <w:spacing w:val="0"/>
          <w:sz w:val="22"/>
          <w:shd w:fill="auto" w:val="clear"/>
        </w:rPr>
      </w:r>
    </w:p>
    <w:p>
      <w:pPr>
        <w:pStyle w:val="Normal"/>
        <w:bidi w:val="0"/>
        <w:spacing w:lineRule="exact" w:line="276" w:before="0" w:after="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Klasa: 944-05/26-01/13</w:t>
      </w:r>
    </w:p>
    <w:p>
      <w:pPr>
        <w:pStyle w:val="Normal"/>
        <w:bidi w:val="0"/>
        <w:spacing w:lineRule="exact" w:line="276" w:before="0" w:after="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Urbroj: 2163-2-2-26-2</w:t>
      </w:r>
    </w:p>
    <w:p>
      <w:pPr>
        <w:pStyle w:val="Normal"/>
        <w:bidi w:val="0"/>
        <w:spacing w:lineRule="exact" w:line="276" w:before="0" w:after="0"/>
        <w:ind w:left="0" w:right="0" w:hanging="0"/>
        <w:jc w:val="both"/>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Buje, 29.09. 2026. godine</w:t>
      </w:r>
    </w:p>
    <w:p>
      <w:pPr>
        <w:pStyle w:val="Normal"/>
        <w:bidi w:val="0"/>
        <w:spacing w:lineRule="exact" w:line="276" w:before="0" w:after="120"/>
        <w:ind w:left="0" w:right="0" w:hanging="0"/>
        <w:jc w:val="right"/>
        <w:rPr>
          <w:rFonts w:ascii="Times New Roman" w:hAnsi="Times New Roman" w:eastAsia="Times New Roman" w:cs="Times New Roman"/>
          <w:b/>
          <w:b/>
          <w:color w:val="auto"/>
          <w:spacing w:val="0"/>
          <w:sz w:val="22"/>
        </w:rPr>
      </w:pPr>
      <w:r>
        <w:rPr>
          <w:rFonts w:eastAsia="Times New Roman" w:cs="Times New Roman" w:ascii="Times New Roman" w:hAnsi="Times New Roman"/>
          <w:b/>
          <w:color w:val="auto"/>
          <w:spacing w:val="0"/>
          <w:sz w:val="22"/>
          <w:shd w:fill="auto" w:val="clear"/>
        </w:rPr>
      </w:r>
    </w:p>
    <w:p>
      <w:pPr>
        <w:pStyle w:val="Normal"/>
        <w:bidi w:val="0"/>
        <w:spacing w:lineRule="exact" w:line="276" w:before="0" w:after="120"/>
        <w:ind w:left="0" w:right="0" w:hanging="0"/>
        <w:jc w:val="right"/>
        <w:rPr>
          <w:rFonts w:ascii="Times New Roman" w:hAnsi="Times New Roman" w:eastAsia="Times New Roman" w:cs="Times New Roman"/>
          <w:b/>
          <w:b/>
          <w:color w:val="auto"/>
          <w:spacing w:val="0"/>
          <w:sz w:val="22"/>
        </w:rPr>
      </w:pPr>
      <w:r>
        <w:rPr>
          <w:rFonts w:eastAsia="Times New Roman" w:cs="Times New Roman" w:ascii="Times New Roman" w:hAnsi="Times New Roman"/>
          <w:b/>
          <w:color w:val="auto"/>
          <w:spacing w:val="0"/>
          <w:sz w:val="22"/>
          <w:shd w:fill="auto" w:val="clear"/>
        </w:rPr>
      </w:r>
    </w:p>
    <w:p>
      <w:pPr>
        <w:pStyle w:val="Normal"/>
        <w:bidi w:val="0"/>
        <w:spacing w:lineRule="exact" w:line="276" w:before="0" w:after="0"/>
        <w:ind w:left="0" w:right="0" w:hanging="0"/>
        <w:jc w:val="center"/>
        <w:rPr>
          <w:rFonts w:ascii="Liberation Serif" w:hAnsi="Liberation Serif" w:eastAsia="Liberation Serif" w:cs="Liberation Serif"/>
          <w:color w:val="auto"/>
          <w:spacing w:val="0"/>
          <w:sz w:val="22"/>
        </w:rPr>
      </w:pPr>
      <w:r>
        <w:rPr>
          <w:rFonts w:eastAsia="Liberation Serif" w:cs="Liberation Serif" w:ascii="Liberation Serif" w:hAnsi="Liberation Serif"/>
          <w:b/>
          <w:color w:val="auto"/>
          <w:spacing w:val="0"/>
          <w:sz w:val="22"/>
          <w:shd w:fill="auto" w:val="clear"/>
        </w:rPr>
        <w:t>GRADSKO VIJEĆE GRADA BUJA</w:t>
      </w:r>
    </w:p>
    <w:p>
      <w:pPr>
        <w:pStyle w:val="Normal"/>
        <w:bidi w:val="0"/>
        <w:spacing w:lineRule="exact" w:line="276" w:before="0" w:after="0"/>
        <w:ind w:left="0" w:right="0" w:hanging="0"/>
        <w:jc w:val="left"/>
        <w:rPr>
          <w:rFonts w:ascii="Liberation Serif" w:hAnsi="Liberation Serif" w:eastAsia="Liberation Serif" w:cs="Liberation Serif"/>
          <w:color w:val="auto"/>
          <w:spacing w:val="0"/>
          <w:sz w:val="22"/>
        </w:rPr>
      </w:pPr>
      <w:r>
        <w:rPr>
          <w:rFonts w:eastAsia="Liberation Serif" w:cs="Liberation Serif" w:ascii="Liberation Serif" w:hAnsi="Liberation Serif"/>
          <w:color w:val="auto"/>
          <w:spacing w:val="0"/>
          <w:sz w:val="22"/>
          <w:shd w:fill="auto" w:val="clear"/>
        </w:rPr>
        <w:tab/>
        <w:tab/>
        <w:tab/>
        <w:tab/>
        <w:tab/>
        <w:t xml:space="preserve">            Predsjednica</w:t>
      </w:r>
    </w:p>
    <w:p>
      <w:pPr>
        <w:pStyle w:val="Normal"/>
        <w:bidi w:val="0"/>
        <w:spacing w:lineRule="exact" w:line="276" w:before="0" w:after="0"/>
        <w:ind w:left="0" w:right="0" w:hanging="0"/>
        <w:jc w:val="left"/>
        <w:rPr/>
      </w:pPr>
      <w:r>
        <w:rPr>
          <w:rFonts w:eastAsia="Liberation Serif" w:cs="Liberation Serif" w:ascii="Liberation Serif" w:hAnsi="Liberation Serif"/>
          <w:color w:val="auto"/>
          <w:spacing w:val="0"/>
          <w:sz w:val="22"/>
          <w:shd w:fill="auto" w:val="clear"/>
        </w:rPr>
        <w:tab/>
        <w:tab/>
        <w:tab/>
        <w:tab/>
        <w:tab/>
        <w:t xml:space="preserve">          Bojana Puzigaća</w:t>
      </w:r>
    </w:p>
    <w:sectPr>
      <w:type w:val="nextPage"/>
      <w:pgSz w:w="12240" w:h="15840"/>
      <w:pgMar w:left="1440" w:right="1440" w:header="0" w:top="1440" w:footer="0" w:bottom="1440"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swiss"/>
    <w:pitch w:val="variable"/>
  </w:font>
  <w:font w:name="Times New Roman">
    <w:charset w:val="ee"/>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0" w:hanging="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ind w:left="0" w:hanging="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hr-HR" w:eastAsia="zh-CN" w:bidi="hi-IN"/>
      </w:rPr>
    </w:rPrDefault>
    <w:pPrDefault>
      <w:pPr/>
    </w:pPrDefault>
  </w:docDefaults>
  <w:style w:type="paragraph" w:styleId="Normal">
    <w:name w:val="Normal"/>
    <w:qFormat/>
    <w:pPr>
      <w:widowControl w:val="false"/>
      <w:bidi w:val="0"/>
    </w:pPr>
    <w:rPr>
      <w:rFonts w:ascii="Calibri" w:hAnsi="Calibri" w:eastAsia="NSimSun" w:cs="Lucida Sans"/>
      <w:color w:val="auto"/>
      <w:kern w:val="2"/>
      <w:sz w:val="22"/>
      <w:szCs w:val="24"/>
      <w:lang w:val="hr-HR"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TotalTime>
  <Application>LibreOffice/6.3.4.2$Windows_X86_64 LibreOffice_project/60da17e045e08f1793c57c00ba83cdfce946d0aa</Application>
  <Pages>6</Pages>
  <Words>2095</Words>
  <Characters>12597</Characters>
  <CharactersWithSpaces>14615</CharactersWithSpaces>
  <Paragraphs>206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hr-HR</dc:language>
  <cp:lastModifiedBy/>
  <dcterms:modified xsi:type="dcterms:W3CDTF">2026-09-30T13:30:29Z</dcterms:modified>
  <cp:revision>1</cp:revision>
  <dc:subject/>
  <dc:title/>
</cp:coreProperties>
</file>