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87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t>36292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t>GRAD BUJE-BUIE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87B9B" w:rsidRDefault="00000000">
            <w:pPr>
              <w:spacing w:after="0" w:line="240" w:lineRule="auto"/>
            </w:pPr>
            <w:r>
              <w:t>23</w:t>
            </w:r>
          </w:p>
        </w:tc>
      </w:tr>
    </w:tbl>
    <w:p w:rsidR="00D87B9B" w:rsidRDefault="00000000">
      <w:r>
        <w:br/>
      </w:r>
    </w:p>
    <w:p w:rsidR="00D87B9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87B9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87B9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6.213.270,55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7.749.576,87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6.041.742,82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6.704.276,78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171.527,73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1.045.300,09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609,4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2.511.282,55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291.975,51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2.192.002,69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1.308.983,89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59,7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1.017.008,38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122.996,56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147.996,55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122.996,56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147.996,55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120,3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119.704,84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Grad Buje – Buie ostvario je prihode poslovanja u iznosu od 7.343.213,61 eura ili 27,0% više u odnosu na usporedno razdoblje prethodne godine. Vrijednosno najznačajnije povećanje prihoda poslovanja ostvareno je po osnovi prihoda od poreza. </w:t>
      </w:r>
    </w:p>
    <w:p w:rsidR="00D87B9B" w:rsidRDefault="00000000">
      <w:r>
        <w:t xml:space="preserve">Proračunski korisnici ostvarili su prihode u ukupnom iznosu od 406.363,26 eura ili 5,4% manje u odnosu na prethodnu godinu. Talijanski dječji vrtić Mrvica i Pučko otvoreno učilište Buje realizirali su 2,22 odnosno 0,54% više prihoda, dok je Dječji vrtić Buje ostvario 13,0% </w:t>
      </w:r>
      <w:r>
        <w:lastRenderedPageBreak/>
        <w:t>manje prihoda poslovanja. Zbog kašnjenja sa plaćanjima realizirano je manje prihoda od pomoći za sufinanciranje troškova vrtića temeljem Sporazuma sa susjednim općinama te manje prihoda od participacija roditelja. </w:t>
      </w:r>
    </w:p>
    <w:p w:rsidR="00D87B9B" w:rsidRDefault="00000000">
      <w:r>
        <w:t>Na teret sredstava proračuna Grada Buje – Buie realizirano je 6.332.533,01 eura rashoda poslovanja ili 13,4% više u odnosu na prethodnu godinu. Proračunski korisnici su na teret vlastitih prihoda, prihoda posebne namjene, pomoći i donacija realizirali rashode poslovanja od ukupno 371.743,77 eura što je 13,5% manje u odnosu na prethodnu godinu. Istovremeno su rashodi financirani na teret nadležnog proračuna veći za 23,3%, a vrijednosno su najviše povećani rashodi za zaposlene radi povećanja koeficijenata za obračun plaća proračunskih korisnika i povećanja osnovice za plaću. </w:t>
      </w:r>
    </w:p>
    <w:p w:rsidR="00D87B9B" w:rsidRDefault="00000000">
      <w:r>
        <w:t>Prihode od prodaje nefinancijske imovine Grad Buje - Buie je realizirao u iznosu od 291.975,51 eura ili 88,4% manje u odnosu na prethodnu godinu. U 2025. godini proveden je manji broj javnih natječaja za prodaju i to za nekretnine manjih vrijednosti.</w:t>
      </w:r>
    </w:p>
    <w:p w:rsidR="00D87B9B" w:rsidRDefault="00000000">
      <w:r>
        <w:t>Rashodi za nabavu nefinancijske imovine iznose ukupno 1.308.983,89 eura i ostvareni su za 40,3% manje u odnosu na 2025. godine. Od toga se 1.270.238,32 eura odnosi na rashode Grada Buja – Buie, a razlika od 38.745,57 na rashode proračunskih korisnika.  </w:t>
      </w:r>
    </w:p>
    <w:p w:rsidR="00D87B9B" w:rsidRDefault="00000000">
      <w:r>
        <w:t>Primici od financijske imovine i zaduživanja nisu realizirani.</w:t>
      </w:r>
    </w:p>
    <w:p w:rsidR="00D87B9B" w:rsidRDefault="00000000">
      <w:r>
        <w:t>Izdaci za financijsku imovinu i otplate zajmova u 2025. godine ostvareni su u iznosu od 147.996,55 eura ili 20,3% više. Do povećanja izdataka došlo je radi početka otplate nove kreditne obveze. </w:t>
      </w:r>
    </w:p>
    <w:p w:rsidR="00D87B9B" w:rsidRDefault="00000000">
      <w:r>
        <w:br/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2.529.351,48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3.823.375,47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Odlukom o visini poreznih stopa godišnjeg poreza na dohodak Grada Buja – Buie („Narodne novine“, broj 147/23) određena je niža godišnja stopa poreza na dohodak u visini od 20,00% i viša stopa od 30,00%. Odluka nije mijenjana te su godišnje stope poreza u izvještajnim razdobljima za obje godine bile jednake. Unatoč zadržavanju istih poreznih stopa i povećanom iznosu osnovnog osobnog odbitka od 1. siječnja 2025. godine, zabilježen je porast prihoda od poreza na dohodak od nesamostalnog rada za 18,0%.  Povećanje je najvećim dijelom rezultat porasta plaća u javnom i u privatnom sektoru uslijed inflacije i nedostatka radne snage.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371.007,24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1.307.186,28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352,3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Porezne stope u izvještajnim razdobljima bile su jednake, stoga je povećanje rezultat ostvarenih znatno većih primitaka poreznih obveznika sa područja Grada Buje – Buie po osnovi kapitalnih dobitaka od otuđenja udjela u kapitalu trgovačkih društava, dividendi i udjela u dobitku i kamata.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68.330,20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267.891,83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392,1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Stalni porez na nepokretnu imovinu odnosio se na prihod od poreza na kuće za odmor u 2024. godini, odnosno porez na nekretnine u 2025. godini te manjim dijelom na prihod od poreza na korištenje javnih površina. Realizacija u 2025. godini veća je za 292,1%. Poslove utvrđivanja, evidentiranja, nadzora i naplate poreza na kuće za odmor kao i poreza na nekretnine obavljala je Porezna uprava – Ispostava Umag. Visina poreza na kuće za odmor bila je utvrđena u iznosu od 5,00 eura po m². Visina poreza na nekretnine koji je uveden od 1. siječnja 2025. godine utvrđena je u visini od 6,25 eura po m². Novouvedeni porez na nekretnine je zajednički prihod Grada i Županije, a udio Grada je 80% i iznosi 5,00 eura po m². U 2025. godini je po osnovi poreza na nekretnine ostvareno 249.902,53 eura prihoda, a povećanje u odnosu na prihod od poreza na kuće za odmor u prethodnoj godini rezultat je sređivanja baze podataka i značajnog povećanja broja poreznih obveznika.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674.411,61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811.527,56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Prihod od poreza na promet nekretnina u 2025. godini ostvaren je 20,3% više u odnosu na prethodnu godinu. Stopa poreza na promet nekretnina nije se mijenjala te je razlika u prihodima rezultat porasta kupoprodajnih cijena i povećane aktivnosti na tržištu nekretnina.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395.104,95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367.902,10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okviru ove podskupine u prethodnoj, 2024. godini evidentirana je pomoć iz Državnog proračuna doznačena temeljem Odluke o udjelu sredstava fiskalnog izravnanja u iznosu od 113.418,20 eura. Radi izmjena Pravilnika o proračunskom računovodstvu i računskom planu od 2025. godine sredstva fiskalnog izravnanja evidentirana su na podskupini 365.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79.080,00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174.715,61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2024. godini u ovoj podskupini iskazana je pomoć za decentralizirane funkcije vatrogastva koja se doznačuje iz državnog proračuna direktno u korist proračuna Grada Umaga odnosno suosnivača JVP Umag s najvećim udjelom. Ostvarena sredstva su gotovo jednaka u obje godine.  </w:t>
      </w:r>
    </w:p>
    <w:p w:rsidR="00D87B9B" w:rsidRDefault="00000000">
      <w:r>
        <w:t>Radi izmjena u Pravilnika o proračunskom računovodstvu i Računskom planu od 2025. godine u okviru ove podskupine evidentirane su i pomoći fiskalnog izravnanja ostvarene u iznosu od 95.536,76 eura po osnovi Odluke o udjelu sredstava fiskalnog izravnanja za pojedinu općinu, grad i županiju u ukupnim sredstvima fiskalnog izravnanja s iznosom sredstava fiskalnog izravnanja za 2025. godinu (Narodne novine, br. 155/24). U 2025. godini prihodi po osnovi sredstava fiskalnog izravnanja manji su za 15,8%.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281.151,07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193.078,53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68,7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skladu s odredbama Zakona o neprocijenjenom građevinskom zemljištu (Narodne novine, br. 50/20), Uredbe o uređenju zakupa na turističkom zemljištu na kojemu su izgrađeni hoteli i turistička naselja (Narodne novine, br. 16/24) i Odluke o iznosu i načinu plaćanja zakupnine za turističko zemljište na kojem su izgrađeni hoteli i turistička naselja na području Grada Buja – Buie (Službene novine Grada Buja, br. 8/24), u 2024. godini naplaćen je zakup </w:t>
      </w:r>
      <w:r>
        <w:lastRenderedPageBreak/>
        <w:t xml:space="preserve">turističkog zemljišta u turističkom naselju </w:t>
      </w:r>
      <w:proofErr w:type="spellStart"/>
      <w:r>
        <w:t>Kanegra</w:t>
      </w:r>
      <w:proofErr w:type="spellEnd"/>
      <w:r>
        <w:t xml:space="preserve"> za prijelazno razdoblje od 2. svibnja 2020. godine do 16. veljače 2024. godine što je rezultiralo većom realizacijom navedenog zajedničkog prihoda u prethodnoj godini. Iz istog razloga u 2025. godini realizirano je manje sredstava i od zajedničkog prihoda od zakupa kampova u vlasništvu RH.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21.269,19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92.775,29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436,2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Slijedom izmjena knjigovodstvenih evidencija sukladno Pravilniku o proračunskom računovodstvu i Računskom planu od 2025. godine na ovoj podskupini evidentirani su prihodi od </w:t>
      </w:r>
      <w:proofErr w:type="spellStart"/>
      <w:r>
        <w:t>prefakturiranih</w:t>
      </w:r>
      <w:proofErr w:type="spellEnd"/>
      <w:r>
        <w:t xml:space="preserve"> troškova (zajedničko korištenje prostora, zajednički komunalni redar, materijalni troškovi vezani za naplatu naknade za uređenje voda i sl.). Osim toga, u 2025. godini Grad je realizirao 60.593,11 eura novčanih sredstava od </w:t>
      </w:r>
      <w:proofErr w:type="spellStart"/>
      <w:r>
        <w:t>ošasne</w:t>
      </w:r>
      <w:proofErr w:type="spellEnd"/>
      <w:r>
        <w:t xml:space="preserve"> imovine.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1.786.207,86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2.051.776,80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Rashodi za zaposlene povećani su radi povećanja koeficijenata za obračun plaća proračunskih korisnika i povećanja osnovica za plaće.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234.776,85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329.717,63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Povećanje se najvećim dijelom odnosi na izvršene usluge izmjere nekretnina u naseljima </w:t>
      </w:r>
      <w:proofErr w:type="spellStart"/>
      <w:r>
        <w:t>Kršete</w:t>
      </w:r>
      <w:proofErr w:type="spellEnd"/>
      <w:r>
        <w:t xml:space="preserve">, </w:t>
      </w:r>
      <w:proofErr w:type="spellStart"/>
      <w:r>
        <w:t>Gamboci</w:t>
      </w:r>
      <w:proofErr w:type="spellEnd"/>
      <w:r>
        <w:t xml:space="preserve">, Plovanija, Kaldanija i </w:t>
      </w:r>
      <w:proofErr w:type="spellStart"/>
      <w:r>
        <w:t>Momjan</w:t>
      </w:r>
      <w:proofErr w:type="spellEnd"/>
      <w:r>
        <w:t xml:space="preserve"> radi sređivanja baze obveznika komunalne naknade.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55.957,65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2025. godini povećan je iznos isplaćenih naknada za rad predstavničkih i izvršnih tijela, povjerenstava i slično radi isplaćenih naknada izborom povjerenstvu i biračkim odborima za rad na lokalnim izborima.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16.137,76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70.186,30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Rashodi za pristojbe i naknade u 2025. godini povećani su najviše radi naplaćenih naknada Porezne uprave za poslove evidentiranja i naplate prihoda od poreza na dohodak, poreza na potrošnju, poreza na kuće za odmor te poreza na nekretnine i to radi povećanih prihoda koji čine osnovicu za obračun naknada.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41.944,74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Uz nastavak subvencioniranja kamata poduzetnicima temeljem kreditne linije pokrenute koncem 2020. godine "Poduzetnik Istarska županija 2020" i nove kreditne linije "Poduzetnik Istarska županija 2025" u suradnji s Istarskom razvojnom agencijom, Istarskom županijom i poslovnim bankama raspisan je Javni poziv za dodjelu nepovratnih potpora gospodarstvenicima na području Grada. Dodijeljene potpore po Javnom pozivu rezultirale su povećanjem iznosa subvencija u tekućoj godini.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474.884,00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593.640,77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Najveći dio iznosa, 379.589,78 eura odnosi se na sufinanciranje Javne vatrogasne postrojbe Umag. Radi povećanja plaća i materijalnih prava vatrogasaca, izdvajanja su u odnosu na prethodnu godinu veća za 25,1%. Iznos od 57.580,18 eura odnosi se na podmirivanje troškova produženog boravka djece u osnovnim školama.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8118,9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Kapitalne pomoći odnose se na pomoć doznačenu Domu za starije osobe u Novigradu za opremanje kuhinje, pomoć Talijanskoj osnovnoj školi također za potrebe zamjene opreme u školskoj kuhinji, a temeljem Ugovora o sufinanciranju kreditne obveze za adaptaciju i opremanje Odjela za dječju rehabilitaciju doznačena je pomoć Specijalnoj bolnici za ortopediju i rehabilitaciju „Martin Horvat“ Rovinj.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94.220,94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109.835,15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Na povećanje je najviše utjecalo povećanje iznosa učeničkih i studentskih stipendija. Osim toga, povećan je broj podnesenih zahtjeva za isplatu izvanrednih i jednokratnih pomoći.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535.833,82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680.047,41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lastRenderedPageBreak/>
        <w:t>Na povećanje je najviše utjecalo povećanje sredstva za financiranje Sportske zajednice Grada Buja i Područne vatrogasne zajednice Umag.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2.511.282,55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291.975,51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Najveći dio prihoda u iznosu od 281.110,10 eura odnosi se na prodaju nekretnina u vlasništvu Grada. Udio u zajedničkom prihodu od prodaje poljoprivrednog zemljišta u vlasništvu RH iznosi 8.804,74 eura, a udio u prihodu od prodaje stanova sa stanarskim pravom 2.060,67 eura. U 2025. godini raspisan je manji broj javnih natječaja za prodaju nekretnina u vlasništvu Grada, a po raspisanim natječajima pristigle su ponude i sklopljeni ugovori za nekretnine manjih vrijednosti. </w:t>
      </w:r>
    </w:p>
    <w:p w:rsidR="00D87B9B" w:rsidRDefault="00000000">
      <w:r>
        <w:t xml:space="preserve">U izvještajnom razdoblju prethodne godine znatno većoj realizaciji prihoda doprinijela je prodaja građevinskog zemljišta za izgradnju </w:t>
      </w:r>
      <w:proofErr w:type="spellStart"/>
      <w:r>
        <w:t>trgovačakog</w:t>
      </w:r>
      <w:proofErr w:type="spellEnd"/>
      <w:r>
        <w:t xml:space="preserve"> centra Plodine.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268.839,00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Rashodi se odnose se Ugovor o zamjeni nekretnina u k.o. Kaštel. U prethodnoj godini ostvareni su znatno veći rashodi za otkup i zamjenu zemljišta radi rješavanja vlasničkih odnosa u sportsko rekreativnoj zoni Buje i za potrebe uređenja parkirališta u centru Grada.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59.588,68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Iznos realiziran u 2024. godini odnosio se na radove na uređenju prostora garderobe koje je izvršilo Pučko otvoreno učilište Buje u zgradi koju ima na korištenju.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2024. godini iznos od 160.000,00 eura uložen je za otkup poslovne zgrade u naselju Stanica za potrebe uređenja adekvatnog prostora za smještaj Gradskog društva Crvenog križa.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992.187,69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485.138,03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prethodnoj godini uloženo je više sredstava u dogradnju javne rasvjete, a izvršeni su i značajniji radovi na uređenju zgrade stare škole u naselju </w:t>
      </w:r>
      <w:proofErr w:type="spellStart"/>
      <w:r>
        <w:t>Kršete</w:t>
      </w:r>
      <w:proofErr w:type="spellEnd"/>
      <w:r>
        <w:t>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27.883,11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406.245,60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1457,0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bilanci Grada Buja – Buie na računu 98211 – ostala rezerviranja (stalna pričuva i drugo) bila su evidentirana neutrošena sredstva stalne proračunske pričuve iz ranijih godina u iznosu od 10.551,46 eura. Navedena neutrošena sredstva stalne pričuve iz ranijih godina, radi izmjena Pravilnika o proračunskom računovodstvu i Računskom planu i ukidanja računa 98211 – ostala rezerviranja (stalna pričuva i drugo) Odlukom Gradskog vijeća utvrđena su kao višak prihoda poslovanja te je odobren račun 92221 Manjak prihoda poslovanja (izvor financiranja 1 – opći prihodi i primici).  Ukupni preneseni višak Grada je stoga veći za navedeni iznos od 10.551,46 eura i iznosi 510.807,51 eura.  Preneseni manjak Dječjeg vrtića Buje iznosi 22.766,04 eura, manjak Talijanskog dječjeg vrtića Mrvica 74.340,62 eura, a manjak Pučkog otvorenog učilišta Buje 7.455,25 eura. Sveukupni preneseni višak stoga iznosi 406.245,60 eura.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395.694,14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286.540,76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72,4</w:t>
            </w:r>
          </w:p>
        </w:tc>
      </w:tr>
    </w:tbl>
    <w:p w:rsidR="00D87B9B" w:rsidRDefault="00D87B9B">
      <w:pPr>
        <w:spacing w:after="0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503"/>
        <w:gridCol w:w="1793"/>
        <w:gridCol w:w="1375"/>
        <w:gridCol w:w="1297"/>
        <w:gridCol w:w="1322"/>
        <w:gridCol w:w="1726"/>
      </w:tblGrid>
      <w:tr w:rsidR="00D87B9B">
        <w:tc>
          <w:tcPr>
            <w:tcW w:w="833" w:type="pct"/>
            <w:vAlign w:val="center"/>
          </w:tcPr>
          <w:p w:rsidR="00D87B9B" w:rsidRDefault="00000000">
            <w:r>
              <w:t> </w:t>
            </w:r>
          </w:p>
        </w:tc>
        <w:tc>
          <w:tcPr>
            <w:tcW w:w="994" w:type="pct"/>
            <w:vAlign w:val="center"/>
          </w:tcPr>
          <w:p w:rsidR="00D87B9B" w:rsidRDefault="00000000">
            <w:r>
              <w:t>Grad Buje - Buie</w:t>
            </w:r>
          </w:p>
        </w:tc>
        <w:tc>
          <w:tcPr>
            <w:tcW w:w="762" w:type="pct"/>
            <w:vAlign w:val="center"/>
          </w:tcPr>
          <w:p w:rsidR="00D87B9B" w:rsidRDefault="00000000">
            <w:r>
              <w:t>Dječji vrtić Buje</w:t>
            </w:r>
          </w:p>
        </w:tc>
        <w:tc>
          <w:tcPr>
            <w:tcW w:w="719" w:type="pct"/>
            <w:vAlign w:val="center"/>
          </w:tcPr>
          <w:p w:rsidR="00D87B9B" w:rsidRDefault="00000000">
            <w:r>
              <w:t>Talijanski dječji vrtić Mrvica</w:t>
            </w:r>
          </w:p>
        </w:tc>
        <w:tc>
          <w:tcPr>
            <w:tcW w:w="733" w:type="pct"/>
            <w:vAlign w:val="center"/>
          </w:tcPr>
          <w:p w:rsidR="00D87B9B" w:rsidRDefault="00000000">
            <w:r>
              <w:t>Pučko otvoreno učilište Buje</w:t>
            </w:r>
          </w:p>
        </w:tc>
        <w:tc>
          <w:tcPr>
            <w:tcW w:w="957" w:type="pct"/>
            <w:vAlign w:val="center"/>
          </w:tcPr>
          <w:p w:rsidR="00D87B9B" w:rsidRDefault="00000000">
            <w:r>
              <w:t>ukupno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prihoda poslovanja</w:t>
            </w:r>
          </w:p>
        </w:tc>
        <w:tc>
          <w:tcPr>
            <w:tcW w:w="994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-1.234.982,43</w:t>
            </w:r>
          </w:p>
        </w:tc>
        <w:tc>
          <w:tcPr>
            <w:tcW w:w="762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-23.195,96</w:t>
            </w:r>
          </w:p>
        </w:tc>
        <w:tc>
          <w:tcPr>
            <w:tcW w:w="719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-30.811,78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11.219,13</w:t>
            </w:r>
          </w:p>
        </w:tc>
        <w:tc>
          <w:tcPr>
            <w:tcW w:w="95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-1.277.771,04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prihoda od nefinancijske imovine</w:t>
            </w:r>
          </w:p>
        </w:tc>
        <w:tc>
          <w:tcPr>
            <w:tcW w:w="994" w:type="pct"/>
            <w:vAlign w:val="center"/>
          </w:tcPr>
          <w:p w:rsidR="00D87B9B" w:rsidRDefault="00000000">
            <w:pPr>
              <w:keepNext/>
              <w:jc w:val="right"/>
            </w:pPr>
            <w:r>
              <w:t>926.627,51</w:t>
            </w:r>
          </w:p>
        </w:tc>
        <w:tc>
          <w:tcPr>
            <w:tcW w:w="762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-34.784,49</w:t>
            </w:r>
          </w:p>
        </w:tc>
        <w:tc>
          <w:tcPr>
            <w:tcW w:w="719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-13.554,55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-17.560,34</w:t>
            </w:r>
          </w:p>
        </w:tc>
        <w:tc>
          <w:tcPr>
            <w:tcW w:w="95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860.728,13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primitaka od financijske imovine</w:t>
            </w:r>
          </w:p>
        </w:tc>
        <w:tc>
          <w:tcPr>
            <w:tcW w:w="994" w:type="pct"/>
            <w:vAlign w:val="center"/>
          </w:tcPr>
          <w:p w:rsidR="00D87B9B" w:rsidRDefault="00000000">
            <w:pPr>
              <w:keepNext/>
              <w:jc w:val="right"/>
            </w:pPr>
            <w:r>
              <w:t>703.583,67</w:t>
            </w:r>
          </w:p>
        </w:tc>
        <w:tc>
          <w:tcPr>
            <w:tcW w:w="762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719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95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703.583,67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prihoda i primitaka raspoloživ u sljedećem razdoblju</w:t>
            </w:r>
          </w:p>
        </w:tc>
        <w:tc>
          <w:tcPr>
            <w:tcW w:w="994" w:type="pct"/>
            <w:vAlign w:val="center"/>
          </w:tcPr>
          <w:p w:rsidR="00D87B9B" w:rsidRDefault="00000000">
            <w:pPr>
              <w:keepNext/>
              <w:jc w:val="right"/>
            </w:pPr>
            <w:r>
              <w:t>395.228,75</w:t>
            </w:r>
          </w:p>
        </w:tc>
        <w:tc>
          <w:tcPr>
            <w:tcW w:w="762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-57.980,45</w:t>
            </w:r>
          </w:p>
        </w:tc>
        <w:tc>
          <w:tcPr>
            <w:tcW w:w="719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-44.366,33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-6.341,21</w:t>
            </w:r>
          </w:p>
        </w:tc>
        <w:tc>
          <w:tcPr>
            <w:tcW w:w="95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286.540,76</w:t>
            </w:r>
          </w:p>
        </w:tc>
      </w:tr>
    </w:tbl>
    <w:p w:rsidR="00D87B9B" w:rsidRDefault="00000000">
      <w:r>
        <w:t>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24.995.468,92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26.718.508,37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eliminirane su </w:t>
      </w:r>
      <w:proofErr w:type="spellStart"/>
      <w:r>
        <w:t>unutargrupne</w:t>
      </w:r>
      <w:proofErr w:type="spellEnd"/>
      <w:r>
        <w:t xml:space="preserve"> transakcije u ukupnom iznosu od 46.199,35 eura.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4.226.594,13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5.369.889,13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postupku konsolidacije iznos potraživanja od 46.199,35 eura je eliminiran, a radi se o potraživanju proračuna od proračunskog korisnika, o međusobnom potraživanju proračunskih korisnika te o potraživanju proračunskih korisnika za prihode uplaćene u nadležni proračun odnosno na jedinstveni transakcijski račun riznice Grada Buja – Buie.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12.292,63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Iznos od 39,02 eura je u postupku konsolidacije eliminiran, a odnosi se na evidentirano potraživanje od proračunskog korisnika Pučkog otvorenog učilišta Buje za povrat u nadležni proračun po osnovi plaćenog predujma.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U postupku konsolidacije eliminiran je iznos od 42.123,12 eura koji se odnosi na potraživanja za sredstva uplaćena u nadležni proračun evidentirana u financijskim izvještajima proračunskih korisnika.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lastRenderedPageBreak/>
        <w:t xml:space="preserve">U postupku konsolidacije eliminiran je iznos od 4.037,21 eura koji se odnosi na potraživanje za </w:t>
      </w:r>
      <w:proofErr w:type="spellStart"/>
      <w:r>
        <w:t>prefakturirane</w:t>
      </w:r>
      <w:proofErr w:type="spellEnd"/>
      <w:r>
        <w:t xml:space="preserve"> zajedničke troškove Dječjeg vrtića Buje, Talijanskom dječjem vrtiću Mrvica.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198.366,48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332.359,99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eliminirana je obveza u iznosu od 4.037,21 eura koja se odnosi na obvezu Talijanskog dječjeg vrtića Mrvica prema Dječjem vrtiću Buje za </w:t>
      </w:r>
      <w:proofErr w:type="spellStart"/>
      <w:r>
        <w:t>prefakturirane</w:t>
      </w:r>
      <w:proofErr w:type="spellEnd"/>
      <w:r>
        <w:t xml:space="preserve"> zajedničke troškove.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100.586,29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52.032,69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51,7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eliminirane su </w:t>
      </w:r>
      <w:proofErr w:type="spellStart"/>
      <w:r>
        <w:t>unutargrupne</w:t>
      </w:r>
      <w:proofErr w:type="spellEnd"/>
      <w:r>
        <w:t xml:space="preserve"> transakcije u ukupnom iznosu od 42.162,14 eura. Od toga se iznos od 42.123,12 eura odnosi na obveze proračuna za naplaćene prihode proračunskog korisnika, a iznos od 39,02 eura na obvezu proračunskog korisnika za povrat sredstava u nadležni proračun.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1.534.978,16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1.614.689,87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eliminirana je </w:t>
      </w:r>
      <w:proofErr w:type="spellStart"/>
      <w:r>
        <w:t>unutargrupna</w:t>
      </w:r>
      <w:proofErr w:type="spellEnd"/>
      <w:r>
        <w:t xml:space="preserve"> transakcija odnosno iznos od 49.048,57 eura naplaćenih </w:t>
      </w:r>
      <w:proofErr w:type="spellStart"/>
      <w:r>
        <w:t>prefakturiranih</w:t>
      </w:r>
      <w:proofErr w:type="spellEnd"/>
      <w:r>
        <w:t xml:space="preserve"> zajedničkih rashoda poslovanja Dječjeg vrtića Buje, Talijanskom dječjem vrtiću Mrvica koji su u skladu s izmjenama Pravilnika evidentirani po bruto načelu kao rashod kod oba proračunska korisnika.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43.161,57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eliminirana je </w:t>
      </w:r>
      <w:proofErr w:type="spellStart"/>
      <w:r>
        <w:t>unutrargrupna</w:t>
      </w:r>
      <w:proofErr w:type="spellEnd"/>
      <w:r>
        <w:t xml:space="preserve"> transakcija u vrijednosti od 868,18 eura koja se odnosi na prijenos proizvedene dugotrajne imovine Grada proračunskom korisniku Talijanskom dječjem vrtiću Mrvica.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1.514.327,94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eliminirane su </w:t>
      </w:r>
      <w:proofErr w:type="spellStart"/>
      <w:r>
        <w:t>unutargrupne</w:t>
      </w:r>
      <w:proofErr w:type="spellEnd"/>
      <w:r>
        <w:t xml:space="preserve"> transakcije u ukupnom iznosu od 89.503,32 eura. Od toga se iznos od 48.318,02 eura odnosi na obvezu Grada Buja – Buie za naplaćene prihode proračunskih korisnika, dok se iznos od 12.451,02 eura odnosi na obvezu Talijanskog dječjeg vrtića Mrvica prema Dječjem vrtiću Buje za pokriće dijela zajedničkih troškova, a iznos od 28.734,28 eura na obvezu Talijanskog dječjeg vrtića Mrvica za povrat u nadležni proračun po osnovi </w:t>
      </w:r>
      <w:proofErr w:type="spellStart"/>
      <w:r>
        <w:t>predfinanciranja</w:t>
      </w:r>
      <w:proofErr w:type="spellEnd"/>
      <w:r>
        <w:t xml:space="preserve"> troškova projekta COPE.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1.576.998,93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eliminirane su </w:t>
      </w:r>
      <w:proofErr w:type="spellStart"/>
      <w:r>
        <w:t>unutargrupne</w:t>
      </w:r>
      <w:proofErr w:type="spellEnd"/>
      <w:r>
        <w:t xml:space="preserve"> transakcije u ukupnom iznosu od 46.199,35 eura. Od toga se iznos od 42.123,12 eura odnosi na obvezu Grada Buja – Buie za naplaćene prihode proračunskih korisnika, iznos od 4.037,21 eura odnosi se na obvezu Talijanskog dječjeg vrtića Mrvica prema Dječjem vrtiću Buje za pokriće dijela zajedničkih troškova, a 39,02 eura je obveza Pučkog otvorenog učilišta Buje za povrat u nadležni proračun.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>Sve dospjele obveze spadaju u kategoriju obveza s prekoračenjem 1 do 60 dana, a odnose se na račune koji su zaprimljeni ili likvidirani nakon datuma dospijeća te na obvezu za isplatu donacija.</w:t>
      </w:r>
    </w:p>
    <w:p w:rsidR="00D87B9B" w:rsidRDefault="00000000">
      <w:r>
        <w:t>Iznos od 3.702,77 eura odnosi se na dospjele obveze Grada Buja – Buie, iznos od 1.862,64 eura na dospjele obveze Dječjeg vrtića Buje, a iznos od 191,44 eura na dospjele obveze Talijanskog dječjeg vrtića Mrvica. Pučko otvoreno učilište Buje nema dospjelih obveza.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7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7B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D87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1.571.242,08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7B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7B9B" w:rsidRDefault="00D87B9B">
      <w:pPr>
        <w:spacing w:after="0"/>
      </w:pPr>
    </w:p>
    <w:p w:rsidR="00D87B9B" w:rsidRDefault="00000000">
      <w:r>
        <w:t xml:space="preserve">U postupku konsolidacije eliminiran je iznos od 46.199,35 eura koji se odnosi na </w:t>
      </w:r>
      <w:proofErr w:type="spellStart"/>
      <w:r>
        <w:t>unutargrupne</w:t>
      </w:r>
      <w:proofErr w:type="spellEnd"/>
      <w:r>
        <w:t xml:space="preserve"> transakcije odnosno obvezu Grada Buja – Buie za naplaćene prihode proračunskih korisnika u iznosu od 42.123,12 eura, na nedospjelu obvezu Talijanskog dječjeg vrtića Mrvica prema Dječjem vrtiću Buje u iznosu od 4.037,21 eura te nedospjelu obvezu Pučkog otvorenog učilišta Buje za povrat u nadležni proračun u iznosu od 39,02 eura. 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p w:rsidR="00D87B9B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D87B9B" w:rsidRDefault="00000000">
      <w:r>
        <w:t xml:space="preserve">U konsolidiranom financijskom izvještaju eliminirane su sljedeće </w:t>
      </w:r>
      <w:proofErr w:type="spellStart"/>
      <w:r>
        <w:t>unutargrupne</w:t>
      </w:r>
      <w:proofErr w:type="spellEnd"/>
      <w:r>
        <w:t xml:space="preserve"> transakcije</w:t>
      </w:r>
    </w:p>
    <w:p w:rsidR="00D87B9B" w:rsidRDefault="00000000">
      <w:r>
        <w:t>obrazac PR-RAS</w:t>
      </w:r>
    </w:p>
    <w:p w:rsidR="00D87B9B" w:rsidRDefault="00000000">
      <w:pPr>
        <w:pStyle w:val="Odlomakpopisa"/>
        <w:numPr>
          <w:ilvl w:val="0"/>
          <w:numId w:val="1"/>
        </w:numPr>
      </w:pPr>
      <w:r>
        <w:t>podskupine konta 367 / 671 prijenosi proračunskim korisnicima iz nadležnog proračuna - 1.413.663,22 eura</w:t>
      </w:r>
    </w:p>
    <w:p w:rsidR="00D87B9B" w:rsidRDefault="00000000">
      <w:pPr>
        <w:pStyle w:val="Odlomakpopisa"/>
        <w:numPr>
          <w:ilvl w:val="0"/>
          <w:numId w:val="1"/>
        </w:numPr>
      </w:pPr>
      <w:r>
        <w:t xml:space="preserve">plaćeni </w:t>
      </w:r>
      <w:proofErr w:type="spellStart"/>
      <w:r>
        <w:t>prefakturirani</w:t>
      </w:r>
      <w:proofErr w:type="spellEnd"/>
      <w:r>
        <w:t xml:space="preserve"> zajednički troškovi Dječjeg vrtića Buje, Talijanskom dječjem vrtiću Mrvica (konta skupine 32 i podskupina 683) - 49.048,57 eura</w:t>
      </w:r>
    </w:p>
    <w:p w:rsidR="00D87B9B" w:rsidRDefault="00000000">
      <w:r>
        <w:t>obrazac Bilanca</w:t>
      </w:r>
    </w:p>
    <w:p w:rsidR="00D87B9B" w:rsidRDefault="00000000">
      <w:pPr>
        <w:pStyle w:val="Odlomakpopisa"/>
        <w:numPr>
          <w:ilvl w:val="0"/>
          <w:numId w:val="2"/>
        </w:numPr>
      </w:pPr>
      <w:r>
        <w:t>podskupina konta 167 / skupina 27 sredstva proračunskih korisnika uplaćena u nadležni proračun - 42.123,12 eura</w:t>
      </w:r>
    </w:p>
    <w:p w:rsidR="00D87B9B" w:rsidRDefault="00000000">
      <w:pPr>
        <w:pStyle w:val="Odlomakpopisa"/>
        <w:numPr>
          <w:ilvl w:val="0"/>
          <w:numId w:val="2"/>
        </w:numPr>
      </w:pPr>
      <w:r>
        <w:t>podskupina konta 129 / skupina 27 obveza proračunskog korisnika za povrat u nadležni proračun - 39,02 eura</w:t>
      </w:r>
    </w:p>
    <w:p w:rsidR="00D87B9B" w:rsidRDefault="00000000">
      <w:pPr>
        <w:pStyle w:val="Odlomakpopisa"/>
        <w:numPr>
          <w:ilvl w:val="0"/>
          <w:numId w:val="2"/>
        </w:numPr>
      </w:pPr>
      <w:r>
        <w:t xml:space="preserve">podskupina konta 168 / 232 međusobne obveze proračunskih korisnika po osnovi </w:t>
      </w:r>
      <w:proofErr w:type="spellStart"/>
      <w:r>
        <w:t>prefakturiranih</w:t>
      </w:r>
      <w:proofErr w:type="spellEnd"/>
      <w:r>
        <w:t xml:space="preserve"> zajedničkih troškova - 4.037,21 eura</w:t>
      </w:r>
    </w:p>
    <w:p w:rsidR="00D87B9B" w:rsidRDefault="00000000">
      <w:r>
        <w:lastRenderedPageBreak/>
        <w:t>obrazac RAS funkcijski</w:t>
      </w:r>
    </w:p>
    <w:p w:rsidR="00D87B9B" w:rsidRDefault="00000000">
      <w:pPr>
        <w:pStyle w:val="Odlomakpopisa"/>
        <w:numPr>
          <w:ilvl w:val="0"/>
          <w:numId w:val="3"/>
        </w:numPr>
      </w:pPr>
      <w:r>
        <w:t xml:space="preserve">šifra 0911 </w:t>
      </w:r>
      <w:proofErr w:type="spellStart"/>
      <w:r>
        <w:t>prefakturirani</w:t>
      </w:r>
      <w:proofErr w:type="spellEnd"/>
      <w:r>
        <w:t xml:space="preserve"> zajednički troškovi proračunskih korisnika - 49.048,57 eura</w:t>
      </w:r>
    </w:p>
    <w:p w:rsidR="00D87B9B" w:rsidRDefault="00000000">
      <w:r>
        <w:t>obrazac P-VRIO</w:t>
      </w:r>
    </w:p>
    <w:p w:rsidR="00D87B9B" w:rsidRDefault="00000000">
      <w:pPr>
        <w:pStyle w:val="Odlomakpopisa"/>
        <w:numPr>
          <w:ilvl w:val="0"/>
          <w:numId w:val="4"/>
        </w:numPr>
      </w:pPr>
      <w:r>
        <w:t>šifra P018 prijenos imovine nadležnog proračuna proračunskom korisniku - 868,18 eura</w:t>
      </w:r>
    </w:p>
    <w:p w:rsidR="00D87B9B" w:rsidRDefault="00000000">
      <w:r>
        <w:t>obrazac Obveze</w:t>
      </w:r>
    </w:p>
    <w:p w:rsidR="00D87B9B" w:rsidRDefault="00000000">
      <w:pPr>
        <w:pStyle w:val="Odlomakpopisa"/>
        <w:numPr>
          <w:ilvl w:val="0"/>
          <w:numId w:val="5"/>
        </w:numPr>
      </w:pPr>
      <w:r>
        <w:t>obveze za naplaćene prihode proračunskih korisnika - 42.123,12 eura</w:t>
      </w:r>
    </w:p>
    <w:p w:rsidR="00D87B9B" w:rsidRDefault="00000000">
      <w:pPr>
        <w:pStyle w:val="Odlomakpopisa"/>
        <w:numPr>
          <w:ilvl w:val="0"/>
          <w:numId w:val="5"/>
        </w:numPr>
      </w:pPr>
      <w:r>
        <w:t xml:space="preserve">međusobne obveze proračunskih korisnika za </w:t>
      </w:r>
      <w:proofErr w:type="spellStart"/>
      <w:r>
        <w:t>prefakturirane</w:t>
      </w:r>
      <w:proofErr w:type="spellEnd"/>
      <w:r>
        <w:t xml:space="preserve"> zajedničke troškove - 4.037,21 eura</w:t>
      </w:r>
    </w:p>
    <w:p w:rsidR="00D87B9B" w:rsidRDefault="00000000">
      <w:pPr>
        <w:pStyle w:val="Odlomakpopisa"/>
        <w:numPr>
          <w:ilvl w:val="0"/>
          <w:numId w:val="5"/>
        </w:numPr>
      </w:pPr>
      <w:r>
        <w:t>obveza proračunskog korisnika za povrat u nadležni proračun - 39,02 eura</w:t>
      </w:r>
    </w:p>
    <w:p w:rsidR="00D87B9B" w:rsidRDefault="00D87B9B"/>
    <w:p w:rsidR="00D87B9B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p w:rsidR="00D87B9B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503"/>
        <w:gridCol w:w="1759"/>
        <w:gridCol w:w="1390"/>
        <w:gridCol w:w="1511"/>
        <w:gridCol w:w="1322"/>
        <w:gridCol w:w="1531"/>
      </w:tblGrid>
      <w:tr w:rsidR="00D87B9B">
        <w:tc>
          <w:tcPr>
            <w:tcW w:w="833" w:type="pct"/>
            <w:vAlign w:val="center"/>
          </w:tcPr>
          <w:p w:rsidR="00D87B9B" w:rsidRDefault="00000000">
            <w:r>
              <w:t> </w:t>
            </w:r>
          </w:p>
        </w:tc>
        <w:tc>
          <w:tcPr>
            <w:tcW w:w="975" w:type="pct"/>
            <w:vAlign w:val="center"/>
          </w:tcPr>
          <w:p w:rsidR="00D87B9B" w:rsidRDefault="00000000">
            <w:r>
              <w:t>Grad Buje - Buie</w:t>
            </w:r>
          </w:p>
        </w:tc>
        <w:tc>
          <w:tcPr>
            <w:tcW w:w="771" w:type="pct"/>
            <w:vAlign w:val="center"/>
          </w:tcPr>
          <w:p w:rsidR="00D87B9B" w:rsidRDefault="00000000">
            <w:r>
              <w:t>Dječji vrtić Buje</w:t>
            </w:r>
          </w:p>
        </w:tc>
        <w:tc>
          <w:tcPr>
            <w:tcW w:w="837" w:type="pct"/>
            <w:vAlign w:val="center"/>
          </w:tcPr>
          <w:p w:rsidR="00D87B9B" w:rsidRDefault="00000000">
            <w:r>
              <w:t>Talijanski dječji vrtić Mrvica</w:t>
            </w:r>
          </w:p>
        </w:tc>
        <w:tc>
          <w:tcPr>
            <w:tcW w:w="733" w:type="pct"/>
            <w:vAlign w:val="center"/>
          </w:tcPr>
          <w:p w:rsidR="00D87B9B" w:rsidRDefault="00000000">
            <w:r>
              <w:t>Pučko otvoreno učilište Buje</w:t>
            </w:r>
          </w:p>
        </w:tc>
        <w:tc>
          <w:tcPr>
            <w:tcW w:w="848" w:type="pct"/>
            <w:vAlign w:val="center"/>
          </w:tcPr>
          <w:p w:rsidR="00D87B9B" w:rsidRDefault="00000000">
            <w:r>
              <w:t>ukupno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 prihoda poslovanja</w:t>
            </w:r>
          </w:p>
        </w:tc>
        <w:tc>
          <w:tcPr>
            <w:tcW w:w="975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-1.385.509,99</w:t>
            </w:r>
          </w:p>
        </w:tc>
        <w:tc>
          <w:tcPr>
            <w:tcW w:w="771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-23.195,96</w:t>
            </w:r>
          </w:p>
        </w:tc>
        <w:tc>
          <w:tcPr>
            <w:tcW w:w="83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-32.294,90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-5.770,87</w:t>
            </w:r>
          </w:p>
        </w:tc>
        <w:tc>
          <w:tcPr>
            <w:tcW w:w="848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-1.446.771,72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prihoda od nefinancijske imovine</w:t>
            </w:r>
          </w:p>
        </w:tc>
        <w:tc>
          <w:tcPr>
            <w:tcW w:w="975" w:type="pct"/>
            <w:vAlign w:val="center"/>
          </w:tcPr>
          <w:p w:rsidR="00D87B9B" w:rsidRDefault="00000000">
            <w:pPr>
              <w:keepNext/>
              <w:jc w:val="right"/>
            </w:pPr>
            <w:r>
              <w:t>1.065.537,07</w:t>
            </w:r>
          </w:p>
        </w:tc>
        <w:tc>
          <w:tcPr>
            <w:tcW w:w="771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-34.784,49</w:t>
            </w:r>
          </w:p>
        </w:tc>
        <w:tc>
          <w:tcPr>
            <w:tcW w:w="83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-12.071,43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-570,34</w:t>
            </w:r>
          </w:p>
        </w:tc>
        <w:tc>
          <w:tcPr>
            <w:tcW w:w="848" w:type="pct"/>
            <w:vAlign w:val="center"/>
          </w:tcPr>
          <w:p w:rsidR="00D87B9B" w:rsidRDefault="00000000">
            <w:pPr>
              <w:keepNext/>
              <w:jc w:val="right"/>
            </w:pPr>
            <w:r>
              <w:t>1.018.110,81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višak / manjak primitaka od financijske imovine</w:t>
            </w:r>
          </w:p>
        </w:tc>
        <w:tc>
          <w:tcPr>
            <w:tcW w:w="975" w:type="pct"/>
            <w:vAlign w:val="center"/>
          </w:tcPr>
          <w:p w:rsidR="00D87B9B" w:rsidRDefault="00000000">
            <w:pPr>
              <w:keepNext/>
              <w:jc w:val="right"/>
            </w:pPr>
            <w:r>
              <w:t>715.201,67</w:t>
            </w:r>
          </w:p>
        </w:tc>
        <w:tc>
          <w:tcPr>
            <w:tcW w:w="771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83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0,00</w:t>
            </w:r>
          </w:p>
        </w:tc>
        <w:tc>
          <w:tcPr>
            <w:tcW w:w="848" w:type="pct"/>
            <w:vAlign w:val="center"/>
          </w:tcPr>
          <w:p w:rsidR="00D87B9B" w:rsidRDefault="00000000">
            <w:pPr>
              <w:keepNext/>
              <w:jc w:val="right"/>
            </w:pPr>
            <w:r>
              <w:t>715.201,67</w:t>
            </w:r>
          </w:p>
        </w:tc>
      </w:tr>
      <w:tr w:rsidR="00D87B9B">
        <w:tc>
          <w:tcPr>
            <w:tcW w:w="833" w:type="pct"/>
            <w:vAlign w:val="center"/>
          </w:tcPr>
          <w:p w:rsidR="00D87B9B" w:rsidRDefault="00000000">
            <w:r>
              <w:t>ukupni višak / manjak</w:t>
            </w:r>
          </w:p>
        </w:tc>
        <w:tc>
          <w:tcPr>
            <w:tcW w:w="975" w:type="pct"/>
            <w:vAlign w:val="center"/>
          </w:tcPr>
          <w:p w:rsidR="00D87B9B" w:rsidRDefault="00000000">
            <w:pPr>
              <w:keepNext/>
              <w:jc w:val="right"/>
            </w:pPr>
            <w:r>
              <w:t>395.228,75</w:t>
            </w:r>
          </w:p>
        </w:tc>
        <w:tc>
          <w:tcPr>
            <w:tcW w:w="771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-57.980,45</w:t>
            </w:r>
          </w:p>
        </w:tc>
        <w:tc>
          <w:tcPr>
            <w:tcW w:w="837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-44.366,33</w:t>
            </w:r>
          </w:p>
        </w:tc>
        <w:tc>
          <w:tcPr>
            <w:tcW w:w="733" w:type="pct"/>
            <w:vAlign w:val="center"/>
          </w:tcPr>
          <w:p w:rsidR="00D87B9B" w:rsidRDefault="00000000">
            <w:pPr>
              <w:keepNext/>
              <w:jc w:val="right"/>
            </w:pPr>
            <w:r>
              <w:t>-6.341,21</w:t>
            </w:r>
          </w:p>
        </w:tc>
        <w:tc>
          <w:tcPr>
            <w:tcW w:w="848" w:type="pct"/>
            <w:vAlign w:val="center"/>
          </w:tcPr>
          <w:p w:rsidR="00D87B9B" w:rsidRDefault="00000000">
            <w:pPr>
              <w:keepNext/>
              <w:jc w:val="right"/>
            </w:pPr>
            <w:r>
              <w:t>286.540,76</w:t>
            </w:r>
          </w:p>
        </w:tc>
      </w:tr>
    </w:tbl>
    <w:p w:rsidR="00D87B9B" w:rsidRDefault="00000000">
      <w:r>
        <w:t> </w:t>
      </w:r>
    </w:p>
    <w:p w:rsidR="00D87B9B" w:rsidRDefault="00D87B9B"/>
    <w:sectPr w:rsidR="00D87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020"/>
    <w:multiLevelType w:val="hybridMultilevel"/>
    <w:tmpl w:val="0268D250"/>
    <w:name w:val="disc"/>
    <w:lvl w:ilvl="0" w:tplc="E4B6CC98">
      <w:start w:val="1"/>
      <w:numFmt w:val="bullet"/>
      <w:lvlText w:val="•"/>
      <w:lvlJc w:val="left"/>
      <w:pPr>
        <w:ind w:left="720" w:hanging="360"/>
      </w:pPr>
    </w:lvl>
    <w:lvl w:ilvl="1" w:tplc="5DD058D0">
      <w:start w:val="1"/>
      <w:numFmt w:val="bullet"/>
      <w:lvlText w:val="•"/>
      <w:lvlJc w:val="left"/>
      <w:pPr>
        <w:ind w:left="1440" w:hanging="360"/>
      </w:pPr>
    </w:lvl>
    <w:lvl w:ilvl="2" w:tplc="BB60DB3E">
      <w:start w:val="1"/>
      <w:numFmt w:val="bullet"/>
      <w:lvlText w:val="•"/>
      <w:lvlJc w:val="left"/>
      <w:pPr>
        <w:ind w:left="2160" w:hanging="360"/>
      </w:pPr>
    </w:lvl>
    <w:lvl w:ilvl="3" w:tplc="59C0AA02">
      <w:start w:val="1"/>
      <w:numFmt w:val="bullet"/>
      <w:lvlText w:val="•"/>
      <w:lvlJc w:val="left"/>
      <w:pPr>
        <w:ind w:left="2880" w:hanging="360"/>
      </w:pPr>
    </w:lvl>
    <w:lvl w:ilvl="4" w:tplc="AD76F3B4">
      <w:start w:val="1"/>
      <w:numFmt w:val="bullet"/>
      <w:lvlText w:val="•"/>
      <w:lvlJc w:val="left"/>
      <w:pPr>
        <w:ind w:left="3600" w:hanging="360"/>
      </w:pPr>
    </w:lvl>
    <w:lvl w:ilvl="5" w:tplc="D834DA56">
      <w:start w:val="1"/>
      <w:numFmt w:val="bullet"/>
      <w:lvlText w:val="•"/>
      <w:lvlJc w:val="left"/>
      <w:pPr>
        <w:ind w:left="4320" w:hanging="360"/>
      </w:pPr>
    </w:lvl>
    <w:lvl w:ilvl="6" w:tplc="AD1E01FE">
      <w:start w:val="1"/>
      <w:numFmt w:val="bullet"/>
      <w:lvlText w:val="•"/>
      <w:lvlJc w:val="left"/>
      <w:pPr>
        <w:ind w:left="5040" w:hanging="360"/>
      </w:pPr>
    </w:lvl>
    <w:lvl w:ilvl="7" w:tplc="D6F4FF7C">
      <w:start w:val="1"/>
      <w:numFmt w:val="bullet"/>
      <w:lvlText w:val="•"/>
      <w:lvlJc w:val="left"/>
      <w:pPr>
        <w:ind w:left="5760" w:hanging="360"/>
      </w:pPr>
    </w:lvl>
    <w:lvl w:ilvl="8" w:tplc="DDCEE6CA">
      <w:start w:val="1"/>
      <w:numFmt w:val="bullet"/>
      <w:lvlText w:val="•"/>
      <w:lvlJc w:val="left"/>
      <w:pPr>
        <w:ind w:left="6480" w:hanging="360"/>
      </w:pPr>
    </w:lvl>
  </w:abstractNum>
  <w:num w:numId="1" w16cid:durableId="348407330">
    <w:abstractNumId w:val="0"/>
    <w:lvlOverride w:ilvl="0">
      <w:startOverride w:val="1"/>
    </w:lvlOverride>
  </w:num>
  <w:num w:numId="2" w16cid:durableId="132136035">
    <w:abstractNumId w:val="0"/>
    <w:lvlOverride w:ilvl="0">
      <w:startOverride w:val="1"/>
    </w:lvlOverride>
  </w:num>
  <w:num w:numId="3" w16cid:durableId="861938716">
    <w:abstractNumId w:val="0"/>
    <w:lvlOverride w:ilvl="0">
      <w:startOverride w:val="1"/>
    </w:lvlOverride>
  </w:num>
  <w:num w:numId="4" w16cid:durableId="2068064210">
    <w:abstractNumId w:val="0"/>
    <w:lvlOverride w:ilvl="0">
      <w:startOverride w:val="1"/>
    </w:lvlOverride>
  </w:num>
  <w:num w:numId="5" w16cid:durableId="4647365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9B"/>
    <w:rsid w:val="00580383"/>
    <w:rsid w:val="00D87B9B"/>
    <w:rsid w:val="00E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2548D-199D-4247-AA05-DA2B22E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4097</Words>
  <Characters>23359</Characters>
  <Application>Microsoft Office Word</Application>
  <DocSecurity>0</DocSecurity>
  <Lines>194</Lines>
  <Paragraphs>54</Paragraphs>
  <ScaleCrop>false</ScaleCrop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Loreta Makovac</cp:lastModifiedBy>
  <cp:revision>2</cp:revision>
  <dcterms:created xsi:type="dcterms:W3CDTF">2026-02-24T13:05:00Z</dcterms:created>
  <dcterms:modified xsi:type="dcterms:W3CDTF">2026-02-24T13:05:00Z</dcterms:modified>
</cp:coreProperties>
</file>