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925E1">
        <w:tblPrEx>
          <w:tblCellMar>
            <w:top w:w="0" w:type="dxa"/>
            <w:bottom w:w="0" w:type="dxa"/>
          </w:tblCellMar>
        </w:tblPrEx>
        <w:trPr>
          <w:tblCellSpacing w:w="60" w:type="dxa"/>
        </w:trPr>
        <w:tc>
          <w:tcPr>
            <w:tcW w:w="1200" w:type="pct"/>
            <w:shd w:val="clear" w:color="auto" w:fill="E7F0F9"/>
          </w:tcPr>
          <w:p w:rsidR="00E925E1" w:rsidRDefault="00000000">
            <w:pPr>
              <w:spacing w:after="0" w:line="240" w:lineRule="auto"/>
            </w:pPr>
            <w:r>
              <w:rPr>
                <w:b/>
              </w:rPr>
              <w:t>RKP broj</w:t>
            </w:r>
          </w:p>
        </w:tc>
        <w:tc>
          <w:tcPr>
            <w:tcW w:w="0" w:type="auto"/>
            <w:shd w:val="clear" w:color="auto" w:fill="E7F0F9"/>
          </w:tcPr>
          <w:p w:rsidR="00E925E1" w:rsidRDefault="00000000">
            <w:pPr>
              <w:spacing w:after="0" w:line="240" w:lineRule="auto"/>
            </w:pPr>
            <w:r>
              <w:t>36292</w:t>
            </w:r>
          </w:p>
        </w:tc>
      </w:tr>
      <w:tr w:rsidR="00E925E1">
        <w:tblPrEx>
          <w:tblCellMar>
            <w:top w:w="0" w:type="dxa"/>
            <w:bottom w:w="0" w:type="dxa"/>
          </w:tblCellMar>
        </w:tblPrEx>
        <w:trPr>
          <w:tblCellSpacing w:w="60" w:type="dxa"/>
        </w:trPr>
        <w:tc>
          <w:tcPr>
            <w:tcW w:w="1200" w:type="pct"/>
            <w:shd w:val="clear" w:color="auto" w:fill="E7F0F9"/>
          </w:tcPr>
          <w:p w:rsidR="00E925E1" w:rsidRDefault="00000000">
            <w:pPr>
              <w:spacing w:after="0" w:line="240" w:lineRule="auto"/>
            </w:pPr>
            <w:r>
              <w:rPr>
                <w:b/>
              </w:rPr>
              <w:t>Naziv obveznika</w:t>
            </w:r>
          </w:p>
        </w:tc>
        <w:tc>
          <w:tcPr>
            <w:tcW w:w="0" w:type="auto"/>
            <w:shd w:val="clear" w:color="auto" w:fill="E7F0F9"/>
          </w:tcPr>
          <w:p w:rsidR="00E925E1" w:rsidRDefault="00000000">
            <w:pPr>
              <w:spacing w:after="0" w:line="240" w:lineRule="auto"/>
            </w:pPr>
            <w:r>
              <w:t>GRAD BUJE-BUIE</w:t>
            </w:r>
          </w:p>
        </w:tc>
      </w:tr>
      <w:tr w:rsidR="00E925E1">
        <w:tblPrEx>
          <w:tblCellMar>
            <w:top w:w="0" w:type="dxa"/>
            <w:bottom w:w="0" w:type="dxa"/>
          </w:tblCellMar>
        </w:tblPrEx>
        <w:trPr>
          <w:tblCellSpacing w:w="60" w:type="dxa"/>
        </w:trPr>
        <w:tc>
          <w:tcPr>
            <w:tcW w:w="1200" w:type="pct"/>
            <w:shd w:val="clear" w:color="auto" w:fill="E7F0F9"/>
          </w:tcPr>
          <w:p w:rsidR="00E925E1" w:rsidRDefault="00000000">
            <w:pPr>
              <w:spacing w:after="0" w:line="240" w:lineRule="auto"/>
            </w:pPr>
            <w:r>
              <w:rPr>
                <w:b/>
              </w:rPr>
              <w:t>Razina</w:t>
            </w:r>
          </w:p>
        </w:tc>
        <w:tc>
          <w:tcPr>
            <w:tcW w:w="0" w:type="auto"/>
            <w:shd w:val="clear" w:color="auto" w:fill="E7F0F9"/>
          </w:tcPr>
          <w:p w:rsidR="00E925E1" w:rsidRDefault="00000000">
            <w:pPr>
              <w:spacing w:after="0" w:line="240" w:lineRule="auto"/>
            </w:pPr>
            <w:r>
              <w:t>22</w:t>
            </w:r>
          </w:p>
        </w:tc>
      </w:tr>
    </w:tbl>
    <w:p w:rsidR="00E925E1" w:rsidRDefault="00000000">
      <w:r>
        <w:br/>
      </w:r>
    </w:p>
    <w:p w:rsidR="00E925E1" w:rsidRDefault="00000000">
      <w:pPr>
        <w:spacing w:line="240" w:lineRule="auto"/>
        <w:jc w:val="center"/>
      </w:pPr>
      <w:r>
        <w:rPr>
          <w:b/>
          <w:sz w:val="28"/>
        </w:rPr>
        <w:t>BILJEŠKE UZ FINANCIJSKE IZVJEŠTAJE</w:t>
      </w:r>
    </w:p>
    <w:p w:rsidR="00E925E1" w:rsidRDefault="00000000">
      <w:pPr>
        <w:spacing w:line="240" w:lineRule="auto"/>
        <w:jc w:val="center"/>
      </w:pPr>
      <w:r>
        <w:rPr>
          <w:b/>
          <w:sz w:val="28"/>
        </w:rPr>
        <w:t>ZA RAZDOBLJE</w:t>
      </w:r>
    </w:p>
    <w:p w:rsidR="00E925E1" w:rsidRDefault="00000000">
      <w:pPr>
        <w:spacing w:line="240" w:lineRule="auto"/>
        <w:jc w:val="center"/>
      </w:pPr>
      <w:r>
        <w:rPr>
          <w:b/>
          <w:sz w:val="28"/>
        </w:rPr>
        <w:t>I - XII 2025.</w:t>
      </w:r>
    </w:p>
    <w:p w:rsidR="00E925E1" w:rsidRDefault="00E925E1"/>
    <w:p w:rsidR="00E925E1" w:rsidRDefault="00000000">
      <w:pPr>
        <w:keepNext/>
        <w:spacing w:line="240" w:lineRule="auto"/>
        <w:jc w:val="center"/>
      </w:pPr>
      <w:r>
        <w:rPr>
          <w:b/>
          <w:sz w:val="28"/>
        </w:rPr>
        <w:t>Izvještaj o prihodima i rashodima, primicima i izdacima</w:t>
      </w:r>
    </w:p>
    <w:p w:rsidR="00E925E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w:t>
            </w:r>
          </w:p>
        </w:tc>
        <w:tc>
          <w:tcPr>
            <w:tcW w:w="3180" w:type="dxa"/>
            <w:tcMar>
              <w:top w:w="0" w:type="dxa"/>
              <w:bottom w:w="0" w:type="dxa"/>
            </w:tcMar>
            <w:vAlign w:val="center"/>
          </w:tcPr>
          <w:p w:rsidR="00E925E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E925E1" w:rsidRDefault="00000000">
            <w:pPr>
              <w:keepNext/>
              <w:keepLines/>
              <w:spacing w:after="0" w:line="240" w:lineRule="auto"/>
            </w:pPr>
            <w:r>
              <w:rPr>
                <w:sz w:val="18"/>
              </w:rPr>
              <w:t>6</w:t>
            </w:r>
          </w:p>
        </w:tc>
        <w:tc>
          <w:tcPr>
            <w:tcW w:w="1860" w:type="dxa"/>
            <w:tcMar>
              <w:top w:w="0" w:type="dxa"/>
              <w:bottom w:w="0" w:type="dxa"/>
            </w:tcMar>
            <w:vAlign w:val="center"/>
          </w:tcPr>
          <w:p w:rsidR="00E925E1" w:rsidRDefault="00000000">
            <w:pPr>
              <w:keepNext/>
              <w:keepLines/>
              <w:spacing w:after="0" w:line="240" w:lineRule="auto"/>
              <w:jc w:val="right"/>
            </w:pPr>
            <w:r>
              <w:rPr>
                <w:sz w:val="18"/>
              </w:rPr>
              <w:t>5.783.638,86</w:t>
            </w:r>
          </w:p>
        </w:tc>
        <w:tc>
          <w:tcPr>
            <w:tcW w:w="1860" w:type="dxa"/>
            <w:tcMar>
              <w:top w:w="0" w:type="dxa"/>
              <w:bottom w:w="0" w:type="dxa"/>
            </w:tcMar>
            <w:vAlign w:val="center"/>
          </w:tcPr>
          <w:p w:rsidR="00E925E1" w:rsidRDefault="00000000">
            <w:pPr>
              <w:keepNext/>
              <w:keepLines/>
              <w:spacing w:after="0" w:line="240" w:lineRule="auto"/>
              <w:jc w:val="right"/>
            </w:pPr>
            <w:r>
              <w:rPr>
                <w:sz w:val="18"/>
              </w:rPr>
              <w:t>7.343.213,61</w:t>
            </w:r>
          </w:p>
        </w:tc>
        <w:tc>
          <w:tcPr>
            <w:tcW w:w="700" w:type="dxa"/>
            <w:tcMar>
              <w:top w:w="0" w:type="dxa"/>
              <w:bottom w:w="0" w:type="dxa"/>
            </w:tcMar>
            <w:vAlign w:val="center"/>
          </w:tcPr>
          <w:p w:rsidR="00E925E1" w:rsidRDefault="00000000">
            <w:pPr>
              <w:keepNext/>
              <w:keepLines/>
              <w:spacing w:after="0" w:line="240" w:lineRule="auto"/>
              <w:jc w:val="right"/>
            </w:pPr>
            <w:r>
              <w:rPr>
                <w:sz w:val="18"/>
              </w:rPr>
              <w:t>127,0</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w:t>
            </w:r>
          </w:p>
        </w:tc>
        <w:tc>
          <w:tcPr>
            <w:tcW w:w="3180" w:type="dxa"/>
            <w:tcMar>
              <w:top w:w="0" w:type="dxa"/>
              <w:bottom w:w="0" w:type="dxa"/>
            </w:tcMar>
            <w:vAlign w:val="center"/>
          </w:tcPr>
          <w:p w:rsidR="00E925E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E925E1" w:rsidRDefault="00000000">
            <w:pPr>
              <w:keepNext/>
              <w:keepLines/>
              <w:spacing w:after="0" w:line="240" w:lineRule="auto"/>
            </w:pPr>
            <w:r>
              <w:rPr>
                <w:sz w:val="18"/>
              </w:rPr>
              <w:t>3</w:t>
            </w:r>
          </w:p>
        </w:tc>
        <w:tc>
          <w:tcPr>
            <w:tcW w:w="1860" w:type="dxa"/>
            <w:tcMar>
              <w:top w:w="0" w:type="dxa"/>
              <w:bottom w:w="0" w:type="dxa"/>
            </w:tcMar>
            <w:vAlign w:val="center"/>
          </w:tcPr>
          <w:p w:rsidR="00E925E1" w:rsidRDefault="00000000">
            <w:pPr>
              <w:keepNext/>
              <w:keepLines/>
              <w:spacing w:after="0" w:line="240" w:lineRule="auto"/>
              <w:jc w:val="right"/>
            </w:pPr>
            <w:r>
              <w:rPr>
                <w:sz w:val="18"/>
              </w:rPr>
              <w:t>5.583.600,72</w:t>
            </w:r>
          </w:p>
        </w:tc>
        <w:tc>
          <w:tcPr>
            <w:tcW w:w="1860" w:type="dxa"/>
            <w:tcMar>
              <w:top w:w="0" w:type="dxa"/>
              <w:bottom w:w="0" w:type="dxa"/>
            </w:tcMar>
            <w:vAlign w:val="center"/>
          </w:tcPr>
          <w:p w:rsidR="00E925E1" w:rsidRDefault="00000000">
            <w:pPr>
              <w:keepNext/>
              <w:keepLines/>
              <w:spacing w:after="0" w:line="240" w:lineRule="auto"/>
              <w:jc w:val="right"/>
            </w:pPr>
            <w:r>
              <w:rPr>
                <w:sz w:val="18"/>
              </w:rPr>
              <w:t>6.332.533,01</w:t>
            </w:r>
          </w:p>
        </w:tc>
        <w:tc>
          <w:tcPr>
            <w:tcW w:w="700" w:type="dxa"/>
            <w:tcMar>
              <w:top w:w="0" w:type="dxa"/>
              <w:bottom w:w="0" w:type="dxa"/>
            </w:tcMar>
            <w:vAlign w:val="center"/>
          </w:tcPr>
          <w:p w:rsidR="00E925E1" w:rsidRDefault="00000000">
            <w:pPr>
              <w:keepNext/>
              <w:keepLines/>
              <w:spacing w:after="0" w:line="240" w:lineRule="auto"/>
              <w:jc w:val="right"/>
            </w:pPr>
            <w:r>
              <w:rPr>
                <w:sz w:val="18"/>
              </w:rPr>
              <w:t>113,4</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rsidR="00E925E1" w:rsidRDefault="00000000">
            <w:pPr>
              <w:keepNext/>
              <w:keepLines/>
              <w:spacing w:after="0" w:line="240" w:lineRule="auto"/>
            </w:pPr>
            <w:r>
              <w:rPr>
                <w:b/>
                <w:sz w:val="18"/>
              </w:rPr>
              <w:t>X001</w:t>
            </w:r>
          </w:p>
        </w:tc>
        <w:tc>
          <w:tcPr>
            <w:tcW w:w="1860" w:type="dxa"/>
            <w:tcMar>
              <w:top w:w="0" w:type="dxa"/>
              <w:bottom w:w="0" w:type="dxa"/>
            </w:tcMar>
            <w:vAlign w:val="center"/>
          </w:tcPr>
          <w:p w:rsidR="00E925E1" w:rsidRDefault="00000000">
            <w:pPr>
              <w:keepNext/>
              <w:keepLines/>
              <w:spacing w:after="0" w:line="240" w:lineRule="auto"/>
              <w:jc w:val="right"/>
            </w:pPr>
            <w:r>
              <w:rPr>
                <w:b/>
                <w:sz w:val="18"/>
              </w:rPr>
              <w:t>200.038,14</w:t>
            </w:r>
          </w:p>
        </w:tc>
        <w:tc>
          <w:tcPr>
            <w:tcW w:w="1860" w:type="dxa"/>
            <w:tcMar>
              <w:top w:w="0" w:type="dxa"/>
              <w:bottom w:w="0" w:type="dxa"/>
            </w:tcMar>
            <w:vAlign w:val="center"/>
          </w:tcPr>
          <w:p w:rsidR="00E925E1" w:rsidRDefault="00000000">
            <w:pPr>
              <w:keepNext/>
              <w:keepLines/>
              <w:spacing w:after="0" w:line="240" w:lineRule="auto"/>
              <w:jc w:val="right"/>
            </w:pPr>
            <w:r>
              <w:rPr>
                <w:b/>
                <w:sz w:val="18"/>
              </w:rPr>
              <w:t>1.010.680,60</w:t>
            </w:r>
          </w:p>
        </w:tc>
        <w:tc>
          <w:tcPr>
            <w:tcW w:w="700" w:type="dxa"/>
            <w:tcMar>
              <w:top w:w="0" w:type="dxa"/>
              <w:bottom w:w="0" w:type="dxa"/>
            </w:tcMar>
            <w:vAlign w:val="center"/>
          </w:tcPr>
          <w:p w:rsidR="00E925E1" w:rsidRDefault="00000000">
            <w:pPr>
              <w:keepNext/>
              <w:keepLines/>
              <w:spacing w:after="0" w:line="240" w:lineRule="auto"/>
              <w:jc w:val="right"/>
            </w:pPr>
            <w:r>
              <w:rPr>
                <w:b/>
                <w:sz w:val="18"/>
              </w:rPr>
              <w:t>505,2</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7</w:t>
            </w:r>
          </w:p>
        </w:tc>
        <w:tc>
          <w:tcPr>
            <w:tcW w:w="3180" w:type="dxa"/>
            <w:tcMar>
              <w:top w:w="0" w:type="dxa"/>
              <w:bottom w:w="0" w:type="dxa"/>
            </w:tcMar>
            <w:vAlign w:val="center"/>
          </w:tcPr>
          <w:p w:rsidR="00E925E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925E1" w:rsidRDefault="00000000">
            <w:pPr>
              <w:keepNext/>
              <w:keepLines/>
              <w:spacing w:after="0" w:line="240" w:lineRule="auto"/>
            </w:pPr>
            <w:r>
              <w:rPr>
                <w:sz w:val="18"/>
              </w:rPr>
              <w:t>7</w:t>
            </w:r>
          </w:p>
        </w:tc>
        <w:tc>
          <w:tcPr>
            <w:tcW w:w="1860" w:type="dxa"/>
            <w:tcMar>
              <w:top w:w="0" w:type="dxa"/>
              <w:bottom w:w="0" w:type="dxa"/>
            </w:tcMar>
            <w:vAlign w:val="center"/>
          </w:tcPr>
          <w:p w:rsidR="00E925E1" w:rsidRDefault="00000000">
            <w:pPr>
              <w:keepNext/>
              <w:keepLines/>
              <w:spacing w:after="0" w:line="240" w:lineRule="auto"/>
              <w:jc w:val="right"/>
            </w:pPr>
            <w:r>
              <w:rPr>
                <w:sz w:val="18"/>
              </w:rPr>
              <w:t>2.511.282,55</w:t>
            </w:r>
          </w:p>
        </w:tc>
        <w:tc>
          <w:tcPr>
            <w:tcW w:w="1860" w:type="dxa"/>
            <w:tcMar>
              <w:top w:w="0" w:type="dxa"/>
              <w:bottom w:w="0" w:type="dxa"/>
            </w:tcMar>
            <w:vAlign w:val="center"/>
          </w:tcPr>
          <w:p w:rsidR="00E925E1" w:rsidRDefault="00000000">
            <w:pPr>
              <w:keepNext/>
              <w:keepLines/>
              <w:spacing w:after="0" w:line="240" w:lineRule="auto"/>
              <w:jc w:val="right"/>
            </w:pPr>
            <w:r>
              <w:rPr>
                <w:sz w:val="18"/>
              </w:rPr>
              <w:t>291.975,51</w:t>
            </w:r>
          </w:p>
        </w:tc>
        <w:tc>
          <w:tcPr>
            <w:tcW w:w="700" w:type="dxa"/>
            <w:tcMar>
              <w:top w:w="0" w:type="dxa"/>
              <w:bottom w:w="0" w:type="dxa"/>
            </w:tcMar>
            <w:vAlign w:val="center"/>
          </w:tcPr>
          <w:p w:rsidR="00E925E1" w:rsidRDefault="00000000">
            <w:pPr>
              <w:keepNext/>
              <w:keepLines/>
              <w:spacing w:after="0" w:line="240" w:lineRule="auto"/>
              <w:jc w:val="right"/>
            </w:pPr>
            <w:r>
              <w:rPr>
                <w:sz w:val="18"/>
              </w:rPr>
              <w:t>11,6</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w:t>
            </w:r>
          </w:p>
        </w:tc>
        <w:tc>
          <w:tcPr>
            <w:tcW w:w="3180" w:type="dxa"/>
            <w:tcMar>
              <w:top w:w="0" w:type="dxa"/>
              <w:bottom w:w="0" w:type="dxa"/>
            </w:tcMar>
            <w:vAlign w:val="center"/>
          </w:tcPr>
          <w:p w:rsidR="00E925E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925E1" w:rsidRDefault="00000000">
            <w:pPr>
              <w:keepNext/>
              <w:keepLines/>
              <w:spacing w:after="0" w:line="240" w:lineRule="auto"/>
            </w:pPr>
            <w:r>
              <w:rPr>
                <w:sz w:val="18"/>
              </w:rPr>
              <w:t>4</w:t>
            </w:r>
          </w:p>
        </w:tc>
        <w:tc>
          <w:tcPr>
            <w:tcW w:w="1860" w:type="dxa"/>
            <w:tcMar>
              <w:top w:w="0" w:type="dxa"/>
              <w:bottom w:w="0" w:type="dxa"/>
            </w:tcMar>
            <w:vAlign w:val="center"/>
          </w:tcPr>
          <w:p w:rsidR="00E925E1" w:rsidRDefault="00000000">
            <w:pPr>
              <w:keepNext/>
              <w:keepLines/>
              <w:spacing w:after="0" w:line="240" w:lineRule="auto"/>
              <w:jc w:val="right"/>
            </w:pPr>
            <w:r>
              <w:rPr>
                <w:sz w:val="18"/>
              </w:rPr>
              <w:t>2.112.565,45</w:t>
            </w:r>
          </w:p>
        </w:tc>
        <w:tc>
          <w:tcPr>
            <w:tcW w:w="1860" w:type="dxa"/>
            <w:tcMar>
              <w:top w:w="0" w:type="dxa"/>
              <w:bottom w:w="0" w:type="dxa"/>
            </w:tcMar>
            <w:vAlign w:val="center"/>
          </w:tcPr>
          <w:p w:rsidR="00E925E1" w:rsidRDefault="00000000">
            <w:pPr>
              <w:keepNext/>
              <w:keepLines/>
              <w:spacing w:after="0" w:line="240" w:lineRule="auto"/>
              <w:jc w:val="right"/>
            </w:pPr>
            <w:r>
              <w:rPr>
                <w:sz w:val="18"/>
              </w:rPr>
              <w:t>1.270.238,32</w:t>
            </w:r>
          </w:p>
        </w:tc>
        <w:tc>
          <w:tcPr>
            <w:tcW w:w="700" w:type="dxa"/>
            <w:tcMar>
              <w:top w:w="0" w:type="dxa"/>
              <w:bottom w:w="0" w:type="dxa"/>
            </w:tcMar>
            <w:vAlign w:val="center"/>
          </w:tcPr>
          <w:p w:rsidR="00E925E1" w:rsidRDefault="00000000">
            <w:pPr>
              <w:keepNext/>
              <w:keepLines/>
              <w:spacing w:after="0" w:line="240" w:lineRule="auto"/>
              <w:jc w:val="right"/>
            </w:pPr>
            <w:r>
              <w:rPr>
                <w:sz w:val="18"/>
              </w:rPr>
              <w:t>60,1</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925E1" w:rsidRDefault="00000000">
            <w:pPr>
              <w:keepNext/>
              <w:keepLines/>
              <w:spacing w:after="0" w:line="240" w:lineRule="auto"/>
            </w:pPr>
            <w:r>
              <w:rPr>
                <w:b/>
                <w:sz w:val="18"/>
              </w:rPr>
              <w:t>Y002</w:t>
            </w:r>
          </w:p>
        </w:tc>
        <w:tc>
          <w:tcPr>
            <w:tcW w:w="1860" w:type="dxa"/>
            <w:tcMar>
              <w:top w:w="0" w:type="dxa"/>
              <w:bottom w:w="0" w:type="dxa"/>
            </w:tcMar>
            <w:vAlign w:val="center"/>
          </w:tcPr>
          <w:p w:rsidR="00E925E1" w:rsidRDefault="00000000">
            <w:pPr>
              <w:keepNext/>
              <w:keepLines/>
              <w:spacing w:after="0" w:line="240" w:lineRule="auto"/>
              <w:jc w:val="right"/>
            </w:pPr>
            <w:r>
              <w:rPr>
                <w:b/>
                <w:sz w:val="18"/>
              </w:rPr>
              <w:t>0,00</w:t>
            </w:r>
          </w:p>
        </w:tc>
        <w:tc>
          <w:tcPr>
            <w:tcW w:w="1860" w:type="dxa"/>
            <w:tcMar>
              <w:top w:w="0" w:type="dxa"/>
              <w:bottom w:w="0" w:type="dxa"/>
            </w:tcMar>
            <w:vAlign w:val="center"/>
          </w:tcPr>
          <w:p w:rsidR="00E925E1" w:rsidRDefault="00000000">
            <w:pPr>
              <w:keepNext/>
              <w:keepLines/>
              <w:spacing w:after="0" w:line="240" w:lineRule="auto"/>
              <w:jc w:val="right"/>
            </w:pPr>
            <w:r>
              <w:rPr>
                <w:b/>
                <w:sz w:val="18"/>
              </w:rPr>
              <w:t>978.262,81</w:t>
            </w:r>
          </w:p>
        </w:tc>
        <w:tc>
          <w:tcPr>
            <w:tcW w:w="700" w:type="dxa"/>
            <w:tcMar>
              <w:top w:w="0" w:type="dxa"/>
              <w:bottom w:w="0" w:type="dxa"/>
            </w:tcMar>
            <w:vAlign w:val="center"/>
          </w:tcPr>
          <w:p w:rsidR="00E925E1" w:rsidRDefault="00000000">
            <w:pPr>
              <w:keepNext/>
              <w:keepLines/>
              <w:spacing w:after="0" w:line="240" w:lineRule="auto"/>
              <w:jc w:val="right"/>
            </w:pPr>
            <w:r>
              <w:rPr>
                <w:b/>
                <w:sz w:val="18"/>
              </w:rPr>
              <w:t>-</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8</w:t>
            </w:r>
          </w:p>
        </w:tc>
        <w:tc>
          <w:tcPr>
            <w:tcW w:w="3180" w:type="dxa"/>
            <w:tcMar>
              <w:top w:w="0" w:type="dxa"/>
              <w:bottom w:w="0" w:type="dxa"/>
            </w:tcMar>
            <w:vAlign w:val="center"/>
          </w:tcPr>
          <w:p w:rsidR="00E925E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925E1" w:rsidRDefault="00000000">
            <w:pPr>
              <w:keepNext/>
              <w:keepLines/>
              <w:spacing w:after="0" w:line="240" w:lineRule="auto"/>
            </w:pPr>
            <w:r>
              <w:rPr>
                <w:sz w:val="18"/>
              </w:rPr>
              <w:t>8</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5</w:t>
            </w:r>
          </w:p>
        </w:tc>
        <w:tc>
          <w:tcPr>
            <w:tcW w:w="3180" w:type="dxa"/>
            <w:tcMar>
              <w:top w:w="0" w:type="dxa"/>
              <w:bottom w:w="0" w:type="dxa"/>
            </w:tcMar>
            <w:vAlign w:val="center"/>
          </w:tcPr>
          <w:p w:rsidR="00E925E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E925E1" w:rsidRDefault="00000000">
            <w:pPr>
              <w:keepNext/>
              <w:keepLines/>
              <w:spacing w:after="0" w:line="240" w:lineRule="auto"/>
            </w:pPr>
            <w:r>
              <w:rPr>
                <w:sz w:val="18"/>
              </w:rPr>
              <w:t>5</w:t>
            </w:r>
          </w:p>
        </w:tc>
        <w:tc>
          <w:tcPr>
            <w:tcW w:w="1860" w:type="dxa"/>
            <w:tcMar>
              <w:top w:w="0" w:type="dxa"/>
              <w:bottom w:w="0" w:type="dxa"/>
            </w:tcMar>
            <w:vAlign w:val="center"/>
          </w:tcPr>
          <w:p w:rsidR="00E925E1" w:rsidRDefault="00000000">
            <w:pPr>
              <w:keepNext/>
              <w:keepLines/>
              <w:spacing w:after="0" w:line="240" w:lineRule="auto"/>
              <w:jc w:val="right"/>
            </w:pPr>
            <w:r>
              <w:rPr>
                <w:sz w:val="18"/>
              </w:rPr>
              <w:t>122.996,56</w:t>
            </w:r>
          </w:p>
        </w:tc>
        <w:tc>
          <w:tcPr>
            <w:tcW w:w="1860" w:type="dxa"/>
            <w:tcMar>
              <w:top w:w="0" w:type="dxa"/>
              <w:bottom w:w="0" w:type="dxa"/>
            </w:tcMar>
            <w:vAlign w:val="center"/>
          </w:tcPr>
          <w:p w:rsidR="00E925E1" w:rsidRDefault="00000000">
            <w:pPr>
              <w:keepNext/>
              <w:keepLines/>
              <w:spacing w:after="0" w:line="240" w:lineRule="auto"/>
              <w:jc w:val="right"/>
            </w:pPr>
            <w:r>
              <w:rPr>
                <w:sz w:val="18"/>
              </w:rPr>
              <w:t>147.996,55</w:t>
            </w:r>
          </w:p>
        </w:tc>
        <w:tc>
          <w:tcPr>
            <w:tcW w:w="700" w:type="dxa"/>
            <w:tcMar>
              <w:top w:w="0" w:type="dxa"/>
              <w:bottom w:w="0" w:type="dxa"/>
            </w:tcMar>
            <w:vAlign w:val="center"/>
          </w:tcPr>
          <w:p w:rsidR="00E925E1" w:rsidRDefault="00000000">
            <w:pPr>
              <w:keepNext/>
              <w:keepLines/>
              <w:spacing w:after="0" w:line="240" w:lineRule="auto"/>
              <w:jc w:val="right"/>
            </w:pPr>
            <w:r>
              <w:rPr>
                <w:sz w:val="18"/>
              </w:rPr>
              <w:t>120,3</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E925E1" w:rsidRDefault="00000000">
            <w:pPr>
              <w:keepNext/>
              <w:keepLines/>
              <w:spacing w:after="0" w:line="240" w:lineRule="auto"/>
            </w:pPr>
            <w:r>
              <w:rPr>
                <w:b/>
                <w:sz w:val="18"/>
              </w:rPr>
              <w:t>Y003</w:t>
            </w:r>
          </w:p>
        </w:tc>
        <w:tc>
          <w:tcPr>
            <w:tcW w:w="1860" w:type="dxa"/>
            <w:tcMar>
              <w:top w:w="0" w:type="dxa"/>
              <w:bottom w:w="0" w:type="dxa"/>
            </w:tcMar>
            <w:vAlign w:val="center"/>
          </w:tcPr>
          <w:p w:rsidR="00E925E1" w:rsidRDefault="00000000">
            <w:pPr>
              <w:keepNext/>
              <w:keepLines/>
              <w:spacing w:after="0" w:line="240" w:lineRule="auto"/>
              <w:jc w:val="right"/>
            </w:pPr>
            <w:r>
              <w:rPr>
                <w:b/>
                <w:sz w:val="18"/>
              </w:rPr>
              <w:t>122.996,56</w:t>
            </w:r>
          </w:p>
        </w:tc>
        <w:tc>
          <w:tcPr>
            <w:tcW w:w="1860" w:type="dxa"/>
            <w:tcMar>
              <w:top w:w="0" w:type="dxa"/>
              <w:bottom w:w="0" w:type="dxa"/>
            </w:tcMar>
            <w:vAlign w:val="center"/>
          </w:tcPr>
          <w:p w:rsidR="00E925E1" w:rsidRDefault="00000000">
            <w:pPr>
              <w:keepNext/>
              <w:keepLines/>
              <w:spacing w:after="0" w:line="240" w:lineRule="auto"/>
              <w:jc w:val="right"/>
            </w:pPr>
            <w:r>
              <w:rPr>
                <w:b/>
                <w:sz w:val="18"/>
              </w:rPr>
              <w:t>147.996,55</w:t>
            </w:r>
          </w:p>
        </w:tc>
        <w:tc>
          <w:tcPr>
            <w:tcW w:w="700" w:type="dxa"/>
            <w:tcMar>
              <w:top w:w="0" w:type="dxa"/>
              <w:bottom w:w="0" w:type="dxa"/>
            </w:tcMar>
            <w:vAlign w:val="center"/>
          </w:tcPr>
          <w:p w:rsidR="00E925E1" w:rsidRDefault="00000000">
            <w:pPr>
              <w:keepNext/>
              <w:keepLines/>
              <w:spacing w:after="0" w:line="240" w:lineRule="auto"/>
              <w:jc w:val="right"/>
            </w:pPr>
            <w:r>
              <w:rPr>
                <w:b/>
                <w:sz w:val="18"/>
              </w:rPr>
              <w:t>120,3</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rsidR="00E925E1" w:rsidRDefault="00000000">
            <w:pPr>
              <w:keepNext/>
              <w:keepLines/>
              <w:spacing w:after="0" w:line="240" w:lineRule="auto"/>
            </w:pPr>
            <w:r>
              <w:rPr>
                <w:b/>
                <w:sz w:val="18"/>
              </w:rPr>
              <w:t>Y005</w:t>
            </w:r>
          </w:p>
        </w:tc>
        <w:tc>
          <w:tcPr>
            <w:tcW w:w="1860" w:type="dxa"/>
            <w:tcMar>
              <w:top w:w="0" w:type="dxa"/>
              <w:bottom w:w="0" w:type="dxa"/>
            </w:tcMar>
            <w:vAlign w:val="center"/>
          </w:tcPr>
          <w:p w:rsidR="00E925E1" w:rsidRDefault="00000000">
            <w:pPr>
              <w:keepNext/>
              <w:keepLines/>
              <w:spacing w:after="0" w:line="240" w:lineRule="auto"/>
              <w:jc w:val="right"/>
            </w:pPr>
            <w:r>
              <w:rPr>
                <w:b/>
                <w:sz w:val="18"/>
              </w:rPr>
              <w:t>0,00</w:t>
            </w:r>
          </w:p>
        </w:tc>
        <w:tc>
          <w:tcPr>
            <w:tcW w:w="1860" w:type="dxa"/>
            <w:tcMar>
              <w:top w:w="0" w:type="dxa"/>
              <w:bottom w:w="0" w:type="dxa"/>
            </w:tcMar>
            <w:vAlign w:val="center"/>
          </w:tcPr>
          <w:p w:rsidR="00E925E1" w:rsidRDefault="00000000">
            <w:pPr>
              <w:keepNext/>
              <w:keepLines/>
              <w:spacing w:after="0" w:line="240" w:lineRule="auto"/>
              <w:jc w:val="right"/>
            </w:pPr>
            <w:r>
              <w:rPr>
                <w:b/>
                <w:sz w:val="18"/>
              </w:rPr>
              <w:t>115.578,76</w:t>
            </w:r>
          </w:p>
        </w:tc>
        <w:tc>
          <w:tcPr>
            <w:tcW w:w="700" w:type="dxa"/>
            <w:tcMar>
              <w:top w:w="0" w:type="dxa"/>
              <w:bottom w:w="0" w:type="dxa"/>
            </w:tcMar>
            <w:vAlign w:val="center"/>
          </w:tcPr>
          <w:p w:rsidR="00E925E1" w:rsidRDefault="00000000">
            <w:pPr>
              <w:keepNext/>
              <w:keepLines/>
              <w:spacing w:after="0" w:line="240" w:lineRule="auto"/>
              <w:jc w:val="right"/>
            </w:pPr>
            <w:r>
              <w:rPr>
                <w:b/>
                <w:sz w:val="18"/>
              </w:rPr>
              <w:t>-</w:t>
            </w:r>
          </w:p>
        </w:tc>
      </w:tr>
    </w:tbl>
    <w:p w:rsidR="00E925E1" w:rsidRDefault="00E925E1">
      <w:pPr>
        <w:spacing w:after="0"/>
      </w:pPr>
    </w:p>
    <w:p w:rsidR="00E925E1" w:rsidRDefault="00000000">
      <w:r>
        <w:t>Ukupni prihodi i primici u 2025. godine ostvareni su u iznosu od 7.635.189,12 eura ili 8,0% manje u odnosu na usporednu prethodnu godinu.  </w:t>
      </w:r>
    </w:p>
    <w:p w:rsidR="00E925E1" w:rsidRDefault="00000000">
      <w:r>
        <w:t>Prihodi poslovanja ostvareni su za 27,0% više, dok su prihodi od prodaje nefinancijske imovine ostvareni 88,4% manje. </w:t>
      </w:r>
    </w:p>
    <w:p w:rsidR="00E925E1" w:rsidRDefault="00000000">
      <w:r>
        <w:lastRenderedPageBreak/>
        <w:t>Na povećanje prihoda poslovanja utjecao je značajan rast poreznih prihoda i to najviše od poreza na dohodak od kapitala.  </w:t>
      </w:r>
    </w:p>
    <w:p w:rsidR="00E925E1" w:rsidRDefault="00000000">
      <w:r>
        <w:t>Prihodi od prodaje nefinancijske imovine realizirani su u znatno manjem iznosu jer je u tekućoj godini raspisano manje javnih natječaja za prodaju nekretnina, a po provedenim natječajima pristigle su ponude i sklopljeni ugovori za nekretnine manjih vrijednosti.   </w:t>
      </w:r>
    </w:p>
    <w:p w:rsidR="00E925E1" w:rsidRDefault="00000000">
      <w:r>
        <w:t>Primici od financijske imovine i otplate zajmova nisu realizirani u izvještajnom razdoblju.  </w:t>
      </w:r>
    </w:p>
    <w:p w:rsidR="00E925E1" w:rsidRDefault="00000000">
      <w:r>
        <w:t> </w:t>
      </w:r>
    </w:p>
    <w:p w:rsidR="00E925E1" w:rsidRDefault="00000000">
      <w:r>
        <w:t>Ukupni rashodi i izdaci u 2025. godini realizirani su u iznosu od 7.750.767,88 eura ili 0,9% manje u odnosu na 2025. godinu.  </w:t>
      </w:r>
    </w:p>
    <w:p w:rsidR="00E925E1" w:rsidRDefault="00000000">
      <w:r>
        <w:t>Rashodi poslovanja ostvareni su za 13,4% više. Vrijednosno najznačajnije povećanje je na stavci prijenosa proračunskim korisnicima iz nadležnog proračuna radi povećanja plaća i ostalih materijalnih prava zaposlenika.  </w:t>
      </w:r>
    </w:p>
    <w:p w:rsidR="00E925E1" w:rsidRDefault="00000000">
      <w:r>
        <w:t>Rashodi za nabavu nefinancijske imovine u izvještajnom razdoblju tekuće godine manji su za 39,9%.  U izvještajnom razdoblju prethodne godine ostvareni su znatno veći rashodi za otkup zemljišta radi rješavanja vlasničkih odnosa u sportsko rekreativnoj zoni Buje i za uređenje parkirališta u centru Grada te za dodatna ulaganja na građevinskim objektima.    </w:t>
      </w:r>
    </w:p>
    <w:p w:rsidR="00E925E1" w:rsidRDefault="00000000">
      <w:r>
        <w:t>Izdaci za financijsku imovinu i otplate zajmova odnose se na redovite otplate po dugoročnim kreditima, a do povećanja u odnosu na prethodnu godinu došlo je radi početka otplate kreditne obveze prema HBOR po osnovi kredita za financiranje projekta zamjene krovne konstrukcije na zgradi stare škole na Trgu sv. Servula.</w:t>
      </w:r>
    </w:p>
    <w:p w:rsidR="00E925E1" w:rsidRDefault="00000000">
      <w:r>
        <w:t> </w:t>
      </w:r>
    </w:p>
    <w:p w:rsidR="00E925E1" w:rsidRDefault="00000000">
      <w:r>
        <w:br/>
      </w:r>
    </w:p>
    <w:p w:rsidR="00E925E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611</w:t>
            </w:r>
          </w:p>
        </w:tc>
        <w:tc>
          <w:tcPr>
            <w:tcW w:w="3180" w:type="dxa"/>
            <w:tcMar>
              <w:top w:w="0" w:type="dxa"/>
              <w:bottom w:w="0" w:type="dxa"/>
            </w:tcMar>
            <w:vAlign w:val="center"/>
          </w:tcPr>
          <w:p w:rsidR="00E925E1"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rsidR="00E925E1" w:rsidRDefault="00000000">
            <w:pPr>
              <w:keepNext/>
              <w:keepLines/>
              <w:spacing w:after="0" w:line="240" w:lineRule="auto"/>
            </w:pPr>
            <w:r>
              <w:rPr>
                <w:sz w:val="18"/>
              </w:rPr>
              <w:t>611</w:t>
            </w:r>
          </w:p>
        </w:tc>
        <w:tc>
          <w:tcPr>
            <w:tcW w:w="1860" w:type="dxa"/>
            <w:tcMar>
              <w:top w:w="0" w:type="dxa"/>
              <w:bottom w:w="0" w:type="dxa"/>
            </w:tcMar>
            <w:vAlign w:val="center"/>
          </w:tcPr>
          <w:p w:rsidR="00E925E1" w:rsidRDefault="00000000">
            <w:pPr>
              <w:keepNext/>
              <w:keepLines/>
              <w:spacing w:after="0" w:line="240" w:lineRule="auto"/>
              <w:jc w:val="right"/>
            </w:pPr>
            <w:r>
              <w:rPr>
                <w:sz w:val="18"/>
              </w:rPr>
              <w:t>2.529.351,48</w:t>
            </w:r>
          </w:p>
        </w:tc>
        <w:tc>
          <w:tcPr>
            <w:tcW w:w="1860" w:type="dxa"/>
            <w:tcMar>
              <w:top w:w="0" w:type="dxa"/>
              <w:bottom w:w="0" w:type="dxa"/>
            </w:tcMar>
            <w:vAlign w:val="center"/>
          </w:tcPr>
          <w:p w:rsidR="00E925E1" w:rsidRDefault="00000000">
            <w:pPr>
              <w:keepNext/>
              <w:keepLines/>
              <w:spacing w:after="0" w:line="240" w:lineRule="auto"/>
              <w:jc w:val="right"/>
            </w:pPr>
            <w:r>
              <w:rPr>
                <w:sz w:val="18"/>
              </w:rPr>
              <w:t>3.823.375,47</w:t>
            </w:r>
          </w:p>
        </w:tc>
        <w:tc>
          <w:tcPr>
            <w:tcW w:w="700" w:type="dxa"/>
            <w:tcMar>
              <w:top w:w="0" w:type="dxa"/>
              <w:bottom w:w="0" w:type="dxa"/>
            </w:tcMar>
            <w:vAlign w:val="center"/>
          </w:tcPr>
          <w:p w:rsidR="00E925E1" w:rsidRDefault="00000000">
            <w:pPr>
              <w:keepNext/>
              <w:keepLines/>
              <w:spacing w:after="0" w:line="240" w:lineRule="auto"/>
              <w:jc w:val="right"/>
            </w:pPr>
            <w:r>
              <w:rPr>
                <w:sz w:val="18"/>
              </w:rPr>
              <w:t>151,2</w:t>
            </w:r>
          </w:p>
        </w:tc>
      </w:tr>
    </w:tbl>
    <w:p w:rsidR="00E925E1" w:rsidRDefault="00E925E1">
      <w:pPr>
        <w:spacing w:after="0"/>
      </w:pPr>
    </w:p>
    <w:p w:rsidR="00E925E1" w:rsidRDefault="00000000">
      <w:r>
        <w:t>Odlukom o visini poreznih stopa godišnjeg poreza na dohodak Grada Buja – Buie („Narodne novine“, broj 147/23) određena je niža godišnja stopa poreza na dohodak u visini od 20,00% i viša stopa od 30,00%. Odluka nije mijenjana te su godišnje stope poreza u  izvještajnim razdobljima za obje godine bile su jednake.</w:t>
      </w:r>
    </w:p>
    <w:p w:rsidR="00E925E1" w:rsidRDefault="00000000">
      <w:r>
        <w:t>Unatoč zadržavanju istih poreznih stopa i povećanom iznosu osnovnog osobnog odbitka od 1. siječnja 2025. godine, zabilježen je porast prihoda od poreza na dohodak od nesamostalnog rada za 18,0%.  Povećanje je najvećim dijelom rezultat porasta plaća u javnom i u privatnom sektoru uslijed inflacije i nedostatka radne snage. </w:t>
      </w:r>
    </w:p>
    <w:p w:rsidR="00E925E1" w:rsidRDefault="00000000">
      <w:r>
        <w:lastRenderedPageBreak/>
        <w:t>Porez na dohodak od imovine i imovinskih prava povećan je za 36,1%. Stopa poreza na dohodak od imovine nije se mijenjala što znači da su porezni obveznici ostvarili veće prihode od najamnina i zakupnina te od iznajmljivanja turistima.</w:t>
      </w:r>
    </w:p>
    <w:p w:rsidR="00E925E1" w:rsidRDefault="00000000">
      <w:r>
        <w:t>Prihod od poreza na dohodak od kapitala povećan je za 252,3%. Porezne stope u izvještajnim razdobljima bile su jednake, stoga je povećanje rezultat ostvarenih znatno većih primitaka poreznih obveznika sa područja Grada Buje – Buie po osnovi kapitalnih dobitaka od otuđenja udjela u kapitalu trgovačkih društava, dividendi i udjela u dobitku i kamata. </w:t>
      </w:r>
    </w:p>
    <w:p w:rsidR="00E925E1" w:rsidRDefault="00000000">
      <w:r>
        <w:t>Po osnovi godišnjih prijava poreza i prireza na dohodak za 2024. godinu, u 2025. godini saldo u korist povrata uplaćenog poreza iznosi 217.398,88 eura i za 38,7% veći je u odnosu na prethodnu godinu.</w:t>
      </w:r>
    </w:p>
    <w:p w:rsidR="00E925E1" w:rsidRDefault="00E925E1"/>
    <w:p w:rsidR="00E925E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613</w:t>
            </w:r>
          </w:p>
        </w:tc>
        <w:tc>
          <w:tcPr>
            <w:tcW w:w="3180" w:type="dxa"/>
            <w:tcMar>
              <w:top w:w="0" w:type="dxa"/>
              <w:bottom w:w="0" w:type="dxa"/>
            </w:tcMar>
            <w:vAlign w:val="center"/>
          </w:tcPr>
          <w:p w:rsidR="00E925E1"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rsidR="00E925E1" w:rsidRDefault="00000000">
            <w:pPr>
              <w:keepNext/>
              <w:keepLines/>
              <w:spacing w:after="0" w:line="240" w:lineRule="auto"/>
            </w:pPr>
            <w:r>
              <w:rPr>
                <w:sz w:val="18"/>
              </w:rPr>
              <w:t>613</w:t>
            </w:r>
          </w:p>
        </w:tc>
        <w:tc>
          <w:tcPr>
            <w:tcW w:w="1860" w:type="dxa"/>
            <w:tcMar>
              <w:top w:w="0" w:type="dxa"/>
              <w:bottom w:w="0" w:type="dxa"/>
            </w:tcMar>
            <w:vAlign w:val="center"/>
          </w:tcPr>
          <w:p w:rsidR="00E925E1" w:rsidRDefault="00000000">
            <w:pPr>
              <w:keepNext/>
              <w:keepLines/>
              <w:spacing w:after="0" w:line="240" w:lineRule="auto"/>
              <w:jc w:val="right"/>
            </w:pPr>
            <w:r>
              <w:rPr>
                <w:sz w:val="18"/>
              </w:rPr>
              <w:t>742.741,81</w:t>
            </w:r>
          </w:p>
        </w:tc>
        <w:tc>
          <w:tcPr>
            <w:tcW w:w="1860" w:type="dxa"/>
            <w:tcMar>
              <w:top w:w="0" w:type="dxa"/>
              <w:bottom w:w="0" w:type="dxa"/>
            </w:tcMar>
            <w:vAlign w:val="center"/>
          </w:tcPr>
          <w:p w:rsidR="00E925E1" w:rsidRDefault="00000000">
            <w:pPr>
              <w:keepNext/>
              <w:keepLines/>
              <w:spacing w:after="0" w:line="240" w:lineRule="auto"/>
              <w:jc w:val="right"/>
            </w:pPr>
            <w:r>
              <w:rPr>
                <w:sz w:val="18"/>
              </w:rPr>
              <w:t>1.079.419,39</w:t>
            </w:r>
          </w:p>
        </w:tc>
        <w:tc>
          <w:tcPr>
            <w:tcW w:w="700" w:type="dxa"/>
            <w:tcMar>
              <w:top w:w="0" w:type="dxa"/>
              <w:bottom w:w="0" w:type="dxa"/>
            </w:tcMar>
            <w:vAlign w:val="center"/>
          </w:tcPr>
          <w:p w:rsidR="00E925E1" w:rsidRDefault="00000000">
            <w:pPr>
              <w:keepNext/>
              <w:keepLines/>
              <w:spacing w:after="0" w:line="240" w:lineRule="auto"/>
              <w:jc w:val="right"/>
            </w:pPr>
            <w:r>
              <w:rPr>
                <w:sz w:val="18"/>
              </w:rPr>
              <w:t>145,3</w:t>
            </w:r>
          </w:p>
        </w:tc>
      </w:tr>
    </w:tbl>
    <w:p w:rsidR="00E925E1" w:rsidRDefault="00E925E1">
      <w:pPr>
        <w:spacing w:after="0"/>
      </w:pPr>
    </w:p>
    <w:p w:rsidR="00E925E1" w:rsidRDefault="00000000">
      <w:r>
        <w:t>Stalni porez na nepokretnu imovinu odnosi se na prihod od poreza na kuće za odmor u 2024. godini, odnosno poreza na nekretnine u 2025. godini te na prihod od poreza na korištenje javnih površina. Realizacija u 2025. godini veća je za 292,1%. Poslove utvrđivanja, evidentiranja, nadzora i naplate poreza na kuće za odmor kao i poreza na nekretnine obavljala je Porezna uprava – Ispostava Umag. Visina poreza na kuće za odmor bila je utvrđena u iznosu od 5,00 eura po m². Visina poreza na nekretnine koji je uveden od 1. siječnja 2025. godine utvrđena je u visini od 6,25 eura po m². Novouvedeni porez na nekretnine je zajednički prihod Grada i Županije, a udio Grada je 80% i iznosi 5,00 eura po m². U 2025. godini je po osnovi poreza na nekretnine ostvareno 249.902,53 eura prihoda, a povećanje u odnosu na prihode od poreza na kuće za odmor u prethodnoj godini rezultat je sređivanja baze podataka i značajnog povećanja broja poreznih obveznika. </w:t>
      </w:r>
    </w:p>
    <w:p w:rsidR="00E925E1" w:rsidRDefault="00000000">
      <w:r>
        <w:t>Prihodi od poreza na korištenje javnih površina u 2025. godini ostvareni su u iznosu od 5.202,39 eura što je 75,5% više u odnosu na prethodnu godinu, a do povećanja je došlo radi povećanog korištenja javnih površina za potrebe izvođenja građevinskih radova.</w:t>
      </w:r>
    </w:p>
    <w:p w:rsidR="00E925E1" w:rsidRDefault="00000000">
      <w:r>
        <w:t>Prihod od poreza na promet nekretnina u 2025. godini ostvaren je 20,3% više u odnosu na prethodnu godinu. Stopa poreza na promet nekretnina nije se mijenjala te je razlika u prihodima rezultat porasta kupoprodajnih cijena i povećane aktivnosti na tržištu nekretnina.</w:t>
      </w:r>
    </w:p>
    <w:p w:rsidR="00E925E1" w:rsidRDefault="00E925E1"/>
    <w:p w:rsidR="00E925E1"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614</w:t>
            </w:r>
          </w:p>
        </w:tc>
        <w:tc>
          <w:tcPr>
            <w:tcW w:w="3180" w:type="dxa"/>
            <w:tcMar>
              <w:top w:w="0" w:type="dxa"/>
              <w:bottom w:w="0" w:type="dxa"/>
            </w:tcMar>
            <w:vAlign w:val="center"/>
          </w:tcPr>
          <w:p w:rsidR="00E925E1"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rsidR="00E925E1" w:rsidRDefault="00000000">
            <w:pPr>
              <w:keepNext/>
              <w:keepLines/>
              <w:spacing w:after="0" w:line="240" w:lineRule="auto"/>
            </w:pPr>
            <w:r>
              <w:rPr>
                <w:sz w:val="18"/>
              </w:rPr>
              <w:t>614</w:t>
            </w:r>
          </w:p>
        </w:tc>
        <w:tc>
          <w:tcPr>
            <w:tcW w:w="1860" w:type="dxa"/>
            <w:tcMar>
              <w:top w:w="0" w:type="dxa"/>
              <w:bottom w:w="0" w:type="dxa"/>
            </w:tcMar>
            <w:vAlign w:val="center"/>
          </w:tcPr>
          <w:p w:rsidR="00E925E1" w:rsidRDefault="00000000">
            <w:pPr>
              <w:keepNext/>
              <w:keepLines/>
              <w:spacing w:after="0" w:line="240" w:lineRule="auto"/>
              <w:jc w:val="right"/>
            </w:pPr>
            <w:r>
              <w:rPr>
                <w:sz w:val="18"/>
              </w:rPr>
              <w:t>99.627,23</w:t>
            </w:r>
          </w:p>
        </w:tc>
        <w:tc>
          <w:tcPr>
            <w:tcW w:w="1860" w:type="dxa"/>
            <w:tcMar>
              <w:top w:w="0" w:type="dxa"/>
              <w:bottom w:w="0" w:type="dxa"/>
            </w:tcMar>
            <w:vAlign w:val="center"/>
          </w:tcPr>
          <w:p w:rsidR="00E925E1" w:rsidRDefault="00000000">
            <w:pPr>
              <w:keepNext/>
              <w:keepLines/>
              <w:spacing w:after="0" w:line="240" w:lineRule="auto"/>
              <w:jc w:val="right"/>
            </w:pPr>
            <w:r>
              <w:rPr>
                <w:sz w:val="18"/>
              </w:rPr>
              <w:t>78.550,52</w:t>
            </w:r>
          </w:p>
        </w:tc>
        <w:tc>
          <w:tcPr>
            <w:tcW w:w="700" w:type="dxa"/>
            <w:tcMar>
              <w:top w:w="0" w:type="dxa"/>
              <w:bottom w:w="0" w:type="dxa"/>
            </w:tcMar>
            <w:vAlign w:val="center"/>
          </w:tcPr>
          <w:p w:rsidR="00E925E1" w:rsidRDefault="00000000">
            <w:pPr>
              <w:keepNext/>
              <w:keepLines/>
              <w:spacing w:after="0" w:line="240" w:lineRule="auto"/>
              <w:jc w:val="right"/>
            </w:pPr>
            <w:r>
              <w:rPr>
                <w:sz w:val="18"/>
              </w:rPr>
              <w:t>78,8</w:t>
            </w:r>
          </w:p>
        </w:tc>
      </w:tr>
    </w:tbl>
    <w:p w:rsidR="00E925E1" w:rsidRDefault="00E925E1">
      <w:pPr>
        <w:spacing w:after="0"/>
      </w:pPr>
    </w:p>
    <w:p w:rsidR="00E925E1" w:rsidRDefault="00000000">
      <w:r>
        <w:t>Porezi na robu i usluge odnose se uglavnom na porez na potrošnju, a ostvareni su u ukupnom iznosu od 78.550,52 eura ili 21,2% manje u odnosu prethodnu godinu. Stopa poreza na potrošnju nije se mijenjala i iznosi 3%. U prethodnoj godini Porezna uprava naplatila je dio dospjelog potraživanja, a usklađenjem u tekućoj godini izvršeno je preknjiženje pretplate.</w:t>
      </w:r>
    </w:p>
    <w:p w:rsidR="00E925E1" w:rsidRDefault="00000000">
      <w:r>
        <w:t>Po osnovi postupaka koji su pokrenuti u prethodnom razdoblju, u 2025. godini naplaćeno je 199,08 eura poreza na tvrtku.</w:t>
      </w:r>
    </w:p>
    <w:p w:rsidR="00E925E1" w:rsidRDefault="00E925E1"/>
    <w:p w:rsidR="00E925E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632</w:t>
            </w:r>
          </w:p>
        </w:tc>
        <w:tc>
          <w:tcPr>
            <w:tcW w:w="3180" w:type="dxa"/>
            <w:tcMar>
              <w:top w:w="0" w:type="dxa"/>
              <w:bottom w:w="0" w:type="dxa"/>
            </w:tcMar>
            <w:vAlign w:val="center"/>
          </w:tcPr>
          <w:p w:rsidR="00E925E1"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E925E1" w:rsidRDefault="00000000">
            <w:pPr>
              <w:keepNext/>
              <w:keepLines/>
              <w:spacing w:after="0" w:line="240" w:lineRule="auto"/>
            </w:pPr>
            <w:r>
              <w:rPr>
                <w:sz w:val="18"/>
              </w:rPr>
              <w:t>632</w:t>
            </w:r>
          </w:p>
        </w:tc>
        <w:tc>
          <w:tcPr>
            <w:tcW w:w="1860" w:type="dxa"/>
            <w:tcMar>
              <w:top w:w="0" w:type="dxa"/>
              <w:bottom w:w="0" w:type="dxa"/>
            </w:tcMar>
            <w:vAlign w:val="center"/>
          </w:tcPr>
          <w:p w:rsidR="00E925E1" w:rsidRDefault="00000000">
            <w:pPr>
              <w:keepNext/>
              <w:keepLines/>
              <w:spacing w:after="0" w:line="240" w:lineRule="auto"/>
              <w:jc w:val="right"/>
            </w:pPr>
            <w:r>
              <w:rPr>
                <w:sz w:val="18"/>
              </w:rPr>
              <w:t>43.643,11</w:t>
            </w:r>
          </w:p>
        </w:tc>
        <w:tc>
          <w:tcPr>
            <w:tcW w:w="1860" w:type="dxa"/>
            <w:tcMar>
              <w:top w:w="0" w:type="dxa"/>
              <w:bottom w:w="0" w:type="dxa"/>
            </w:tcMar>
            <w:vAlign w:val="center"/>
          </w:tcPr>
          <w:p w:rsidR="00E925E1" w:rsidRDefault="00000000">
            <w:pPr>
              <w:keepNext/>
              <w:keepLines/>
              <w:spacing w:after="0" w:line="240" w:lineRule="auto"/>
              <w:jc w:val="right"/>
            </w:pPr>
            <w:r>
              <w:rPr>
                <w:sz w:val="18"/>
              </w:rPr>
              <w:t>15.000,00</w:t>
            </w:r>
          </w:p>
        </w:tc>
        <w:tc>
          <w:tcPr>
            <w:tcW w:w="700" w:type="dxa"/>
            <w:tcMar>
              <w:top w:w="0" w:type="dxa"/>
              <w:bottom w:w="0" w:type="dxa"/>
            </w:tcMar>
            <w:vAlign w:val="center"/>
          </w:tcPr>
          <w:p w:rsidR="00E925E1" w:rsidRDefault="00000000">
            <w:pPr>
              <w:keepNext/>
              <w:keepLines/>
              <w:spacing w:after="0" w:line="240" w:lineRule="auto"/>
              <w:jc w:val="right"/>
            </w:pPr>
            <w:r>
              <w:rPr>
                <w:sz w:val="18"/>
              </w:rPr>
              <w:t>34,4</w:t>
            </w:r>
          </w:p>
        </w:tc>
      </w:tr>
    </w:tbl>
    <w:p w:rsidR="00E925E1" w:rsidRDefault="00E925E1">
      <w:pPr>
        <w:spacing w:after="0"/>
      </w:pPr>
    </w:p>
    <w:p w:rsidR="00E925E1" w:rsidRDefault="00000000">
      <w:r>
        <w:t>U 2025. godini realizirano je 15.000,00 eura kapitalne pomoći od institucija i tijela EU. Navedeni iznos se odnosi na darovnicu Regione dell' Veneto (Republika Italija) za projekt očuvanja i rekonstrukcije kaštela Rota u Momjanu i nije sufinanciran EU sredstvima.</w:t>
      </w:r>
    </w:p>
    <w:p w:rsidR="00E925E1" w:rsidRDefault="00000000">
      <w:r>
        <w:t>Pomoći od međunarodnih organizacija i tijela EU u 2024. godini realizirane su u iznosu od 43.643,11 eura, a odnosile su se na pomoć doznačenu od Općine Piran (Republika Slovenija) za refundaciju troškova po projektu „Istraconnect“ koji se provodio u razdoblju od 1. lipnja 2022. godine do 30. lipnja 2023. godine u okviru Programa suradnje Interreg V-A Slovenija – Hrvatska, sufinanciran sredstvima Europskog fonda za regionalni razvoj. </w:t>
      </w:r>
    </w:p>
    <w:p w:rsidR="00E925E1" w:rsidRDefault="00E925E1"/>
    <w:p w:rsidR="00E925E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633</w:t>
            </w:r>
          </w:p>
        </w:tc>
        <w:tc>
          <w:tcPr>
            <w:tcW w:w="3180" w:type="dxa"/>
            <w:tcMar>
              <w:top w:w="0" w:type="dxa"/>
              <w:bottom w:w="0" w:type="dxa"/>
            </w:tcMar>
            <w:vAlign w:val="center"/>
          </w:tcPr>
          <w:p w:rsidR="00E925E1"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E925E1" w:rsidRDefault="00000000">
            <w:pPr>
              <w:keepNext/>
              <w:keepLines/>
              <w:spacing w:after="0" w:line="240" w:lineRule="auto"/>
            </w:pPr>
            <w:r>
              <w:rPr>
                <w:sz w:val="18"/>
              </w:rPr>
              <w:t>633</w:t>
            </w:r>
          </w:p>
        </w:tc>
        <w:tc>
          <w:tcPr>
            <w:tcW w:w="1860" w:type="dxa"/>
            <w:tcMar>
              <w:top w:w="0" w:type="dxa"/>
              <w:bottom w:w="0" w:type="dxa"/>
            </w:tcMar>
            <w:vAlign w:val="center"/>
          </w:tcPr>
          <w:p w:rsidR="00E925E1" w:rsidRDefault="00000000">
            <w:pPr>
              <w:keepNext/>
              <w:keepLines/>
              <w:spacing w:after="0" w:line="240" w:lineRule="auto"/>
              <w:jc w:val="right"/>
            </w:pPr>
            <w:r>
              <w:rPr>
                <w:sz w:val="18"/>
              </w:rPr>
              <w:t>395.104,95</w:t>
            </w:r>
          </w:p>
        </w:tc>
        <w:tc>
          <w:tcPr>
            <w:tcW w:w="1860" w:type="dxa"/>
            <w:tcMar>
              <w:top w:w="0" w:type="dxa"/>
              <w:bottom w:w="0" w:type="dxa"/>
            </w:tcMar>
            <w:vAlign w:val="center"/>
          </w:tcPr>
          <w:p w:rsidR="00E925E1" w:rsidRDefault="00000000">
            <w:pPr>
              <w:keepNext/>
              <w:keepLines/>
              <w:spacing w:after="0" w:line="240" w:lineRule="auto"/>
              <w:jc w:val="right"/>
            </w:pPr>
            <w:r>
              <w:rPr>
                <w:sz w:val="18"/>
              </w:rPr>
              <w:t>367.902,10</w:t>
            </w:r>
          </w:p>
        </w:tc>
        <w:tc>
          <w:tcPr>
            <w:tcW w:w="700" w:type="dxa"/>
            <w:tcMar>
              <w:top w:w="0" w:type="dxa"/>
              <w:bottom w:w="0" w:type="dxa"/>
            </w:tcMar>
            <w:vAlign w:val="center"/>
          </w:tcPr>
          <w:p w:rsidR="00E925E1" w:rsidRDefault="00000000">
            <w:pPr>
              <w:keepNext/>
              <w:keepLines/>
              <w:spacing w:after="0" w:line="240" w:lineRule="auto"/>
              <w:jc w:val="right"/>
            </w:pPr>
            <w:r>
              <w:rPr>
                <w:sz w:val="18"/>
              </w:rPr>
              <w:t>93,1</w:t>
            </w:r>
          </w:p>
        </w:tc>
      </w:tr>
    </w:tbl>
    <w:p w:rsidR="00E925E1" w:rsidRDefault="00E925E1">
      <w:pPr>
        <w:spacing w:after="0"/>
      </w:pPr>
    </w:p>
    <w:p w:rsidR="00E925E1" w:rsidRDefault="00000000">
      <w:r>
        <w:t>U okviru ove podskupine u prethodnoj 2024. godini, evidentirana je pomoć iz Državnog proračuna doznačena temeljem Odluke o udjelu sredstava fiskalnog izravnanja u iznosu od 113.418,20 eura. Radi izmjena Pravilnika o proračunskom računovodstvu i računskom planu od 2025. godine sredstva navedene namjene evidentirana su na podskupini 365.</w:t>
      </w:r>
    </w:p>
    <w:p w:rsidR="00E925E1" w:rsidRDefault="00E925E1"/>
    <w:p w:rsidR="00E925E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634</w:t>
            </w:r>
          </w:p>
        </w:tc>
        <w:tc>
          <w:tcPr>
            <w:tcW w:w="3180" w:type="dxa"/>
            <w:tcMar>
              <w:top w:w="0" w:type="dxa"/>
              <w:bottom w:w="0" w:type="dxa"/>
            </w:tcMar>
            <w:vAlign w:val="center"/>
          </w:tcPr>
          <w:p w:rsidR="00E925E1"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E925E1" w:rsidRDefault="00000000">
            <w:pPr>
              <w:keepNext/>
              <w:keepLines/>
              <w:spacing w:after="0" w:line="240" w:lineRule="auto"/>
            </w:pPr>
            <w:r>
              <w:rPr>
                <w:sz w:val="18"/>
              </w:rPr>
              <w:t>634</w:t>
            </w:r>
          </w:p>
        </w:tc>
        <w:tc>
          <w:tcPr>
            <w:tcW w:w="1860" w:type="dxa"/>
            <w:tcMar>
              <w:top w:w="0" w:type="dxa"/>
              <w:bottom w:w="0" w:type="dxa"/>
            </w:tcMar>
            <w:vAlign w:val="center"/>
          </w:tcPr>
          <w:p w:rsidR="00E925E1" w:rsidRDefault="00000000">
            <w:pPr>
              <w:keepNext/>
              <w:keepLines/>
              <w:spacing w:after="0" w:line="240" w:lineRule="auto"/>
              <w:jc w:val="right"/>
            </w:pPr>
            <w:r>
              <w:rPr>
                <w:sz w:val="18"/>
              </w:rPr>
              <w:t>4.645,30</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700" w:type="dxa"/>
            <w:tcMar>
              <w:top w:w="0" w:type="dxa"/>
              <w:bottom w:w="0" w:type="dxa"/>
            </w:tcMar>
            <w:vAlign w:val="center"/>
          </w:tcPr>
          <w:p w:rsidR="00E925E1" w:rsidRDefault="00000000">
            <w:pPr>
              <w:keepNext/>
              <w:keepLines/>
              <w:spacing w:after="0" w:line="240" w:lineRule="auto"/>
              <w:jc w:val="right"/>
            </w:pPr>
            <w:r>
              <w:rPr>
                <w:sz w:val="18"/>
              </w:rPr>
              <w:t>0</w:t>
            </w:r>
          </w:p>
        </w:tc>
      </w:tr>
    </w:tbl>
    <w:p w:rsidR="00E925E1" w:rsidRDefault="00E925E1">
      <w:pPr>
        <w:spacing w:after="0"/>
      </w:pPr>
    </w:p>
    <w:p w:rsidR="00E925E1" w:rsidRDefault="00000000">
      <w:r>
        <w:t>U 2025. godini nisu realizirani prihodi od pomoći od izvanproračunskih korisnika, dok je u izvještajnom razdoblju prethodne godine ostvareno 4.645,30 eura prihoda od Fonda za zaštitu okoliša i energetsku učinkovitost za sufinanciranje odnosno za refundaciju dijela troškova iz 2022. godine vezanih za uspostavu geoinformacijskog sustava.</w:t>
      </w:r>
    </w:p>
    <w:p w:rsidR="00E925E1" w:rsidRDefault="00E925E1"/>
    <w:p w:rsidR="00E925E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635</w:t>
            </w:r>
          </w:p>
        </w:tc>
        <w:tc>
          <w:tcPr>
            <w:tcW w:w="3180" w:type="dxa"/>
            <w:tcMar>
              <w:top w:w="0" w:type="dxa"/>
              <w:bottom w:w="0" w:type="dxa"/>
            </w:tcMar>
            <w:vAlign w:val="center"/>
          </w:tcPr>
          <w:p w:rsidR="00E925E1"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rsidR="00E925E1" w:rsidRDefault="00000000">
            <w:pPr>
              <w:keepNext/>
              <w:keepLines/>
              <w:spacing w:after="0" w:line="240" w:lineRule="auto"/>
            </w:pPr>
            <w:r>
              <w:rPr>
                <w:sz w:val="18"/>
              </w:rPr>
              <w:t>635</w:t>
            </w:r>
          </w:p>
        </w:tc>
        <w:tc>
          <w:tcPr>
            <w:tcW w:w="1860" w:type="dxa"/>
            <w:tcMar>
              <w:top w:w="0" w:type="dxa"/>
              <w:bottom w:w="0" w:type="dxa"/>
            </w:tcMar>
            <w:vAlign w:val="center"/>
          </w:tcPr>
          <w:p w:rsidR="00E925E1" w:rsidRDefault="00000000">
            <w:pPr>
              <w:keepNext/>
              <w:keepLines/>
              <w:spacing w:after="0" w:line="240" w:lineRule="auto"/>
              <w:jc w:val="right"/>
            </w:pPr>
            <w:r>
              <w:rPr>
                <w:sz w:val="18"/>
              </w:rPr>
              <w:t>79.080,00</w:t>
            </w:r>
          </w:p>
        </w:tc>
        <w:tc>
          <w:tcPr>
            <w:tcW w:w="1860" w:type="dxa"/>
            <w:tcMar>
              <w:top w:w="0" w:type="dxa"/>
              <w:bottom w:w="0" w:type="dxa"/>
            </w:tcMar>
            <w:vAlign w:val="center"/>
          </w:tcPr>
          <w:p w:rsidR="00E925E1" w:rsidRDefault="00000000">
            <w:pPr>
              <w:keepNext/>
              <w:keepLines/>
              <w:spacing w:after="0" w:line="240" w:lineRule="auto"/>
              <w:jc w:val="right"/>
            </w:pPr>
            <w:r>
              <w:rPr>
                <w:sz w:val="18"/>
              </w:rPr>
              <w:t>174.715,61</w:t>
            </w:r>
          </w:p>
        </w:tc>
        <w:tc>
          <w:tcPr>
            <w:tcW w:w="700" w:type="dxa"/>
            <w:tcMar>
              <w:top w:w="0" w:type="dxa"/>
              <w:bottom w:w="0" w:type="dxa"/>
            </w:tcMar>
            <w:vAlign w:val="center"/>
          </w:tcPr>
          <w:p w:rsidR="00E925E1" w:rsidRDefault="00000000">
            <w:pPr>
              <w:keepNext/>
              <w:keepLines/>
              <w:spacing w:after="0" w:line="240" w:lineRule="auto"/>
              <w:jc w:val="right"/>
            </w:pPr>
            <w:r>
              <w:rPr>
                <w:sz w:val="18"/>
              </w:rPr>
              <w:t>220,9</w:t>
            </w:r>
          </w:p>
        </w:tc>
      </w:tr>
    </w:tbl>
    <w:p w:rsidR="00E925E1" w:rsidRDefault="00E925E1">
      <w:pPr>
        <w:spacing w:after="0"/>
      </w:pPr>
    </w:p>
    <w:p w:rsidR="00E925E1" w:rsidRDefault="00000000">
      <w:r>
        <w:t>U izvještajnom razdoblju 2024. godine u ovoj podskupini iskazana je pomoć za decentralizirane funkcije vatrogastva koja se doznačuje iz državnog proračuna direktno u korist proračuna Grada Umaga odnosno suosnivača JVP Umag s najvećim udjelom. Osnivački udio Grada Buja – Buie iznosi 19,77%. Ostvarena sredstva su gotovo jednaka u izvještajnim razdobljima za obje godine.  </w:t>
      </w:r>
    </w:p>
    <w:p w:rsidR="00E925E1" w:rsidRDefault="00000000">
      <w:r>
        <w:t>Radi izmjena u Pravilnika o proračunskom računovodstvu i Računskom planu od 2025. godine u okviru ove podskupine evidentirane su i pomoći fiskalnog izravnanja ostvarene u iznosu od 95.536,76 eura po osnovi Odluke o udjelu sredstava fiskalnog izravnanja za pojedinu općinu, grad i županiju u ukupnim sredstvima fiskalnog izravnanja s iznosom sredstava fiskalnog izravnanja za 2025. godinu (Narodne novine, br. 155/24). U 2025. godini prihodi po osnovi sredstava fiskalnog izravnanja manja su za 15,8%.</w:t>
      </w:r>
    </w:p>
    <w:p w:rsidR="00E925E1" w:rsidRDefault="00E925E1"/>
    <w:p w:rsidR="00E925E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641</w:t>
            </w:r>
          </w:p>
        </w:tc>
        <w:tc>
          <w:tcPr>
            <w:tcW w:w="3180" w:type="dxa"/>
            <w:tcMar>
              <w:top w:w="0" w:type="dxa"/>
              <w:bottom w:w="0" w:type="dxa"/>
            </w:tcMar>
            <w:vAlign w:val="center"/>
          </w:tcPr>
          <w:p w:rsidR="00E925E1"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E925E1" w:rsidRDefault="00000000">
            <w:pPr>
              <w:keepNext/>
              <w:keepLines/>
              <w:spacing w:after="0" w:line="240" w:lineRule="auto"/>
            </w:pPr>
            <w:r>
              <w:rPr>
                <w:sz w:val="18"/>
              </w:rPr>
              <w:t>641</w:t>
            </w:r>
          </w:p>
        </w:tc>
        <w:tc>
          <w:tcPr>
            <w:tcW w:w="1860" w:type="dxa"/>
            <w:tcMar>
              <w:top w:w="0" w:type="dxa"/>
              <w:bottom w:w="0" w:type="dxa"/>
            </w:tcMar>
            <w:vAlign w:val="center"/>
          </w:tcPr>
          <w:p w:rsidR="00E925E1" w:rsidRDefault="00000000">
            <w:pPr>
              <w:keepNext/>
              <w:keepLines/>
              <w:spacing w:after="0" w:line="240" w:lineRule="auto"/>
              <w:jc w:val="right"/>
            </w:pPr>
            <w:r>
              <w:rPr>
                <w:sz w:val="18"/>
              </w:rPr>
              <w:t>57.373,94</w:t>
            </w:r>
          </w:p>
        </w:tc>
        <w:tc>
          <w:tcPr>
            <w:tcW w:w="1860" w:type="dxa"/>
            <w:tcMar>
              <w:top w:w="0" w:type="dxa"/>
              <w:bottom w:w="0" w:type="dxa"/>
            </w:tcMar>
            <w:vAlign w:val="center"/>
          </w:tcPr>
          <w:p w:rsidR="00E925E1" w:rsidRDefault="00000000">
            <w:pPr>
              <w:keepNext/>
              <w:keepLines/>
              <w:spacing w:after="0" w:line="240" w:lineRule="auto"/>
              <w:jc w:val="right"/>
            </w:pPr>
            <w:r>
              <w:rPr>
                <w:sz w:val="18"/>
              </w:rPr>
              <w:t>19.602,31</w:t>
            </w:r>
          </w:p>
        </w:tc>
        <w:tc>
          <w:tcPr>
            <w:tcW w:w="700" w:type="dxa"/>
            <w:tcMar>
              <w:top w:w="0" w:type="dxa"/>
              <w:bottom w:w="0" w:type="dxa"/>
            </w:tcMar>
            <w:vAlign w:val="center"/>
          </w:tcPr>
          <w:p w:rsidR="00E925E1" w:rsidRDefault="00000000">
            <w:pPr>
              <w:keepNext/>
              <w:keepLines/>
              <w:spacing w:after="0" w:line="240" w:lineRule="auto"/>
              <w:jc w:val="right"/>
            </w:pPr>
            <w:r>
              <w:rPr>
                <w:sz w:val="18"/>
              </w:rPr>
              <w:t>34,2</w:t>
            </w:r>
          </w:p>
        </w:tc>
      </w:tr>
    </w:tbl>
    <w:p w:rsidR="00E925E1" w:rsidRDefault="00E925E1">
      <w:pPr>
        <w:spacing w:after="0"/>
      </w:pPr>
    </w:p>
    <w:p w:rsidR="00E925E1" w:rsidRDefault="00000000">
      <w:r>
        <w:t>Prihodi se gotovo u potpunosti odnose na prihod od zateznih kamata. Iznos koji je realiziran u 2024. godini odstupao je radi naplaćenih zateznih kamata od trgovačkog društva po osnovi Rješenja o ovrsi za komunalni doprinos.</w:t>
      </w:r>
    </w:p>
    <w:p w:rsidR="00E925E1" w:rsidRDefault="00E925E1"/>
    <w:p w:rsidR="00E925E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6417</w:t>
            </w:r>
          </w:p>
        </w:tc>
        <w:tc>
          <w:tcPr>
            <w:tcW w:w="3180" w:type="dxa"/>
            <w:tcMar>
              <w:top w:w="0" w:type="dxa"/>
              <w:bottom w:w="0" w:type="dxa"/>
            </w:tcMar>
            <w:vAlign w:val="center"/>
          </w:tcPr>
          <w:p w:rsidR="00E925E1" w:rsidRDefault="00000000">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rsidR="00E925E1" w:rsidRDefault="00000000">
            <w:pPr>
              <w:keepNext/>
              <w:keepLines/>
              <w:spacing w:after="0" w:line="240" w:lineRule="auto"/>
            </w:pPr>
            <w:r>
              <w:rPr>
                <w:sz w:val="18"/>
              </w:rPr>
              <w:t>6417</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254,39</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Prihodi od dobiti trgovačkih društava u 2025. godini ostvareni su u iznosu od 254,39 eura, a odnose se na isplaćenu dobit trgovačkog društva Istarske autoceste d.o.o. temeljem Odluke o upotrebi dobiti ostvarenoj u 2024. godini. Učešće Grada Buja – Buie u temeljnom kapitalu društva iznosi 1,6959%.</w:t>
      </w:r>
    </w:p>
    <w:p w:rsidR="00E925E1" w:rsidRDefault="00E925E1"/>
    <w:p w:rsidR="00E925E1"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642</w:t>
            </w:r>
          </w:p>
        </w:tc>
        <w:tc>
          <w:tcPr>
            <w:tcW w:w="3180" w:type="dxa"/>
            <w:tcMar>
              <w:top w:w="0" w:type="dxa"/>
              <w:bottom w:w="0" w:type="dxa"/>
            </w:tcMar>
            <w:vAlign w:val="center"/>
          </w:tcPr>
          <w:p w:rsidR="00E925E1"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rsidR="00E925E1" w:rsidRDefault="00000000">
            <w:pPr>
              <w:keepNext/>
              <w:keepLines/>
              <w:spacing w:after="0" w:line="240" w:lineRule="auto"/>
            </w:pPr>
            <w:r>
              <w:rPr>
                <w:sz w:val="18"/>
              </w:rPr>
              <w:t>642</w:t>
            </w:r>
          </w:p>
        </w:tc>
        <w:tc>
          <w:tcPr>
            <w:tcW w:w="1860" w:type="dxa"/>
            <w:tcMar>
              <w:top w:w="0" w:type="dxa"/>
              <w:bottom w:w="0" w:type="dxa"/>
            </w:tcMar>
            <w:vAlign w:val="center"/>
          </w:tcPr>
          <w:p w:rsidR="00E925E1" w:rsidRDefault="00000000">
            <w:pPr>
              <w:keepNext/>
              <w:keepLines/>
              <w:spacing w:after="0" w:line="240" w:lineRule="auto"/>
              <w:jc w:val="right"/>
            </w:pPr>
            <w:r>
              <w:rPr>
                <w:sz w:val="18"/>
              </w:rPr>
              <w:t>319.380,35</w:t>
            </w:r>
          </w:p>
        </w:tc>
        <w:tc>
          <w:tcPr>
            <w:tcW w:w="1860" w:type="dxa"/>
            <w:tcMar>
              <w:top w:w="0" w:type="dxa"/>
              <w:bottom w:w="0" w:type="dxa"/>
            </w:tcMar>
            <w:vAlign w:val="center"/>
          </w:tcPr>
          <w:p w:rsidR="00E925E1" w:rsidRDefault="00000000">
            <w:pPr>
              <w:keepNext/>
              <w:keepLines/>
              <w:spacing w:after="0" w:line="240" w:lineRule="auto"/>
              <w:jc w:val="right"/>
            </w:pPr>
            <w:r>
              <w:rPr>
                <w:sz w:val="18"/>
              </w:rPr>
              <w:t>228.745,22</w:t>
            </w:r>
          </w:p>
        </w:tc>
        <w:tc>
          <w:tcPr>
            <w:tcW w:w="700" w:type="dxa"/>
            <w:tcMar>
              <w:top w:w="0" w:type="dxa"/>
              <w:bottom w:w="0" w:type="dxa"/>
            </w:tcMar>
            <w:vAlign w:val="center"/>
          </w:tcPr>
          <w:p w:rsidR="00E925E1" w:rsidRDefault="00000000">
            <w:pPr>
              <w:keepNext/>
              <w:keepLines/>
              <w:spacing w:after="0" w:line="240" w:lineRule="auto"/>
              <w:jc w:val="right"/>
            </w:pPr>
            <w:r>
              <w:rPr>
                <w:sz w:val="18"/>
              </w:rPr>
              <w:t>71,6</w:t>
            </w:r>
          </w:p>
        </w:tc>
      </w:tr>
    </w:tbl>
    <w:p w:rsidR="00E925E1" w:rsidRDefault="00E925E1">
      <w:pPr>
        <w:spacing w:after="0"/>
      </w:pPr>
    </w:p>
    <w:p w:rsidR="00E925E1" w:rsidRDefault="00000000">
      <w:r>
        <w:t>Prihodi od nefinancijske imovine odnose se na naknade za koncesije, prihode od zakupa i iznajmljivanja imovine te naknade za korištenje imovine, a ostvareni su iznosu od 228.745,03 eura ili 28,4% manje u odnosu na 2024. godinu. </w:t>
      </w:r>
    </w:p>
    <w:p w:rsidR="00E925E1" w:rsidRDefault="00000000">
      <w:r>
        <w:t>Najveći dio ovih prihoda odnosi se na prihode od zakupa i iznajmljivanja imovine koji su manji za 31,3%. </w:t>
      </w:r>
    </w:p>
    <w:p w:rsidR="00E925E1" w:rsidRDefault="00000000">
      <w:r>
        <w:t>U skladu s odredbama Zakona o neprocijenjenom građevinskom zemljištu (Narodne novine, br. 50/20), Uredbe o uređenju zakupa na turističkom zemljištu na kojemu su izgrađeni hoteli i turistička naselja (Narodne novine, br. 16/24) i Odluke o iznosu i načinu plaćanja zakupnine za turističko zemljište na kojem su izgrađeni hoteli i turistička naselja na području Grada Buja – Buie (Službene novine Grada Buja, br. 8/24), u 2024. godini naplaćen je zakup turističkog zemljišta u turističkom naselju Kanega za prijelazno razdoblje od 2. svibnja 2020. godine do 16. veljače 2024. godine što je rezultiralo većom realizacijom navedenog zajedničkog prihoda u prethodnoj godini. Iz istog razloga u 2025. godini realizirano je manje sredstava i od zajedničkog prihoda od zakupa kampova u vlasništvu RH.</w:t>
      </w:r>
    </w:p>
    <w:p w:rsidR="00E925E1" w:rsidRDefault="00000000">
      <w:r>
        <w:t>Prihodi od zakupa poljoprivrednog zemljišta u vlasništvu RH realizirani su 15,8% manje u odnosu na prethodnu godinu, prihodi od iznajmljivanja stambenih objekata 49,9% više, a prihodi od zakupa poslovnih prostora 3,3% manje.</w:t>
      </w:r>
    </w:p>
    <w:p w:rsidR="00E925E1" w:rsidRDefault="00000000">
      <w:r>
        <w:t>Prihodi od naknada za koncesije u 2025. godine ostvareni su u iznosu od 13.597,35 eura ili 11,6% manje u odnosu na 2024. godinu radi manje realizacije prihoda od koncesija na pomorskom dobru.</w:t>
      </w:r>
    </w:p>
    <w:p w:rsidR="00E925E1" w:rsidRDefault="00000000">
      <w:r>
        <w:lastRenderedPageBreak/>
        <w:t>Prihodi od naknada za korištenje nefinancijske imovine u 2025. godini ostvareni su u iznosu od 21.925,50 eura ili 2,56% manje, a čine ih prihodi od spomeničke rente i prihodi od naknada za služnost. Naknade za služnost odnose se na naknadu naplaćenu od Hrvatskog telekoma d.d. i realizirana je u obje godine u jednakim iznosima, dok su prihodi od spomeničke rente u 2025. godini manji za 4,58 %. Visina spomeničke rente po metru kvadratnom ostala je nepromijenjena.</w:t>
      </w:r>
    </w:p>
    <w:p w:rsidR="00E925E1" w:rsidRDefault="00000000">
      <w:r>
        <w:t>Ostali prihodi od nefinancijske imovine odnose se na naknade za legalizaciju objekata, a isti se slijedom rješavanja predmeta smanjuju iz godine u godinu. </w:t>
      </w:r>
    </w:p>
    <w:p w:rsidR="00E925E1" w:rsidRDefault="00E925E1"/>
    <w:p w:rsidR="00E925E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643</w:t>
            </w:r>
          </w:p>
        </w:tc>
        <w:tc>
          <w:tcPr>
            <w:tcW w:w="3180" w:type="dxa"/>
            <w:tcMar>
              <w:top w:w="0" w:type="dxa"/>
              <w:bottom w:w="0" w:type="dxa"/>
            </w:tcMar>
            <w:vAlign w:val="center"/>
          </w:tcPr>
          <w:p w:rsidR="00E925E1" w:rsidRDefault="00000000">
            <w:pPr>
              <w:keepNext/>
              <w:keepLines/>
              <w:spacing w:after="0" w:line="240" w:lineRule="auto"/>
            </w:pPr>
            <w:r>
              <w:rPr>
                <w:sz w:val="18"/>
              </w:rPr>
              <w:t>Prihodi od kamata na dane zajmove (šifre 6431 do 6437)</w:t>
            </w:r>
          </w:p>
        </w:tc>
        <w:tc>
          <w:tcPr>
            <w:tcW w:w="700" w:type="dxa"/>
            <w:tcMar>
              <w:top w:w="0" w:type="dxa"/>
              <w:bottom w:w="0" w:type="dxa"/>
            </w:tcMar>
            <w:vAlign w:val="center"/>
          </w:tcPr>
          <w:p w:rsidR="00E925E1" w:rsidRDefault="00000000">
            <w:pPr>
              <w:keepNext/>
              <w:keepLines/>
              <w:spacing w:after="0" w:line="240" w:lineRule="auto"/>
            </w:pPr>
            <w:r>
              <w:rPr>
                <w:sz w:val="18"/>
              </w:rPr>
              <w:t>643</w:t>
            </w:r>
          </w:p>
        </w:tc>
        <w:tc>
          <w:tcPr>
            <w:tcW w:w="1860" w:type="dxa"/>
            <w:tcMar>
              <w:top w:w="0" w:type="dxa"/>
              <w:bottom w:w="0" w:type="dxa"/>
            </w:tcMar>
            <w:vAlign w:val="center"/>
          </w:tcPr>
          <w:p w:rsidR="00E925E1" w:rsidRDefault="00000000">
            <w:pPr>
              <w:keepNext/>
              <w:keepLines/>
              <w:spacing w:after="0" w:line="240" w:lineRule="auto"/>
              <w:jc w:val="right"/>
            </w:pPr>
            <w:r>
              <w:rPr>
                <w:sz w:val="18"/>
              </w:rPr>
              <w:t>6.544,56</w:t>
            </w:r>
          </w:p>
        </w:tc>
        <w:tc>
          <w:tcPr>
            <w:tcW w:w="1860" w:type="dxa"/>
            <w:tcMar>
              <w:top w:w="0" w:type="dxa"/>
              <w:bottom w:w="0" w:type="dxa"/>
            </w:tcMar>
            <w:vAlign w:val="center"/>
          </w:tcPr>
          <w:p w:rsidR="00E925E1" w:rsidRDefault="00000000">
            <w:pPr>
              <w:keepNext/>
              <w:keepLines/>
              <w:spacing w:after="0" w:line="240" w:lineRule="auto"/>
              <w:jc w:val="right"/>
            </w:pPr>
            <w:r>
              <w:rPr>
                <w:sz w:val="18"/>
              </w:rPr>
              <w:t>14.063,97</w:t>
            </w:r>
          </w:p>
        </w:tc>
        <w:tc>
          <w:tcPr>
            <w:tcW w:w="700" w:type="dxa"/>
            <w:tcMar>
              <w:top w:w="0" w:type="dxa"/>
              <w:bottom w:w="0" w:type="dxa"/>
            </w:tcMar>
            <w:vAlign w:val="center"/>
          </w:tcPr>
          <w:p w:rsidR="00E925E1" w:rsidRDefault="00000000">
            <w:pPr>
              <w:keepNext/>
              <w:keepLines/>
              <w:spacing w:after="0" w:line="240" w:lineRule="auto"/>
              <w:jc w:val="right"/>
            </w:pPr>
            <w:r>
              <w:rPr>
                <w:sz w:val="18"/>
              </w:rPr>
              <w:t>214,9</w:t>
            </w:r>
          </w:p>
        </w:tc>
      </w:tr>
    </w:tbl>
    <w:p w:rsidR="00E925E1" w:rsidRDefault="00E925E1">
      <w:pPr>
        <w:spacing w:after="0"/>
      </w:pPr>
    </w:p>
    <w:p w:rsidR="00E925E1" w:rsidRDefault="00000000">
      <w:r>
        <w:t>Prihodi od kamata na dane zajmove odnose se na ugovorene kamate za odobrene obročne otplate po osnovi kupoprodajnih ugovora i po rješenjima o komunalnom doprinosu, a realizirani su u iznosu od 14.063,97 eura što je za 114,9% više od ostvarenog u 2024. godini. U tekućoj godini povećan je broj i vrijednost ugovora i rješenja s odobrenom obročnom otplatom.</w:t>
      </w:r>
    </w:p>
    <w:p w:rsidR="00E925E1" w:rsidRDefault="00E925E1"/>
    <w:p w:rsidR="00E925E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651</w:t>
            </w:r>
          </w:p>
        </w:tc>
        <w:tc>
          <w:tcPr>
            <w:tcW w:w="3180" w:type="dxa"/>
            <w:tcMar>
              <w:top w:w="0" w:type="dxa"/>
              <w:bottom w:w="0" w:type="dxa"/>
            </w:tcMar>
            <w:vAlign w:val="center"/>
          </w:tcPr>
          <w:p w:rsidR="00E925E1"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rsidR="00E925E1" w:rsidRDefault="00000000">
            <w:pPr>
              <w:keepNext/>
              <w:keepLines/>
              <w:spacing w:after="0" w:line="240" w:lineRule="auto"/>
            </w:pPr>
            <w:r>
              <w:rPr>
                <w:sz w:val="18"/>
              </w:rPr>
              <w:t>651</w:t>
            </w:r>
          </w:p>
        </w:tc>
        <w:tc>
          <w:tcPr>
            <w:tcW w:w="1860" w:type="dxa"/>
            <w:tcMar>
              <w:top w:w="0" w:type="dxa"/>
              <w:bottom w:w="0" w:type="dxa"/>
            </w:tcMar>
            <w:vAlign w:val="center"/>
          </w:tcPr>
          <w:p w:rsidR="00E925E1" w:rsidRDefault="00000000">
            <w:pPr>
              <w:keepNext/>
              <w:keepLines/>
              <w:spacing w:after="0" w:line="240" w:lineRule="auto"/>
              <w:jc w:val="right"/>
            </w:pPr>
            <w:r>
              <w:rPr>
                <w:sz w:val="18"/>
              </w:rPr>
              <w:t>78.559,31</w:t>
            </w:r>
          </w:p>
        </w:tc>
        <w:tc>
          <w:tcPr>
            <w:tcW w:w="1860" w:type="dxa"/>
            <w:tcMar>
              <w:top w:w="0" w:type="dxa"/>
              <w:bottom w:w="0" w:type="dxa"/>
            </w:tcMar>
            <w:vAlign w:val="center"/>
          </w:tcPr>
          <w:p w:rsidR="00E925E1" w:rsidRDefault="00000000">
            <w:pPr>
              <w:keepNext/>
              <w:keepLines/>
              <w:spacing w:after="0" w:line="240" w:lineRule="auto"/>
              <w:jc w:val="right"/>
            </w:pPr>
            <w:r>
              <w:rPr>
                <w:sz w:val="18"/>
              </w:rPr>
              <w:t>64.738,66</w:t>
            </w:r>
          </w:p>
        </w:tc>
        <w:tc>
          <w:tcPr>
            <w:tcW w:w="700" w:type="dxa"/>
            <w:tcMar>
              <w:top w:w="0" w:type="dxa"/>
              <w:bottom w:w="0" w:type="dxa"/>
            </w:tcMar>
            <w:vAlign w:val="center"/>
          </w:tcPr>
          <w:p w:rsidR="00E925E1" w:rsidRDefault="00000000">
            <w:pPr>
              <w:keepNext/>
              <w:keepLines/>
              <w:spacing w:after="0" w:line="240" w:lineRule="auto"/>
              <w:jc w:val="right"/>
            </w:pPr>
            <w:r>
              <w:rPr>
                <w:sz w:val="18"/>
              </w:rPr>
              <w:t>82,4</w:t>
            </w:r>
          </w:p>
        </w:tc>
      </w:tr>
    </w:tbl>
    <w:p w:rsidR="00E925E1" w:rsidRDefault="00E925E1">
      <w:pPr>
        <w:spacing w:after="0"/>
      </w:pPr>
    </w:p>
    <w:p w:rsidR="00E925E1" w:rsidRDefault="00000000">
      <w:r>
        <w:t>Prihodi od gradskih pristojbi smanjeni su radi manje naplaćenih naknada za prekopavanje asfaltiranih površina i naknada za prekomjernu uporabu nerazvrstanih cesta, a realizirano je i 7,0% manje prihoda od turističkih pristojbi.</w:t>
      </w:r>
    </w:p>
    <w:p w:rsidR="00E925E1" w:rsidRDefault="00E925E1"/>
    <w:p w:rsidR="00E925E1"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652</w:t>
            </w:r>
          </w:p>
        </w:tc>
        <w:tc>
          <w:tcPr>
            <w:tcW w:w="3180" w:type="dxa"/>
            <w:tcMar>
              <w:top w:w="0" w:type="dxa"/>
              <w:bottom w:w="0" w:type="dxa"/>
            </w:tcMar>
            <w:vAlign w:val="center"/>
          </w:tcPr>
          <w:p w:rsidR="00E925E1"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rsidR="00E925E1" w:rsidRDefault="00000000">
            <w:pPr>
              <w:keepNext/>
              <w:keepLines/>
              <w:spacing w:after="0" w:line="240" w:lineRule="auto"/>
            </w:pPr>
            <w:r>
              <w:rPr>
                <w:sz w:val="18"/>
              </w:rPr>
              <w:t>652</w:t>
            </w:r>
          </w:p>
        </w:tc>
        <w:tc>
          <w:tcPr>
            <w:tcW w:w="1860" w:type="dxa"/>
            <w:tcMar>
              <w:top w:w="0" w:type="dxa"/>
              <w:bottom w:w="0" w:type="dxa"/>
            </w:tcMar>
            <w:vAlign w:val="center"/>
          </w:tcPr>
          <w:p w:rsidR="00E925E1" w:rsidRDefault="00000000">
            <w:pPr>
              <w:keepNext/>
              <w:keepLines/>
              <w:spacing w:after="0" w:line="240" w:lineRule="auto"/>
              <w:jc w:val="right"/>
            </w:pPr>
            <w:r>
              <w:rPr>
                <w:sz w:val="18"/>
              </w:rPr>
              <w:t>7.031,96</w:t>
            </w:r>
          </w:p>
        </w:tc>
        <w:tc>
          <w:tcPr>
            <w:tcW w:w="1860" w:type="dxa"/>
            <w:tcMar>
              <w:top w:w="0" w:type="dxa"/>
              <w:bottom w:w="0" w:type="dxa"/>
            </w:tcMar>
            <w:vAlign w:val="center"/>
          </w:tcPr>
          <w:p w:rsidR="00E925E1" w:rsidRDefault="00000000">
            <w:pPr>
              <w:keepNext/>
              <w:keepLines/>
              <w:spacing w:after="0" w:line="240" w:lineRule="auto"/>
              <w:jc w:val="right"/>
            </w:pPr>
            <w:r>
              <w:rPr>
                <w:sz w:val="18"/>
              </w:rPr>
              <w:t>30.871,90</w:t>
            </w:r>
          </w:p>
        </w:tc>
        <w:tc>
          <w:tcPr>
            <w:tcW w:w="700" w:type="dxa"/>
            <w:tcMar>
              <w:top w:w="0" w:type="dxa"/>
              <w:bottom w:w="0" w:type="dxa"/>
            </w:tcMar>
            <w:vAlign w:val="center"/>
          </w:tcPr>
          <w:p w:rsidR="00E925E1" w:rsidRDefault="00000000">
            <w:pPr>
              <w:keepNext/>
              <w:keepLines/>
              <w:spacing w:after="0" w:line="240" w:lineRule="auto"/>
              <w:jc w:val="right"/>
            </w:pPr>
            <w:r>
              <w:rPr>
                <w:sz w:val="18"/>
              </w:rPr>
              <w:t>439,0</w:t>
            </w:r>
          </w:p>
        </w:tc>
      </w:tr>
    </w:tbl>
    <w:p w:rsidR="00E925E1" w:rsidRDefault="00E925E1">
      <w:pPr>
        <w:spacing w:after="0"/>
      </w:pPr>
    </w:p>
    <w:p w:rsidR="00E925E1" w:rsidRDefault="00000000">
      <w:r>
        <w:lastRenderedPageBreak/>
        <w:t>Prihodi vodnog gospodarstva u 2025. godini realizirani su u manjem iznosu, dok su ostali nespomenuti prihodi realizirani u znatno većem iznosu radi povrata neiskorištenih sredstava donacija dodijeljenih udrugama u prethodnoj godini, nadoknade troškova sudskih postupaka i povrata neutrošenih predujmova sudskih troškova plaćenih u prethodnim godinama te većeg iznosa realiziranih sredstava s naslova osiguranja od šteta.</w:t>
      </w:r>
    </w:p>
    <w:p w:rsidR="00E925E1" w:rsidRDefault="00000000">
      <w:r>
        <w:t>U izvještajnom razdoblju prethodne godine ostvareno je 41,65 eura iz udjela u zajedničkom prihodu od naknade za prenamjenu poljoprivrednog zemljišta, a u 2025. godini 2,28 eura od doprinosa za šume. </w:t>
      </w:r>
    </w:p>
    <w:p w:rsidR="00E925E1" w:rsidRDefault="00E925E1"/>
    <w:p w:rsidR="00E925E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653</w:t>
            </w:r>
          </w:p>
        </w:tc>
        <w:tc>
          <w:tcPr>
            <w:tcW w:w="3180" w:type="dxa"/>
            <w:tcMar>
              <w:top w:w="0" w:type="dxa"/>
              <w:bottom w:w="0" w:type="dxa"/>
            </w:tcMar>
            <w:vAlign w:val="center"/>
          </w:tcPr>
          <w:p w:rsidR="00E925E1"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rsidR="00E925E1" w:rsidRDefault="00000000">
            <w:pPr>
              <w:keepNext/>
              <w:keepLines/>
              <w:spacing w:after="0" w:line="240" w:lineRule="auto"/>
            </w:pPr>
            <w:r>
              <w:rPr>
                <w:sz w:val="18"/>
              </w:rPr>
              <w:t>653</w:t>
            </w:r>
          </w:p>
        </w:tc>
        <w:tc>
          <w:tcPr>
            <w:tcW w:w="1860" w:type="dxa"/>
            <w:tcMar>
              <w:top w:w="0" w:type="dxa"/>
              <w:bottom w:w="0" w:type="dxa"/>
            </w:tcMar>
            <w:vAlign w:val="center"/>
          </w:tcPr>
          <w:p w:rsidR="00E925E1" w:rsidRDefault="00000000">
            <w:pPr>
              <w:keepNext/>
              <w:keepLines/>
              <w:spacing w:after="0" w:line="240" w:lineRule="auto"/>
              <w:jc w:val="right"/>
            </w:pPr>
            <w:r>
              <w:rPr>
                <w:sz w:val="18"/>
              </w:rPr>
              <w:t>1.370.104,84</w:t>
            </w:r>
          </w:p>
        </w:tc>
        <w:tc>
          <w:tcPr>
            <w:tcW w:w="1860" w:type="dxa"/>
            <w:tcMar>
              <w:top w:w="0" w:type="dxa"/>
              <w:bottom w:w="0" w:type="dxa"/>
            </w:tcMar>
            <w:vAlign w:val="center"/>
          </w:tcPr>
          <w:p w:rsidR="00E925E1" w:rsidRDefault="00000000">
            <w:pPr>
              <w:keepNext/>
              <w:keepLines/>
              <w:spacing w:after="0" w:line="240" w:lineRule="auto"/>
              <w:jc w:val="right"/>
            </w:pPr>
            <w:r>
              <w:rPr>
                <w:sz w:val="18"/>
              </w:rPr>
              <w:t>1.324.553,63</w:t>
            </w:r>
          </w:p>
        </w:tc>
        <w:tc>
          <w:tcPr>
            <w:tcW w:w="700" w:type="dxa"/>
            <w:tcMar>
              <w:top w:w="0" w:type="dxa"/>
              <w:bottom w:w="0" w:type="dxa"/>
            </w:tcMar>
            <w:vAlign w:val="center"/>
          </w:tcPr>
          <w:p w:rsidR="00E925E1" w:rsidRDefault="00000000">
            <w:pPr>
              <w:keepNext/>
              <w:keepLines/>
              <w:spacing w:after="0" w:line="240" w:lineRule="auto"/>
              <w:jc w:val="right"/>
            </w:pPr>
            <w:r>
              <w:rPr>
                <w:sz w:val="18"/>
              </w:rPr>
              <w:t>96,7</w:t>
            </w:r>
          </w:p>
        </w:tc>
      </w:tr>
    </w:tbl>
    <w:p w:rsidR="00E925E1" w:rsidRDefault="00E925E1">
      <w:pPr>
        <w:spacing w:after="0"/>
      </w:pPr>
    </w:p>
    <w:p w:rsidR="00E925E1" w:rsidRDefault="00000000">
      <w:r>
        <w:t>Prihodi od komunalne naknade veći su za 5,4%, a do povećanja je došlo slijedom provedenih izmjera kojima su utvrđeni novi obveznici ili povećane površine postojećih obveznika komunalne naknade. Prihodi od komunalnog doprinosa realizirani su za 11,3% manje u odnosu na prethodnu godinu. Visina komunalne naknade i komunalnog doprinosa nije se mijenjala u odnosu na 2024. godinu.</w:t>
      </w:r>
    </w:p>
    <w:p w:rsidR="00E925E1" w:rsidRDefault="00E925E1"/>
    <w:p w:rsidR="00E925E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661</w:t>
            </w:r>
          </w:p>
        </w:tc>
        <w:tc>
          <w:tcPr>
            <w:tcW w:w="3180" w:type="dxa"/>
            <w:tcMar>
              <w:top w:w="0" w:type="dxa"/>
              <w:bottom w:w="0" w:type="dxa"/>
            </w:tcMar>
            <w:vAlign w:val="center"/>
          </w:tcPr>
          <w:p w:rsidR="00E925E1"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E925E1" w:rsidRDefault="00000000">
            <w:pPr>
              <w:keepNext/>
              <w:keepLines/>
              <w:spacing w:after="0" w:line="240" w:lineRule="auto"/>
            </w:pPr>
            <w:r>
              <w:rPr>
                <w:sz w:val="18"/>
              </w:rPr>
              <w:t>661</w:t>
            </w:r>
          </w:p>
        </w:tc>
        <w:tc>
          <w:tcPr>
            <w:tcW w:w="1860" w:type="dxa"/>
            <w:tcMar>
              <w:top w:w="0" w:type="dxa"/>
              <w:bottom w:w="0" w:type="dxa"/>
            </w:tcMar>
            <w:vAlign w:val="center"/>
          </w:tcPr>
          <w:p w:rsidR="00E925E1" w:rsidRDefault="00000000">
            <w:pPr>
              <w:keepNext/>
              <w:keepLines/>
              <w:spacing w:after="0" w:line="240" w:lineRule="auto"/>
              <w:jc w:val="right"/>
            </w:pPr>
            <w:r>
              <w:rPr>
                <w:sz w:val="18"/>
              </w:rPr>
              <w:t>24.608,37</w:t>
            </w:r>
          </w:p>
        </w:tc>
        <w:tc>
          <w:tcPr>
            <w:tcW w:w="1860" w:type="dxa"/>
            <w:tcMar>
              <w:top w:w="0" w:type="dxa"/>
              <w:bottom w:w="0" w:type="dxa"/>
            </w:tcMar>
            <w:vAlign w:val="center"/>
          </w:tcPr>
          <w:p w:rsidR="00E925E1" w:rsidRDefault="00000000">
            <w:pPr>
              <w:keepNext/>
              <w:keepLines/>
              <w:spacing w:after="0" w:line="240" w:lineRule="auto"/>
              <w:jc w:val="right"/>
            </w:pPr>
            <w:r>
              <w:rPr>
                <w:sz w:val="18"/>
              </w:rPr>
              <w:t>26.779,09</w:t>
            </w:r>
          </w:p>
        </w:tc>
        <w:tc>
          <w:tcPr>
            <w:tcW w:w="700" w:type="dxa"/>
            <w:tcMar>
              <w:top w:w="0" w:type="dxa"/>
              <w:bottom w:w="0" w:type="dxa"/>
            </w:tcMar>
            <w:vAlign w:val="center"/>
          </w:tcPr>
          <w:p w:rsidR="00E925E1" w:rsidRDefault="00000000">
            <w:pPr>
              <w:keepNext/>
              <w:keepLines/>
              <w:spacing w:after="0" w:line="240" w:lineRule="auto"/>
              <w:jc w:val="right"/>
            </w:pPr>
            <w:r>
              <w:rPr>
                <w:sz w:val="18"/>
              </w:rPr>
              <w:t>108,8</w:t>
            </w:r>
          </w:p>
        </w:tc>
      </w:tr>
    </w:tbl>
    <w:p w:rsidR="00E925E1" w:rsidRDefault="00E925E1">
      <w:pPr>
        <w:spacing w:after="0"/>
      </w:pPr>
    </w:p>
    <w:p w:rsidR="00E925E1" w:rsidRDefault="00000000">
      <w:r>
        <w:t>Prihodi od prodaje proizvoda i robe te pruženih usluga odnose se na naknadu za obavljanje poslova naplate naknade za uređenje voda temeljem Zakona o financiranju vodnog gospodarstva i Ugovora s Hrvatskim vodama. Povećanje je rezultat veće naplate prihoda od naknade za uređenje voda slijedom stalnog ažuriranja podataka i povećavanja broja obveznika. </w:t>
      </w:r>
    </w:p>
    <w:p w:rsidR="00E925E1" w:rsidRDefault="00E925E1"/>
    <w:p w:rsidR="00E925E1"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681</w:t>
            </w:r>
          </w:p>
        </w:tc>
        <w:tc>
          <w:tcPr>
            <w:tcW w:w="3180" w:type="dxa"/>
            <w:tcMar>
              <w:top w:w="0" w:type="dxa"/>
              <w:bottom w:w="0" w:type="dxa"/>
            </w:tcMar>
            <w:vAlign w:val="center"/>
          </w:tcPr>
          <w:p w:rsidR="00E925E1" w:rsidRDefault="00000000">
            <w:pPr>
              <w:keepNext/>
              <w:keepLines/>
              <w:spacing w:after="0" w:line="240" w:lineRule="auto"/>
            </w:pPr>
            <w:r>
              <w:rPr>
                <w:sz w:val="18"/>
              </w:rPr>
              <w:t>Kazne i upravne mjere (šifre 6811 do 6819)</w:t>
            </w:r>
          </w:p>
        </w:tc>
        <w:tc>
          <w:tcPr>
            <w:tcW w:w="700" w:type="dxa"/>
            <w:tcMar>
              <w:top w:w="0" w:type="dxa"/>
              <w:bottom w:w="0" w:type="dxa"/>
            </w:tcMar>
            <w:vAlign w:val="center"/>
          </w:tcPr>
          <w:p w:rsidR="00E925E1" w:rsidRDefault="00000000">
            <w:pPr>
              <w:keepNext/>
              <w:keepLines/>
              <w:spacing w:after="0" w:line="240" w:lineRule="auto"/>
            </w:pPr>
            <w:r>
              <w:rPr>
                <w:sz w:val="18"/>
              </w:rPr>
              <w:t>681</w:t>
            </w:r>
          </w:p>
        </w:tc>
        <w:tc>
          <w:tcPr>
            <w:tcW w:w="1860" w:type="dxa"/>
            <w:tcMar>
              <w:top w:w="0" w:type="dxa"/>
              <w:bottom w:w="0" w:type="dxa"/>
            </w:tcMar>
            <w:vAlign w:val="center"/>
          </w:tcPr>
          <w:p w:rsidR="00E925E1" w:rsidRDefault="00000000">
            <w:pPr>
              <w:keepNext/>
              <w:keepLines/>
              <w:spacing w:after="0" w:line="240" w:lineRule="auto"/>
              <w:jc w:val="right"/>
            </w:pPr>
            <w:r>
              <w:rPr>
                <w:sz w:val="18"/>
              </w:rPr>
              <w:t>4.572,46</w:t>
            </w:r>
          </w:p>
        </w:tc>
        <w:tc>
          <w:tcPr>
            <w:tcW w:w="1860" w:type="dxa"/>
            <w:tcMar>
              <w:top w:w="0" w:type="dxa"/>
              <w:bottom w:w="0" w:type="dxa"/>
            </w:tcMar>
            <w:vAlign w:val="center"/>
          </w:tcPr>
          <w:p w:rsidR="00E925E1" w:rsidRDefault="00000000">
            <w:pPr>
              <w:keepNext/>
              <w:keepLines/>
              <w:spacing w:after="0" w:line="240" w:lineRule="auto"/>
              <w:jc w:val="right"/>
            </w:pPr>
            <w:r>
              <w:rPr>
                <w:sz w:val="18"/>
              </w:rPr>
              <w:t>9.080,42</w:t>
            </w:r>
          </w:p>
        </w:tc>
        <w:tc>
          <w:tcPr>
            <w:tcW w:w="700" w:type="dxa"/>
            <w:tcMar>
              <w:top w:w="0" w:type="dxa"/>
              <w:bottom w:w="0" w:type="dxa"/>
            </w:tcMar>
            <w:vAlign w:val="center"/>
          </w:tcPr>
          <w:p w:rsidR="00E925E1" w:rsidRDefault="00000000">
            <w:pPr>
              <w:keepNext/>
              <w:keepLines/>
              <w:spacing w:after="0" w:line="240" w:lineRule="auto"/>
              <w:jc w:val="right"/>
            </w:pPr>
            <w:r>
              <w:rPr>
                <w:sz w:val="18"/>
              </w:rPr>
              <w:t>198,6</w:t>
            </w:r>
          </w:p>
        </w:tc>
      </w:tr>
    </w:tbl>
    <w:p w:rsidR="00E925E1" w:rsidRDefault="00E925E1">
      <w:pPr>
        <w:spacing w:after="0"/>
      </w:pPr>
    </w:p>
    <w:p w:rsidR="00E925E1" w:rsidRDefault="00000000">
      <w:r>
        <w:t>Kaznene i upravne mjere odnose se na naplaćene kazne prometnog i komunalnog redarstva. Iznos od 7.473,20 eura odnosi na kazne prometnog redarstva, a iznos od 1.607,22 eura na kazne komunalnog redarstva.  </w:t>
      </w:r>
    </w:p>
    <w:p w:rsidR="00E925E1" w:rsidRDefault="00E925E1"/>
    <w:p w:rsidR="00E925E1"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683</w:t>
            </w:r>
          </w:p>
        </w:tc>
        <w:tc>
          <w:tcPr>
            <w:tcW w:w="3180" w:type="dxa"/>
            <w:tcMar>
              <w:top w:w="0" w:type="dxa"/>
              <w:bottom w:w="0" w:type="dxa"/>
            </w:tcMar>
            <w:vAlign w:val="center"/>
          </w:tcPr>
          <w:p w:rsidR="00E925E1" w:rsidRDefault="00000000">
            <w:pPr>
              <w:keepNext/>
              <w:keepLines/>
              <w:spacing w:after="0" w:line="240" w:lineRule="auto"/>
            </w:pPr>
            <w:r>
              <w:rPr>
                <w:sz w:val="18"/>
              </w:rPr>
              <w:t>Ostali prihodi</w:t>
            </w:r>
          </w:p>
        </w:tc>
        <w:tc>
          <w:tcPr>
            <w:tcW w:w="700" w:type="dxa"/>
            <w:tcMar>
              <w:top w:w="0" w:type="dxa"/>
              <w:bottom w:w="0" w:type="dxa"/>
            </w:tcMar>
            <w:vAlign w:val="center"/>
          </w:tcPr>
          <w:p w:rsidR="00E925E1" w:rsidRDefault="00000000">
            <w:pPr>
              <w:keepNext/>
              <w:keepLines/>
              <w:spacing w:after="0" w:line="240" w:lineRule="auto"/>
            </w:pPr>
            <w:r>
              <w:rPr>
                <w:sz w:val="18"/>
              </w:rPr>
              <w:t>683</w:t>
            </w:r>
          </w:p>
        </w:tc>
        <w:tc>
          <w:tcPr>
            <w:tcW w:w="1860" w:type="dxa"/>
            <w:tcMar>
              <w:top w:w="0" w:type="dxa"/>
              <w:bottom w:w="0" w:type="dxa"/>
            </w:tcMar>
            <w:vAlign w:val="center"/>
          </w:tcPr>
          <w:p w:rsidR="00E925E1" w:rsidRDefault="00000000">
            <w:pPr>
              <w:keepNext/>
              <w:keepLines/>
              <w:spacing w:after="0" w:line="240" w:lineRule="auto"/>
              <w:jc w:val="right"/>
            </w:pPr>
            <w:r>
              <w:rPr>
                <w:sz w:val="18"/>
              </w:rPr>
              <w:t>21.269,19</w:t>
            </w:r>
          </w:p>
        </w:tc>
        <w:tc>
          <w:tcPr>
            <w:tcW w:w="1860" w:type="dxa"/>
            <w:tcMar>
              <w:top w:w="0" w:type="dxa"/>
              <w:bottom w:w="0" w:type="dxa"/>
            </w:tcMar>
            <w:vAlign w:val="center"/>
          </w:tcPr>
          <w:p w:rsidR="00E925E1" w:rsidRDefault="00000000">
            <w:pPr>
              <w:keepNext/>
              <w:keepLines/>
              <w:spacing w:after="0" w:line="240" w:lineRule="auto"/>
              <w:jc w:val="right"/>
            </w:pPr>
            <w:r>
              <w:rPr>
                <w:sz w:val="18"/>
              </w:rPr>
              <w:t>85.815,32</w:t>
            </w:r>
          </w:p>
        </w:tc>
        <w:tc>
          <w:tcPr>
            <w:tcW w:w="700" w:type="dxa"/>
            <w:tcMar>
              <w:top w:w="0" w:type="dxa"/>
              <w:bottom w:w="0" w:type="dxa"/>
            </w:tcMar>
            <w:vAlign w:val="center"/>
          </w:tcPr>
          <w:p w:rsidR="00E925E1" w:rsidRDefault="00000000">
            <w:pPr>
              <w:keepNext/>
              <w:keepLines/>
              <w:spacing w:after="0" w:line="240" w:lineRule="auto"/>
              <w:jc w:val="right"/>
            </w:pPr>
            <w:r>
              <w:rPr>
                <w:sz w:val="18"/>
              </w:rPr>
              <w:t>403,5</w:t>
            </w:r>
          </w:p>
        </w:tc>
      </w:tr>
    </w:tbl>
    <w:p w:rsidR="00E925E1" w:rsidRDefault="00E925E1">
      <w:pPr>
        <w:spacing w:after="0"/>
      </w:pPr>
    </w:p>
    <w:p w:rsidR="00E925E1" w:rsidRDefault="00000000">
      <w:r>
        <w:t>Slijedom izmjena knjigovodstvenih evidencija sukladno Pravilniku o proračunskom računovodstvu i Računskom planu od 2025. godine na ovoj podskupini evidentirani su prihodi od prefakturiranih troškova (zajedničko korištenje prostora, zajednički komunalni redar, materijalni troškovi vezani za naplatu naknade za uređenje voda i sl.). Osim toga, u 2025. godini realizirano je 60.593,11 eura novčanih sredstava od ošasne imovine.</w:t>
      </w:r>
    </w:p>
    <w:p w:rsidR="00E925E1" w:rsidRDefault="00E925E1"/>
    <w:p w:rsidR="00E925E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311</w:t>
            </w:r>
          </w:p>
        </w:tc>
        <w:tc>
          <w:tcPr>
            <w:tcW w:w="3180" w:type="dxa"/>
            <w:tcMar>
              <w:top w:w="0" w:type="dxa"/>
              <w:bottom w:w="0" w:type="dxa"/>
            </w:tcMar>
            <w:vAlign w:val="center"/>
          </w:tcPr>
          <w:p w:rsidR="00E925E1" w:rsidRDefault="00000000">
            <w:pPr>
              <w:keepNext/>
              <w:keepLines/>
              <w:spacing w:after="0" w:line="240" w:lineRule="auto"/>
            </w:pPr>
            <w:r>
              <w:rPr>
                <w:sz w:val="18"/>
              </w:rPr>
              <w:t>Plaće (bruto) (šifre 3111 do 3114)</w:t>
            </w:r>
          </w:p>
        </w:tc>
        <w:tc>
          <w:tcPr>
            <w:tcW w:w="700" w:type="dxa"/>
            <w:tcMar>
              <w:top w:w="0" w:type="dxa"/>
              <w:bottom w:w="0" w:type="dxa"/>
            </w:tcMar>
            <w:vAlign w:val="center"/>
          </w:tcPr>
          <w:p w:rsidR="00E925E1" w:rsidRDefault="00000000">
            <w:pPr>
              <w:keepNext/>
              <w:keepLines/>
              <w:spacing w:after="0" w:line="240" w:lineRule="auto"/>
            </w:pPr>
            <w:r>
              <w:rPr>
                <w:sz w:val="18"/>
              </w:rPr>
              <w:t>311</w:t>
            </w:r>
          </w:p>
        </w:tc>
        <w:tc>
          <w:tcPr>
            <w:tcW w:w="1860" w:type="dxa"/>
            <w:tcMar>
              <w:top w:w="0" w:type="dxa"/>
              <w:bottom w:w="0" w:type="dxa"/>
            </w:tcMar>
            <w:vAlign w:val="center"/>
          </w:tcPr>
          <w:p w:rsidR="00E925E1" w:rsidRDefault="00000000">
            <w:pPr>
              <w:keepNext/>
              <w:keepLines/>
              <w:spacing w:after="0" w:line="240" w:lineRule="auto"/>
              <w:jc w:val="right"/>
            </w:pPr>
            <w:r>
              <w:rPr>
                <w:sz w:val="18"/>
              </w:rPr>
              <w:t>472.707,44</w:t>
            </w:r>
          </w:p>
        </w:tc>
        <w:tc>
          <w:tcPr>
            <w:tcW w:w="1860" w:type="dxa"/>
            <w:tcMar>
              <w:top w:w="0" w:type="dxa"/>
              <w:bottom w:w="0" w:type="dxa"/>
            </w:tcMar>
            <w:vAlign w:val="center"/>
          </w:tcPr>
          <w:p w:rsidR="00E925E1" w:rsidRDefault="00000000">
            <w:pPr>
              <w:keepNext/>
              <w:keepLines/>
              <w:spacing w:after="0" w:line="240" w:lineRule="auto"/>
              <w:jc w:val="right"/>
            </w:pPr>
            <w:r>
              <w:rPr>
                <w:sz w:val="18"/>
              </w:rPr>
              <w:t>545.611,07</w:t>
            </w:r>
          </w:p>
        </w:tc>
        <w:tc>
          <w:tcPr>
            <w:tcW w:w="700" w:type="dxa"/>
            <w:tcMar>
              <w:top w:w="0" w:type="dxa"/>
              <w:bottom w:w="0" w:type="dxa"/>
            </w:tcMar>
            <w:vAlign w:val="center"/>
          </w:tcPr>
          <w:p w:rsidR="00E925E1" w:rsidRDefault="00000000">
            <w:pPr>
              <w:keepNext/>
              <w:keepLines/>
              <w:spacing w:after="0" w:line="240" w:lineRule="auto"/>
              <w:jc w:val="right"/>
            </w:pPr>
            <w:r>
              <w:rPr>
                <w:sz w:val="18"/>
              </w:rPr>
              <w:t>115,4</w:t>
            </w:r>
          </w:p>
        </w:tc>
      </w:tr>
    </w:tbl>
    <w:p w:rsidR="00E925E1" w:rsidRDefault="00E925E1">
      <w:pPr>
        <w:spacing w:after="0"/>
      </w:pPr>
    </w:p>
    <w:p w:rsidR="00E925E1" w:rsidRDefault="00000000">
      <w:r>
        <w:t>Do povećanja rashoda došlo je radi povećanja osnovice za obračun plaća u drugom dijelu prethodne godine. </w:t>
      </w:r>
    </w:p>
    <w:p w:rsidR="00E925E1" w:rsidRDefault="00E925E1"/>
    <w:p w:rsidR="00E925E1"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312</w:t>
            </w:r>
          </w:p>
        </w:tc>
        <w:tc>
          <w:tcPr>
            <w:tcW w:w="3180" w:type="dxa"/>
            <w:tcMar>
              <w:top w:w="0" w:type="dxa"/>
              <w:bottom w:w="0" w:type="dxa"/>
            </w:tcMar>
            <w:vAlign w:val="center"/>
          </w:tcPr>
          <w:p w:rsidR="00E925E1" w:rsidRDefault="00000000">
            <w:pPr>
              <w:keepNext/>
              <w:keepLines/>
              <w:spacing w:after="0" w:line="240" w:lineRule="auto"/>
            </w:pPr>
            <w:r>
              <w:rPr>
                <w:sz w:val="18"/>
              </w:rPr>
              <w:t>Ostali rashodi za zaposlene</w:t>
            </w:r>
          </w:p>
        </w:tc>
        <w:tc>
          <w:tcPr>
            <w:tcW w:w="700" w:type="dxa"/>
            <w:tcMar>
              <w:top w:w="0" w:type="dxa"/>
              <w:bottom w:w="0" w:type="dxa"/>
            </w:tcMar>
            <w:vAlign w:val="center"/>
          </w:tcPr>
          <w:p w:rsidR="00E925E1" w:rsidRDefault="00000000">
            <w:pPr>
              <w:keepNext/>
              <w:keepLines/>
              <w:spacing w:after="0" w:line="240" w:lineRule="auto"/>
            </w:pPr>
            <w:r>
              <w:rPr>
                <w:sz w:val="18"/>
              </w:rPr>
              <w:t>312</w:t>
            </w:r>
          </w:p>
        </w:tc>
        <w:tc>
          <w:tcPr>
            <w:tcW w:w="1860" w:type="dxa"/>
            <w:tcMar>
              <w:top w:w="0" w:type="dxa"/>
              <w:bottom w:w="0" w:type="dxa"/>
            </w:tcMar>
            <w:vAlign w:val="center"/>
          </w:tcPr>
          <w:p w:rsidR="00E925E1" w:rsidRDefault="00000000">
            <w:pPr>
              <w:keepNext/>
              <w:keepLines/>
              <w:spacing w:after="0" w:line="240" w:lineRule="auto"/>
              <w:jc w:val="right"/>
            </w:pPr>
            <w:r>
              <w:rPr>
                <w:sz w:val="18"/>
              </w:rPr>
              <w:t>43.470,03</w:t>
            </w:r>
          </w:p>
        </w:tc>
        <w:tc>
          <w:tcPr>
            <w:tcW w:w="1860" w:type="dxa"/>
            <w:tcMar>
              <w:top w:w="0" w:type="dxa"/>
              <w:bottom w:w="0" w:type="dxa"/>
            </w:tcMar>
            <w:vAlign w:val="center"/>
          </w:tcPr>
          <w:p w:rsidR="00E925E1" w:rsidRDefault="00000000">
            <w:pPr>
              <w:keepNext/>
              <w:keepLines/>
              <w:spacing w:after="0" w:line="240" w:lineRule="auto"/>
              <w:jc w:val="right"/>
            </w:pPr>
            <w:r>
              <w:rPr>
                <w:sz w:val="18"/>
              </w:rPr>
              <w:t>36.627,52</w:t>
            </w:r>
          </w:p>
        </w:tc>
        <w:tc>
          <w:tcPr>
            <w:tcW w:w="700" w:type="dxa"/>
            <w:tcMar>
              <w:top w:w="0" w:type="dxa"/>
              <w:bottom w:w="0" w:type="dxa"/>
            </w:tcMar>
            <w:vAlign w:val="center"/>
          </w:tcPr>
          <w:p w:rsidR="00E925E1" w:rsidRDefault="00000000">
            <w:pPr>
              <w:keepNext/>
              <w:keepLines/>
              <w:spacing w:after="0" w:line="240" w:lineRule="auto"/>
              <w:jc w:val="right"/>
            </w:pPr>
            <w:r>
              <w:rPr>
                <w:sz w:val="18"/>
              </w:rPr>
              <w:t>84,3</w:t>
            </w:r>
          </w:p>
        </w:tc>
      </w:tr>
    </w:tbl>
    <w:p w:rsidR="00E925E1" w:rsidRDefault="00E925E1">
      <w:pPr>
        <w:spacing w:after="0"/>
      </w:pPr>
    </w:p>
    <w:p w:rsidR="00E925E1" w:rsidRDefault="00000000">
      <w:r>
        <w:lastRenderedPageBreak/>
        <w:t>U usporednoj 2024. godini isplaćeno je veći broj jubilarnih nagrada kao i otpremnina radi odlaska službenika u mirovinu.</w:t>
      </w:r>
    </w:p>
    <w:p w:rsidR="00E925E1" w:rsidRDefault="00E925E1"/>
    <w:p w:rsidR="00E925E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313</w:t>
            </w:r>
          </w:p>
        </w:tc>
        <w:tc>
          <w:tcPr>
            <w:tcW w:w="3180" w:type="dxa"/>
            <w:tcMar>
              <w:top w:w="0" w:type="dxa"/>
              <w:bottom w:w="0" w:type="dxa"/>
            </w:tcMar>
            <w:vAlign w:val="center"/>
          </w:tcPr>
          <w:p w:rsidR="00E925E1"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rsidR="00E925E1" w:rsidRDefault="00000000">
            <w:pPr>
              <w:keepNext/>
              <w:keepLines/>
              <w:spacing w:after="0" w:line="240" w:lineRule="auto"/>
            </w:pPr>
            <w:r>
              <w:rPr>
                <w:sz w:val="18"/>
              </w:rPr>
              <w:t>313</w:t>
            </w:r>
          </w:p>
        </w:tc>
        <w:tc>
          <w:tcPr>
            <w:tcW w:w="1860" w:type="dxa"/>
            <w:tcMar>
              <w:top w:w="0" w:type="dxa"/>
              <w:bottom w:w="0" w:type="dxa"/>
            </w:tcMar>
            <w:vAlign w:val="center"/>
          </w:tcPr>
          <w:p w:rsidR="00E925E1" w:rsidRDefault="00000000">
            <w:pPr>
              <w:keepNext/>
              <w:keepLines/>
              <w:spacing w:after="0" w:line="240" w:lineRule="auto"/>
              <w:jc w:val="right"/>
            </w:pPr>
            <w:r>
              <w:rPr>
                <w:sz w:val="18"/>
              </w:rPr>
              <w:t>74.400,43</w:t>
            </w:r>
          </w:p>
        </w:tc>
        <w:tc>
          <w:tcPr>
            <w:tcW w:w="1860" w:type="dxa"/>
            <w:tcMar>
              <w:top w:w="0" w:type="dxa"/>
              <w:bottom w:w="0" w:type="dxa"/>
            </w:tcMar>
            <w:vAlign w:val="center"/>
          </w:tcPr>
          <w:p w:rsidR="00E925E1" w:rsidRDefault="00000000">
            <w:pPr>
              <w:keepNext/>
              <w:keepLines/>
              <w:spacing w:after="0" w:line="240" w:lineRule="auto"/>
              <w:jc w:val="right"/>
            </w:pPr>
            <w:r>
              <w:rPr>
                <w:sz w:val="18"/>
              </w:rPr>
              <w:t>85.597,41</w:t>
            </w:r>
          </w:p>
        </w:tc>
        <w:tc>
          <w:tcPr>
            <w:tcW w:w="700" w:type="dxa"/>
            <w:tcMar>
              <w:top w:w="0" w:type="dxa"/>
              <w:bottom w:w="0" w:type="dxa"/>
            </w:tcMar>
            <w:vAlign w:val="center"/>
          </w:tcPr>
          <w:p w:rsidR="00E925E1" w:rsidRDefault="00000000">
            <w:pPr>
              <w:keepNext/>
              <w:keepLines/>
              <w:spacing w:after="0" w:line="240" w:lineRule="auto"/>
              <w:jc w:val="right"/>
            </w:pPr>
            <w:r>
              <w:rPr>
                <w:sz w:val="18"/>
              </w:rPr>
              <w:t>115,0</w:t>
            </w:r>
          </w:p>
        </w:tc>
      </w:tr>
    </w:tbl>
    <w:p w:rsidR="00E925E1" w:rsidRDefault="00E925E1">
      <w:pPr>
        <w:spacing w:after="0"/>
      </w:pPr>
    </w:p>
    <w:p w:rsidR="00E925E1" w:rsidRDefault="00000000">
      <w:r>
        <w:t>Povećanje doprinosa na plaće prati povećanje osnovice za obračun plaća. </w:t>
      </w:r>
    </w:p>
    <w:p w:rsidR="00E925E1" w:rsidRDefault="00E925E1"/>
    <w:p w:rsidR="00E925E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321</w:t>
            </w:r>
          </w:p>
        </w:tc>
        <w:tc>
          <w:tcPr>
            <w:tcW w:w="3180" w:type="dxa"/>
            <w:tcMar>
              <w:top w:w="0" w:type="dxa"/>
              <w:bottom w:w="0" w:type="dxa"/>
            </w:tcMar>
            <w:vAlign w:val="center"/>
          </w:tcPr>
          <w:p w:rsidR="00E925E1"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rsidR="00E925E1" w:rsidRDefault="00000000">
            <w:pPr>
              <w:keepNext/>
              <w:keepLines/>
              <w:spacing w:after="0" w:line="240" w:lineRule="auto"/>
            </w:pPr>
            <w:r>
              <w:rPr>
                <w:sz w:val="18"/>
              </w:rPr>
              <w:t>321</w:t>
            </w:r>
          </w:p>
        </w:tc>
        <w:tc>
          <w:tcPr>
            <w:tcW w:w="1860" w:type="dxa"/>
            <w:tcMar>
              <w:top w:w="0" w:type="dxa"/>
              <w:bottom w:w="0" w:type="dxa"/>
            </w:tcMar>
            <w:vAlign w:val="center"/>
          </w:tcPr>
          <w:p w:rsidR="00E925E1" w:rsidRDefault="00000000">
            <w:pPr>
              <w:keepNext/>
              <w:keepLines/>
              <w:spacing w:after="0" w:line="240" w:lineRule="auto"/>
              <w:jc w:val="right"/>
            </w:pPr>
            <w:r>
              <w:rPr>
                <w:sz w:val="18"/>
              </w:rPr>
              <w:t>23.125,28</w:t>
            </w:r>
          </w:p>
        </w:tc>
        <w:tc>
          <w:tcPr>
            <w:tcW w:w="1860" w:type="dxa"/>
            <w:tcMar>
              <w:top w:w="0" w:type="dxa"/>
              <w:bottom w:w="0" w:type="dxa"/>
            </w:tcMar>
            <w:vAlign w:val="center"/>
          </w:tcPr>
          <w:p w:rsidR="00E925E1" w:rsidRDefault="00000000">
            <w:pPr>
              <w:keepNext/>
              <w:keepLines/>
              <w:spacing w:after="0" w:line="240" w:lineRule="auto"/>
              <w:jc w:val="right"/>
            </w:pPr>
            <w:r>
              <w:rPr>
                <w:sz w:val="18"/>
              </w:rPr>
              <w:t>30.955,03</w:t>
            </w:r>
          </w:p>
        </w:tc>
        <w:tc>
          <w:tcPr>
            <w:tcW w:w="700" w:type="dxa"/>
            <w:tcMar>
              <w:top w:w="0" w:type="dxa"/>
              <w:bottom w:w="0" w:type="dxa"/>
            </w:tcMar>
            <w:vAlign w:val="center"/>
          </w:tcPr>
          <w:p w:rsidR="00E925E1" w:rsidRDefault="00000000">
            <w:pPr>
              <w:keepNext/>
              <w:keepLines/>
              <w:spacing w:after="0" w:line="240" w:lineRule="auto"/>
              <w:jc w:val="right"/>
            </w:pPr>
            <w:r>
              <w:rPr>
                <w:sz w:val="18"/>
              </w:rPr>
              <w:t>133,9</w:t>
            </w:r>
          </w:p>
        </w:tc>
      </w:tr>
    </w:tbl>
    <w:p w:rsidR="00E925E1" w:rsidRDefault="00E925E1">
      <w:pPr>
        <w:spacing w:after="0"/>
      </w:pPr>
    </w:p>
    <w:p w:rsidR="00E925E1" w:rsidRDefault="00000000">
      <w:r>
        <w:t>Rashodi za službena putovanja povećani su radi većeg broja putovanja i troškova smještaja zaposlenika za vrijeme pripreme za polaganje stručnog ispita. </w:t>
      </w:r>
    </w:p>
    <w:p w:rsidR="00E925E1" w:rsidRDefault="00000000">
      <w:r>
        <w:t>Iznosi naknada za prijevoz na posao i s posla realizirani su u većem iznosu radi porasta cijena prijevoza.</w:t>
      </w:r>
    </w:p>
    <w:p w:rsidR="00E925E1" w:rsidRDefault="00000000">
      <w:r>
        <w:t>Rashodi za stručno usavršavanje zaposlenika povećani su radi ugovorenog ciklusa predavanja u svrhu poboljšanja komunikacijski vještina. </w:t>
      </w:r>
    </w:p>
    <w:p w:rsidR="00E925E1" w:rsidRDefault="00E925E1"/>
    <w:p w:rsidR="00E925E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322</w:t>
            </w:r>
          </w:p>
        </w:tc>
        <w:tc>
          <w:tcPr>
            <w:tcW w:w="3180" w:type="dxa"/>
            <w:tcMar>
              <w:top w:w="0" w:type="dxa"/>
              <w:bottom w:w="0" w:type="dxa"/>
            </w:tcMar>
            <w:vAlign w:val="center"/>
          </w:tcPr>
          <w:p w:rsidR="00E925E1"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E925E1" w:rsidRDefault="00000000">
            <w:pPr>
              <w:keepNext/>
              <w:keepLines/>
              <w:spacing w:after="0" w:line="240" w:lineRule="auto"/>
            </w:pPr>
            <w:r>
              <w:rPr>
                <w:sz w:val="18"/>
              </w:rPr>
              <w:t>322</w:t>
            </w:r>
          </w:p>
        </w:tc>
        <w:tc>
          <w:tcPr>
            <w:tcW w:w="1860" w:type="dxa"/>
            <w:tcMar>
              <w:top w:w="0" w:type="dxa"/>
              <w:bottom w:w="0" w:type="dxa"/>
            </w:tcMar>
            <w:vAlign w:val="center"/>
          </w:tcPr>
          <w:p w:rsidR="00E925E1" w:rsidRDefault="00000000">
            <w:pPr>
              <w:keepNext/>
              <w:keepLines/>
              <w:spacing w:after="0" w:line="240" w:lineRule="auto"/>
              <w:jc w:val="right"/>
            </w:pPr>
            <w:r>
              <w:rPr>
                <w:sz w:val="18"/>
              </w:rPr>
              <w:t>107.444,77</w:t>
            </w:r>
          </w:p>
        </w:tc>
        <w:tc>
          <w:tcPr>
            <w:tcW w:w="1860" w:type="dxa"/>
            <w:tcMar>
              <w:top w:w="0" w:type="dxa"/>
              <w:bottom w:w="0" w:type="dxa"/>
            </w:tcMar>
            <w:vAlign w:val="center"/>
          </w:tcPr>
          <w:p w:rsidR="00E925E1" w:rsidRDefault="00000000">
            <w:pPr>
              <w:keepNext/>
              <w:keepLines/>
              <w:spacing w:after="0" w:line="240" w:lineRule="auto"/>
              <w:jc w:val="right"/>
            </w:pPr>
            <w:r>
              <w:rPr>
                <w:sz w:val="18"/>
              </w:rPr>
              <w:t>118.541,12</w:t>
            </w:r>
          </w:p>
        </w:tc>
        <w:tc>
          <w:tcPr>
            <w:tcW w:w="700" w:type="dxa"/>
            <w:tcMar>
              <w:top w:w="0" w:type="dxa"/>
              <w:bottom w:w="0" w:type="dxa"/>
            </w:tcMar>
            <w:vAlign w:val="center"/>
          </w:tcPr>
          <w:p w:rsidR="00E925E1" w:rsidRDefault="00000000">
            <w:pPr>
              <w:keepNext/>
              <w:keepLines/>
              <w:spacing w:after="0" w:line="240" w:lineRule="auto"/>
              <w:jc w:val="right"/>
            </w:pPr>
            <w:r>
              <w:rPr>
                <w:sz w:val="18"/>
              </w:rPr>
              <w:t>110,3</w:t>
            </w:r>
          </w:p>
        </w:tc>
      </w:tr>
    </w:tbl>
    <w:p w:rsidR="00E925E1" w:rsidRDefault="00E925E1">
      <w:pPr>
        <w:spacing w:after="0"/>
      </w:pPr>
    </w:p>
    <w:p w:rsidR="00E925E1" w:rsidRDefault="00000000">
      <w:r>
        <w:t>Rashodi za uredski materijal i ostale materijalne rashode povećani su radi nabave dodatnog uredskog materijal potrebnog za provođenje lokalnih izbora te povećanih rashoda za stručnu literaturu odnosno novougovorenog paketa on line korištenja stručne pravne literature.</w:t>
      </w:r>
    </w:p>
    <w:p w:rsidR="00E925E1" w:rsidRDefault="00000000">
      <w:r>
        <w:t>Rashodi za električnu energiju ostvareni su u gotovo jednakim iznosima.  </w:t>
      </w:r>
    </w:p>
    <w:p w:rsidR="00E925E1" w:rsidRDefault="00000000">
      <w:r>
        <w:t>Rashodi za sitni inventar i autogume u 2025. godini realizirani su u većem iznosu radi nabavljene urbane opreme, mobilnih uređaja, tableta za vijećnike te sitnog inventara za mjesne odbore.</w:t>
      </w:r>
    </w:p>
    <w:p w:rsidR="00E925E1" w:rsidRDefault="00000000">
      <w:r>
        <w:lastRenderedPageBreak/>
        <w:t>Povećani su i rashodi za službenu odjeću i obuću radi opremanja novozaposlenih redara. </w:t>
      </w:r>
    </w:p>
    <w:p w:rsidR="00E925E1" w:rsidRDefault="00E925E1"/>
    <w:p w:rsidR="00E925E1"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323</w:t>
            </w:r>
          </w:p>
        </w:tc>
        <w:tc>
          <w:tcPr>
            <w:tcW w:w="3180" w:type="dxa"/>
            <w:tcMar>
              <w:top w:w="0" w:type="dxa"/>
              <w:bottom w:w="0" w:type="dxa"/>
            </w:tcMar>
            <w:vAlign w:val="center"/>
          </w:tcPr>
          <w:p w:rsidR="00E925E1"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rsidR="00E925E1" w:rsidRDefault="00000000">
            <w:pPr>
              <w:keepNext/>
              <w:keepLines/>
              <w:spacing w:after="0" w:line="240" w:lineRule="auto"/>
            </w:pPr>
            <w:r>
              <w:rPr>
                <w:sz w:val="18"/>
              </w:rPr>
              <w:t>323</w:t>
            </w:r>
          </w:p>
        </w:tc>
        <w:tc>
          <w:tcPr>
            <w:tcW w:w="1860" w:type="dxa"/>
            <w:tcMar>
              <w:top w:w="0" w:type="dxa"/>
              <w:bottom w:w="0" w:type="dxa"/>
            </w:tcMar>
            <w:vAlign w:val="center"/>
          </w:tcPr>
          <w:p w:rsidR="00E925E1" w:rsidRDefault="00000000">
            <w:pPr>
              <w:keepNext/>
              <w:keepLines/>
              <w:spacing w:after="0" w:line="240" w:lineRule="auto"/>
              <w:jc w:val="right"/>
            </w:pPr>
            <w:r>
              <w:rPr>
                <w:sz w:val="18"/>
              </w:rPr>
              <w:t>2.382.665,76</w:t>
            </w:r>
          </w:p>
        </w:tc>
        <w:tc>
          <w:tcPr>
            <w:tcW w:w="1860" w:type="dxa"/>
            <w:tcMar>
              <w:top w:w="0" w:type="dxa"/>
              <w:bottom w:w="0" w:type="dxa"/>
            </w:tcMar>
            <w:vAlign w:val="center"/>
          </w:tcPr>
          <w:p w:rsidR="00E925E1" w:rsidRDefault="00000000">
            <w:pPr>
              <w:keepNext/>
              <w:keepLines/>
              <w:spacing w:after="0" w:line="240" w:lineRule="auto"/>
              <w:jc w:val="right"/>
            </w:pPr>
            <w:r>
              <w:rPr>
                <w:sz w:val="18"/>
              </w:rPr>
              <w:t>2.373.279,19</w:t>
            </w:r>
          </w:p>
        </w:tc>
        <w:tc>
          <w:tcPr>
            <w:tcW w:w="700" w:type="dxa"/>
            <w:tcMar>
              <w:top w:w="0" w:type="dxa"/>
              <w:bottom w:w="0" w:type="dxa"/>
            </w:tcMar>
            <w:vAlign w:val="center"/>
          </w:tcPr>
          <w:p w:rsidR="00E925E1" w:rsidRDefault="00000000">
            <w:pPr>
              <w:keepNext/>
              <w:keepLines/>
              <w:spacing w:after="0" w:line="240" w:lineRule="auto"/>
              <w:jc w:val="right"/>
            </w:pPr>
            <w:r>
              <w:rPr>
                <w:sz w:val="18"/>
              </w:rPr>
              <w:t>99,6</w:t>
            </w:r>
          </w:p>
        </w:tc>
      </w:tr>
    </w:tbl>
    <w:p w:rsidR="00E925E1" w:rsidRDefault="00E925E1">
      <w:pPr>
        <w:spacing w:after="0"/>
      </w:pPr>
    </w:p>
    <w:p w:rsidR="00E925E1" w:rsidRDefault="00000000">
      <w:r>
        <w:t>Vrijednosno su najviše povećani rashodi za intelektualne i osobne usluge, a povećanje se odnosi na izvršene usluge izmjere nekretnina u naseljima Kršete, Gamboci, Plovanija, Kaldanija i Momjan radi sređivanja baze obveznika komunalne naknade.</w:t>
      </w:r>
    </w:p>
    <w:p w:rsidR="00E925E1" w:rsidRDefault="00000000">
      <w:r>
        <w:t>Radi porasta cijena usluga povećani rashodi za  komunalne usluge (dekorativna rasvjeta, košnja cestovnih bankina, održavanje zelenih površina, dječjih igrališta i travnjaka nogometnih igrališta). </w:t>
      </w:r>
    </w:p>
    <w:p w:rsidR="00E925E1" w:rsidRDefault="00000000">
      <w:r>
        <w:t>Rashodi za zakupnine i najamnine povećani su u 2025. godini radi iznajmljenih šatora za održavanje većeg broja raznih manifestacija i proslava.</w:t>
      </w:r>
    </w:p>
    <w:p w:rsidR="00E925E1" w:rsidRDefault="00000000">
      <w:r>
        <w:t>Rashodi za zdravstvene i veterinarske usluge u 2025. godini realizirani su u manjem iznosu radi manjeg broja potrebnih intervencija za zbrinjavanje napuštenih životinja, uklanjanje uginulih životinja i deratizaciju. Osim toga, u prethodnoj godini obavljeni su sistematski pregledi zaposlenika.</w:t>
      </w:r>
    </w:p>
    <w:p w:rsidR="00E925E1" w:rsidRDefault="00000000">
      <w:r>
        <w:t> </w:t>
      </w:r>
    </w:p>
    <w:p w:rsidR="00E925E1" w:rsidRDefault="00E925E1"/>
    <w:p w:rsidR="00E925E1"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329</w:t>
            </w:r>
          </w:p>
        </w:tc>
        <w:tc>
          <w:tcPr>
            <w:tcW w:w="3180" w:type="dxa"/>
            <w:tcMar>
              <w:top w:w="0" w:type="dxa"/>
              <w:bottom w:w="0" w:type="dxa"/>
            </w:tcMar>
            <w:vAlign w:val="center"/>
          </w:tcPr>
          <w:p w:rsidR="00E925E1"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E925E1" w:rsidRDefault="00000000">
            <w:pPr>
              <w:keepNext/>
              <w:keepLines/>
              <w:spacing w:after="0" w:line="240" w:lineRule="auto"/>
            </w:pPr>
            <w:r>
              <w:rPr>
                <w:sz w:val="18"/>
              </w:rPr>
              <w:t>329</w:t>
            </w:r>
          </w:p>
        </w:tc>
        <w:tc>
          <w:tcPr>
            <w:tcW w:w="1860" w:type="dxa"/>
            <w:tcMar>
              <w:top w:w="0" w:type="dxa"/>
              <w:bottom w:w="0" w:type="dxa"/>
            </w:tcMar>
            <w:vAlign w:val="center"/>
          </w:tcPr>
          <w:p w:rsidR="00E925E1" w:rsidRDefault="00000000">
            <w:pPr>
              <w:keepNext/>
              <w:keepLines/>
              <w:spacing w:after="0" w:line="240" w:lineRule="auto"/>
              <w:jc w:val="right"/>
            </w:pPr>
            <w:r>
              <w:rPr>
                <w:sz w:val="18"/>
              </w:rPr>
              <w:t>122.775,58</w:t>
            </w:r>
          </w:p>
        </w:tc>
        <w:tc>
          <w:tcPr>
            <w:tcW w:w="1860" w:type="dxa"/>
            <w:tcMar>
              <w:top w:w="0" w:type="dxa"/>
              <w:bottom w:w="0" w:type="dxa"/>
            </w:tcMar>
            <w:vAlign w:val="center"/>
          </w:tcPr>
          <w:p w:rsidR="00E925E1" w:rsidRDefault="00000000">
            <w:pPr>
              <w:keepNext/>
              <w:keepLines/>
              <w:spacing w:after="0" w:line="240" w:lineRule="auto"/>
              <w:jc w:val="right"/>
            </w:pPr>
            <w:r>
              <w:rPr>
                <w:sz w:val="18"/>
              </w:rPr>
              <w:t>201.529,04</w:t>
            </w:r>
          </w:p>
        </w:tc>
        <w:tc>
          <w:tcPr>
            <w:tcW w:w="700" w:type="dxa"/>
            <w:tcMar>
              <w:top w:w="0" w:type="dxa"/>
              <w:bottom w:w="0" w:type="dxa"/>
            </w:tcMar>
            <w:vAlign w:val="center"/>
          </w:tcPr>
          <w:p w:rsidR="00E925E1" w:rsidRDefault="00000000">
            <w:pPr>
              <w:keepNext/>
              <w:keepLines/>
              <w:spacing w:after="0" w:line="240" w:lineRule="auto"/>
              <w:jc w:val="right"/>
            </w:pPr>
            <w:r>
              <w:rPr>
                <w:sz w:val="18"/>
              </w:rPr>
              <w:t>164,1</w:t>
            </w:r>
          </w:p>
        </w:tc>
      </w:tr>
    </w:tbl>
    <w:p w:rsidR="00E925E1" w:rsidRDefault="00E925E1">
      <w:pPr>
        <w:spacing w:after="0"/>
      </w:pPr>
    </w:p>
    <w:p w:rsidR="00E925E1" w:rsidRDefault="00000000">
      <w:r>
        <w:t>U 2025. godini povećan je iznos isplaćenih naknada za rad predstavničkih i izvršnih tijela, povjerenstava i slično radi isplaćenih naknada izborom povjerenstvu i biračkim odborima za rad na lokalnim izborima.</w:t>
      </w:r>
    </w:p>
    <w:p w:rsidR="00E925E1" w:rsidRDefault="00000000">
      <w:r>
        <w:t>Radi porasta cijena osiguranja povećani su rashodi za premije osiguranja.</w:t>
      </w:r>
    </w:p>
    <w:p w:rsidR="00E925E1" w:rsidRDefault="00000000">
      <w:r>
        <w:t>Rashodi za pristojbe i naknade u 2025. godini povećani su najviše radi naplaćenih naknada Porezne uprave za poslove evidentiranja i naplate prihoda od poreza na dohodak, poreza na potrošnju, poreza na kuće za odmor te poreza na nekretnine i to radi povećanih prihoda koji čine osnovicu za obračun naknada.</w:t>
      </w:r>
    </w:p>
    <w:p w:rsidR="00E925E1" w:rsidRDefault="00E925E1"/>
    <w:p w:rsidR="00E925E1"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342</w:t>
            </w:r>
          </w:p>
        </w:tc>
        <w:tc>
          <w:tcPr>
            <w:tcW w:w="3180" w:type="dxa"/>
            <w:tcMar>
              <w:top w:w="0" w:type="dxa"/>
              <w:bottom w:w="0" w:type="dxa"/>
            </w:tcMar>
            <w:vAlign w:val="center"/>
          </w:tcPr>
          <w:p w:rsidR="00E925E1"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E925E1" w:rsidRDefault="00000000">
            <w:pPr>
              <w:keepNext/>
              <w:keepLines/>
              <w:spacing w:after="0" w:line="240" w:lineRule="auto"/>
            </w:pPr>
            <w:r>
              <w:rPr>
                <w:sz w:val="18"/>
              </w:rPr>
              <w:t>342</w:t>
            </w:r>
          </w:p>
        </w:tc>
        <w:tc>
          <w:tcPr>
            <w:tcW w:w="1860" w:type="dxa"/>
            <w:tcMar>
              <w:top w:w="0" w:type="dxa"/>
              <w:bottom w:w="0" w:type="dxa"/>
            </w:tcMar>
            <w:vAlign w:val="center"/>
          </w:tcPr>
          <w:p w:rsidR="00E925E1" w:rsidRDefault="00000000">
            <w:pPr>
              <w:keepNext/>
              <w:keepLines/>
              <w:spacing w:after="0" w:line="240" w:lineRule="auto"/>
              <w:jc w:val="right"/>
            </w:pPr>
            <w:r>
              <w:rPr>
                <w:sz w:val="18"/>
              </w:rPr>
              <w:t>26.804,61</w:t>
            </w:r>
          </w:p>
        </w:tc>
        <w:tc>
          <w:tcPr>
            <w:tcW w:w="1860" w:type="dxa"/>
            <w:tcMar>
              <w:top w:w="0" w:type="dxa"/>
              <w:bottom w:w="0" w:type="dxa"/>
            </w:tcMar>
            <w:vAlign w:val="center"/>
          </w:tcPr>
          <w:p w:rsidR="00E925E1" w:rsidRDefault="00000000">
            <w:pPr>
              <w:keepNext/>
              <w:keepLines/>
              <w:spacing w:after="0" w:line="240" w:lineRule="auto"/>
              <w:jc w:val="right"/>
            </w:pPr>
            <w:r>
              <w:rPr>
                <w:sz w:val="18"/>
              </w:rPr>
              <w:t>23.242,85</w:t>
            </w:r>
          </w:p>
        </w:tc>
        <w:tc>
          <w:tcPr>
            <w:tcW w:w="700" w:type="dxa"/>
            <w:tcMar>
              <w:top w:w="0" w:type="dxa"/>
              <w:bottom w:w="0" w:type="dxa"/>
            </w:tcMar>
            <w:vAlign w:val="center"/>
          </w:tcPr>
          <w:p w:rsidR="00E925E1" w:rsidRDefault="00000000">
            <w:pPr>
              <w:keepNext/>
              <w:keepLines/>
              <w:spacing w:after="0" w:line="240" w:lineRule="auto"/>
              <w:jc w:val="right"/>
            </w:pPr>
            <w:r>
              <w:rPr>
                <w:sz w:val="18"/>
              </w:rPr>
              <w:t>86,7</w:t>
            </w:r>
          </w:p>
        </w:tc>
      </w:tr>
    </w:tbl>
    <w:p w:rsidR="00E925E1" w:rsidRDefault="00E925E1">
      <w:pPr>
        <w:spacing w:after="0"/>
      </w:pPr>
    </w:p>
    <w:p w:rsidR="00E925E1" w:rsidRDefault="00000000">
      <w:r>
        <w:t>Otplata anuiteta dugoročnih kredita obavlja se redovito prema ugovorenim otplatnim planovima, a do smanjenja iznosa kamata za kredite došlo je osim zbog smanjivanja glavnica, i radi smanjenja kamate na trezorske zapise Ministarstva financija uz koju je vezana promjenjiva stopa ugovorena za dva dugoročna kredita kod Istarske kreditne banke Umag d.d.  </w:t>
      </w:r>
    </w:p>
    <w:p w:rsidR="00E925E1" w:rsidRDefault="00E925E1"/>
    <w:p w:rsidR="00E925E1"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343</w:t>
            </w:r>
          </w:p>
        </w:tc>
        <w:tc>
          <w:tcPr>
            <w:tcW w:w="3180" w:type="dxa"/>
            <w:tcMar>
              <w:top w:w="0" w:type="dxa"/>
              <w:bottom w:w="0" w:type="dxa"/>
            </w:tcMar>
            <w:vAlign w:val="center"/>
          </w:tcPr>
          <w:p w:rsidR="00E925E1"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rsidR="00E925E1" w:rsidRDefault="00000000">
            <w:pPr>
              <w:keepNext/>
              <w:keepLines/>
              <w:spacing w:after="0" w:line="240" w:lineRule="auto"/>
            </w:pPr>
            <w:r>
              <w:rPr>
                <w:sz w:val="18"/>
              </w:rPr>
              <w:t>343</w:t>
            </w:r>
          </w:p>
        </w:tc>
        <w:tc>
          <w:tcPr>
            <w:tcW w:w="1860" w:type="dxa"/>
            <w:tcMar>
              <w:top w:w="0" w:type="dxa"/>
              <w:bottom w:w="0" w:type="dxa"/>
            </w:tcMar>
            <w:vAlign w:val="center"/>
          </w:tcPr>
          <w:p w:rsidR="00E925E1" w:rsidRDefault="00000000">
            <w:pPr>
              <w:keepNext/>
              <w:keepLines/>
              <w:spacing w:after="0" w:line="240" w:lineRule="auto"/>
              <w:jc w:val="right"/>
            </w:pPr>
            <w:r>
              <w:rPr>
                <w:sz w:val="18"/>
              </w:rPr>
              <w:t>11.438,10</w:t>
            </w:r>
          </w:p>
        </w:tc>
        <w:tc>
          <w:tcPr>
            <w:tcW w:w="1860" w:type="dxa"/>
            <w:tcMar>
              <w:top w:w="0" w:type="dxa"/>
              <w:bottom w:w="0" w:type="dxa"/>
            </w:tcMar>
            <w:vAlign w:val="center"/>
          </w:tcPr>
          <w:p w:rsidR="00E925E1" w:rsidRDefault="00000000">
            <w:pPr>
              <w:keepNext/>
              <w:keepLines/>
              <w:spacing w:after="0" w:line="240" w:lineRule="auto"/>
              <w:jc w:val="right"/>
            </w:pPr>
            <w:r>
              <w:rPr>
                <w:sz w:val="18"/>
              </w:rPr>
              <w:t>24.121,40</w:t>
            </w:r>
          </w:p>
        </w:tc>
        <w:tc>
          <w:tcPr>
            <w:tcW w:w="700" w:type="dxa"/>
            <w:tcMar>
              <w:top w:w="0" w:type="dxa"/>
              <w:bottom w:w="0" w:type="dxa"/>
            </w:tcMar>
            <w:vAlign w:val="center"/>
          </w:tcPr>
          <w:p w:rsidR="00E925E1" w:rsidRDefault="00000000">
            <w:pPr>
              <w:keepNext/>
              <w:keepLines/>
              <w:spacing w:after="0" w:line="240" w:lineRule="auto"/>
              <w:jc w:val="right"/>
            </w:pPr>
            <w:r>
              <w:rPr>
                <w:sz w:val="18"/>
              </w:rPr>
              <w:t>210,9</w:t>
            </w:r>
          </w:p>
        </w:tc>
      </w:tr>
    </w:tbl>
    <w:p w:rsidR="00E925E1" w:rsidRDefault="00E925E1">
      <w:pPr>
        <w:spacing w:after="0"/>
      </w:pPr>
    </w:p>
    <w:p w:rsidR="00E925E1" w:rsidRDefault="00000000">
      <w:r>
        <w:t>Ostali financijski rashodi povećani su radi ovrha po osnovi Rješenja o nasljeđivanju ošasne imovine (OVR-312/2-6).</w:t>
      </w:r>
    </w:p>
    <w:p w:rsidR="00E925E1" w:rsidRDefault="00E925E1"/>
    <w:p w:rsidR="00E925E1"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352</w:t>
            </w:r>
          </w:p>
        </w:tc>
        <w:tc>
          <w:tcPr>
            <w:tcW w:w="3180" w:type="dxa"/>
            <w:tcMar>
              <w:top w:w="0" w:type="dxa"/>
              <w:bottom w:w="0" w:type="dxa"/>
            </w:tcMar>
            <w:vAlign w:val="center"/>
          </w:tcPr>
          <w:p w:rsidR="00E925E1"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rsidR="00E925E1" w:rsidRDefault="00000000">
            <w:pPr>
              <w:keepNext/>
              <w:keepLines/>
              <w:spacing w:after="0" w:line="240" w:lineRule="auto"/>
            </w:pPr>
            <w:r>
              <w:rPr>
                <w:sz w:val="18"/>
              </w:rPr>
              <w:t>352</w:t>
            </w:r>
          </w:p>
        </w:tc>
        <w:tc>
          <w:tcPr>
            <w:tcW w:w="1860" w:type="dxa"/>
            <w:tcMar>
              <w:top w:w="0" w:type="dxa"/>
              <w:bottom w:w="0" w:type="dxa"/>
            </w:tcMar>
            <w:vAlign w:val="center"/>
          </w:tcPr>
          <w:p w:rsidR="00E925E1" w:rsidRDefault="00000000">
            <w:pPr>
              <w:keepNext/>
              <w:keepLines/>
              <w:spacing w:after="0" w:line="240" w:lineRule="auto"/>
              <w:jc w:val="right"/>
            </w:pPr>
            <w:r>
              <w:rPr>
                <w:sz w:val="18"/>
              </w:rPr>
              <w:t>41.944,74</w:t>
            </w:r>
          </w:p>
        </w:tc>
        <w:tc>
          <w:tcPr>
            <w:tcW w:w="1860" w:type="dxa"/>
            <w:tcMar>
              <w:top w:w="0" w:type="dxa"/>
              <w:bottom w:w="0" w:type="dxa"/>
            </w:tcMar>
            <w:vAlign w:val="center"/>
          </w:tcPr>
          <w:p w:rsidR="00E925E1" w:rsidRDefault="00000000">
            <w:pPr>
              <w:keepNext/>
              <w:keepLines/>
              <w:spacing w:after="0" w:line="240" w:lineRule="auto"/>
              <w:jc w:val="right"/>
            </w:pPr>
            <w:r>
              <w:rPr>
                <w:sz w:val="18"/>
              </w:rPr>
              <w:t>65.613,48</w:t>
            </w:r>
          </w:p>
        </w:tc>
        <w:tc>
          <w:tcPr>
            <w:tcW w:w="700" w:type="dxa"/>
            <w:tcMar>
              <w:top w:w="0" w:type="dxa"/>
              <w:bottom w:w="0" w:type="dxa"/>
            </w:tcMar>
            <w:vAlign w:val="center"/>
          </w:tcPr>
          <w:p w:rsidR="00E925E1" w:rsidRDefault="00000000">
            <w:pPr>
              <w:keepNext/>
              <w:keepLines/>
              <w:spacing w:after="0" w:line="240" w:lineRule="auto"/>
              <w:jc w:val="right"/>
            </w:pPr>
            <w:r>
              <w:rPr>
                <w:sz w:val="18"/>
              </w:rPr>
              <w:t>156,4</w:t>
            </w:r>
          </w:p>
        </w:tc>
      </w:tr>
    </w:tbl>
    <w:p w:rsidR="00E925E1" w:rsidRDefault="00E925E1">
      <w:pPr>
        <w:spacing w:after="0"/>
      </w:pPr>
    </w:p>
    <w:p w:rsidR="00E925E1" w:rsidRDefault="00000000">
      <w:r>
        <w:t>Uz nastavak subvencioniranja kamata poduzetnicima temeljem kreditne linije pokrenute koncem 2020. godine "Poduzetnik Istarska županija 2020" i nove kreditne linije "Poduzetnik Istarska županija 2025" u suradnji s Istarskom razvojnom agencijom, Istarskom županijom i poslovnim bankama raspisan je Javni poziv za dodjelu nepovratnih potpora gospodarstvenicima na području Grada. Dodijeljene potpore po Javnom pozivu rezultirale su povećanjem iznosa subvencija u tekućoj godini.</w:t>
      </w:r>
    </w:p>
    <w:p w:rsidR="00E925E1" w:rsidRDefault="00E925E1"/>
    <w:p w:rsidR="00E925E1"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363</w:t>
            </w:r>
          </w:p>
        </w:tc>
        <w:tc>
          <w:tcPr>
            <w:tcW w:w="3180" w:type="dxa"/>
            <w:tcMar>
              <w:top w:w="0" w:type="dxa"/>
              <w:bottom w:w="0" w:type="dxa"/>
            </w:tcMar>
            <w:vAlign w:val="center"/>
          </w:tcPr>
          <w:p w:rsidR="00E925E1"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rsidR="00E925E1" w:rsidRDefault="00000000">
            <w:pPr>
              <w:keepNext/>
              <w:keepLines/>
              <w:spacing w:after="0" w:line="240" w:lineRule="auto"/>
            </w:pPr>
            <w:r>
              <w:rPr>
                <w:sz w:val="18"/>
              </w:rPr>
              <w:t>363</w:t>
            </w:r>
          </w:p>
        </w:tc>
        <w:tc>
          <w:tcPr>
            <w:tcW w:w="1860" w:type="dxa"/>
            <w:tcMar>
              <w:top w:w="0" w:type="dxa"/>
              <w:bottom w:w="0" w:type="dxa"/>
            </w:tcMar>
            <w:vAlign w:val="center"/>
          </w:tcPr>
          <w:p w:rsidR="00E925E1" w:rsidRDefault="00000000">
            <w:pPr>
              <w:keepNext/>
              <w:keepLines/>
              <w:spacing w:after="0" w:line="240" w:lineRule="auto"/>
              <w:jc w:val="right"/>
            </w:pPr>
            <w:r>
              <w:rPr>
                <w:sz w:val="18"/>
              </w:rPr>
              <w:t>53.500,00</w:t>
            </w:r>
          </w:p>
        </w:tc>
        <w:tc>
          <w:tcPr>
            <w:tcW w:w="1860" w:type="dxa"/>
            <w:tcMar>
              <w:top w:w="0" w:type="dxa"/>
              <w:bottom w:w="0" w:type="dxa"/>
            </w:tcMar>
            <w:vAlign w:val="center"/>
          </w:tcPr>
          <w:p w:rsidR="00E925E1" w:rsidRDefault="00000000">
            <w:pPr>
              <w:keepNext/>
              <w:keepLines/>
              <w:spacing w:after="0" w:line="240" w:lineRule="auto"/>
              <w:jc w:val="right"/>
            </w:pPr>
            <w:r>
              <w:rPr>
                <w:sz w:val="18"/>
              </w:rPr>
              <w:t>55.000,00</w:t>
            </w:r>
          </w:p>
        </w:tc>
        <w:tc>
          <w:tcPr>
            <w:tcW w:w="700" w:type="dxa"/>
            <w:tcMar>
              <w:top w:w="0" w:type="dxa"/>
              <w:bottom w:w="0" w:type="dxa"/>
            </w:tcMar>
            <w:vAlign w:val="center"/>
          </w:tcPr>
          <w:p w:rsidR="00E925E1" w:rsidRDefault="00000000">
            <w:pPr>
              <w:keepNext/>
              <w:keepLines/>
              <w:spacing w:after="0" w:line="240" w:lineRule="auto"/>
              <w:jc w:val="right"/>
            </w:pPr>
            <w:r>
              <w:rPr>
                <w:sz w:val="18"/>
              </w:rPr>
              <w:t>102,8</w:t>
            </w:r>
          </w:p>
        </w:tc>
      </w:tr>
    </w:tbl>
    <w:p w:rsidR="00E925E1" w:rsidRDefault="00E925E1">
      <w:pPr>
        <w:spacing w:after="0"/>
      </w:pPr>
    </w:p>
    <w:p w:rsidR="00E925E1" w:rsidRDefault="00000000">
      <w:r>
        <w:t>U prethodnoj godini isplaćena je kapitalna pomoć ŽUC Istarske županije za izgradnju / asfaltiranje ceste Ponte Porton - Antonci – Livade u iznosu od 50.000,00, dok je u 2025. godini također ŽUC Istarske županije isplaćena tekuća pomoć u istom iznosu za održavanje ceste ŽC5007 dionica Marušići.</w:t>
      </w:r>
    </w:p>
    <w:p w:rsidR="00E925E1" w:rsidRDefault="00000000">
      <w:r>
        <w:t>Pored toga, doznačene su pomoći Istarskoj županiji temeljem Sporazuma o suradnji za promicanje dvojezičnosti i razvoju alata za ujednačavanje terminologije u prevođenju te za financiranje programa kreditiranja poljoprivrednika koje provodi Fond za razvoj poljoprivrede Istarske županije.</w:t>
      </w:r>
    </w:p>
    <w:p w:rsidR="00E925E1" w:rsidRDefault="00E925E1"/>
    <w:p w:rsidR="00E925E1"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366</w:t>
            </w:r>
          </w:p>
        </w:tc>
        <w:tc>
          <w:tcPr>
            <w:tcW w:w="3180" w:type="dxa"/>
            <w:tcMar>
              <w:top w:w="0" w:type="dxa"/>
              <w:bottom w:w="0" w:type="dxa"/>
            </w:tcMar>
            <w:vAlign w:val="center"/>
          </w:tcPr>
          <w:p w:rsidR="00E925E1"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rsidR="00E925E1" w:rsidRDefault="00000000">
            <w:pPr>
              <w:keepNext/>
              <w:keepLines/>
              <w:spacing w:after="0" w:line="240" w:lineRule="auto"/>
            </w:pPr>
            <w:r>
              <w:rPr>
                <w:sz w:val="18"/>
              </w:rPr>
              <w:t>366</w:t>
            </w:r>
          </w:p>
        </w:tc>
        <w:tc>
          <w:tcPr>
            <w:tcW w:w="1860" w:type="dxa"/>
            <w:tcMar>
              <w:top w:w="0" w:type="dxa"/>
              <w:bottom w:w="0" w:type="dxa"/>
            </w:tcMar>
            <w:vAlign w:val="center"/>
          </w:tcPr>
          <w:p w:rsidR="00E925E1" w:rsidRDefault="00000000">
            <w:pPr>
              <w:keepNext/>
              <w:keepLines/>
              <w:spacing w:after="0" w:line="240" w:lineRule="auto"/>
              <w:jc w:val="right"/>
            </w:pPr>
            <w:r>
              <w:rPr>
                <w:sz w:val="18"/>
              </w:rPr>
              <w:t>421.384,00</w:t>
            </w:r>
          </w:p>
        </w:tc>
        <w:tc>
          <w:tcPr>
            <w:tcW w:w="1860" w:type="dxa"/>
            <w:tcMar>
              <w:top w:w="0" w:type="dxa"/>
              <w:bottom w:w="0" w:type="dxa"/>
            </w:tcMar>
            <w:vAlign w:val="center"/>
          </w:tcPr>
          <w:p w:rsidR="00E925E1" w:rsidRDefault="00000000">
            <w:pPr>
              <w:keepNext/>
              <w:keepLines/>
              <w:spacing w:after="0" w:line="240" w:lineRule="auto"/>
              <w:jc w:val="right"/>
            </w:pPr>
            <w:r>
              <w:rPr>
                <w:sz w:val="18"/>
              </w:rPr>
              <w:t>538.640,77</w:t>
            </w:r>
          </w:p>
        </w:tc>
        <w:tc>
          <w:tcPr>
            <w:tcW w:w="700" w:type="dxa"/>
            <w:tcMar>
              <w:top w:w="0" w:type="dxa"/>
              <w:bottom w:w="0" w:type="dxa"/>
            </w:tcMar>
            <w:vAlign w:val="center"/>
          </w:tcPr>
          <w:p w:rsidR="00E925E1" w:rsidRDefault="00000000">
            <w:pPr>
              <w:keepNext/>
              <w:keepLines/>
              <w:spacing w:after="0" w:line="240" w:lineRule="auto"/>
              <w:jc w:val="right"/>
            </w:pPr>
            <w:r>
              <w:rPr>
                <w:sz w:val="18"/>
              </w:rPr>
              <w:t>127,8</w:t>
            </w:r>
          </w:p>
        </w:tc>
      </w:tr>
    </w:tbl>
    <w:p w:rsidR="00E925E1" w:rsidRDefault="00E925E1">
      <w:pPr>
        <w:spacing w:after="0"/>
      </w:pPr>
    </w:p>
    <w:p w:rsidR="00E925E1" w:rsidRDefault="00000000">
      <w:r>
        <w:t>Najveći dio iznosa, 379.589,78 eura odnosi se na sufinanciranje Javne vatrogasne postrojbe Umag. Radi povećanja plaća i materijalnih prava vatrogasaca, izdvajanja su u odnosu na prethodnu godinu veća za 25,1%. Iznos od 57.580,18 eura odnosi se na podmirivanje troškova produženog boravka djece u osnovnim školama. Osim toga, Grad je doznačio tekuće pomoći za sufinanciranje rada Dnevnog centra za rehabilitaciju Veruda, za sufinanciranje rada Hitne medicinske pomoći, za podmirivanja troškova smještaja liječnika hitne medicinske pomoći i nastavnika u osnovnoj školi, za sufinanciranje troškova plaće školskog pedagoga, za provedbu izvannastavnih aktivnosti škola na području Grada te za sufinanciranje nabave školskog pribora i božićnih paketića u osnovnim školama. Kao i ranijih godina, dodijeljena su sredstva pomoći  Institutu za poljoprivredu i turizam Poreč za sufinanciranje projekta web tržnice te Agronomskom fakultetu iz Zagreba za provedbu projekta održavanja autohtonih sorti maslina. Doznačena su sredstva pomoći za sufinanciranje redovne djelatnosti Doma za starije osobe u Novigradu i Doma za odrasle osobe Vila Maria u Puli. </w:t>
      </w:r>
    </w:p>
    <w:p w:rsidR="00E925E1" w:rsidRDefault="00000000">
      <w:r>
        <w:t>Kapitalne pomoći odnose se na pomoć doznačenu Domu za starije osobe u Novigradu za opremanje kuhinje, pomoć Talijanskoj osnovnoj školi također za potrebe zamjene opreme u školskoj kuhinji, a temeljem Ugovora o sufinanciranju kreditne obveze za adaptaciju i opremanje Odjela za dječju rehabilitaciju doznačena je pomoć Specijalnoj bolnici za ortopediju i rehabilitaciju „Martin Horvat“ Rovinj.</w:t>
      </w:r>
    </w:p>
    <w:p w:rsidR="00E925E1" w:rsidRDefault="00E925E1"/>
    <w:p w:rsidR="00E925E1"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367</w:t>
            </w:r>
          </w:p>
        </w:tc>
        <w:tc>
          <w:tcPr>
            <w:tcW w:w="3180" w:type="dxa"/>
            <w:tcMar>
              <w:top w:w="0" w:type="dxa"/>
              <w:bottom w:w="0" w:type="dxa"/>
            </w:tcMar>
            <w:vAlign w:val="center"/>
          </w:tcPr>
          <w:p w:rsidR="00E925E1"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rsidR="00E925E1" w:rsidRDefault="00000000">
            <w:pPr>
              <w:keepNext/>
              <w:keepLines/>
              <w:spacing w:after="0" w:line="240" w:lineRule="auto"/>
            </w:pPr>
            <w:r>
              <w:rPr>
                <w:sz w:val="18"/>
              </w:rPr>
              <w:t>367</w:t>
            </w:r>
          </w:p>
        </w:tc>
        <w:tc>
          <w:tcPr>
            <w:tcW w:w="1860" w:type="dxa"/>
            <w:tcMar>
              <w:top w:w="0" w:type="dxa"/>
              <w:bottom w:w="0" w:type="dxa"/>
            </w:tcMar>
            <w:vAlign w:val="center"/>
          </w:tcPr>
          <w:p w:rsidR="00E925E1" w:rsidRDefault="00000000">
            <w:pPr>
              <w:keepNext/>
              <w:keepLines/>
              <w:spacing w:after="0" w:line="240" w:lineRule="auto"/>
              <w:jc w:val="right"/>
            </w:pPr>
            <w:r>
              <w:rPr>
                <w:sz w:val="18"/>
              </w:rPr>
              <w:t>1.146.580,17</w:t>
            </w:r>
          </w:p>
        </w:tc>
        <w:tc>
          <w:tcPr>
            <w:tcW w:w="1860" w:type="dxa"/>
            <w:tcMar>
              <w:top w:w="0" w:type="dxa"/>
              <w:bottom w:w="0" w:type="dxa"/>
            </w:tcMar>
            <w:vAlign w:val="center"/>
          </w:tcPr>
          <w:p w:rsidR="00E925E1" w:rsidRDefault="00000000">
            <w:pPr>
              <w:keepNext/>
              <w:keepLines/>
              <w:spacing w:after="0" w:line="240" w:lineRule="auto"/>
              <w:jc w:val="right"/>
            </w:pPr>
            <w:r>
              <w:rPr>
                <w:sz w:val="18"/>
              </w:rPr>
              <w:t>1.413.663,22</w:t>
            </w:r>
          </w:p>
        </w:tc>
        <w:tc>
          <w:tcPr>
            <w:tcW w:w="700" w:type="dxa"/>
            <w:tcMar>
              <w:top w:w="0" w:type="dxa"/>
              <w:bottom w:w="0" w:type="dxa"/>
            </w:tcMar>
            <w:vAlign w:val="center"/>
          </w:tcPr>
          <w:p w:rsidR="00E925E1" w:rsidRDefault="00000000">
            <w:pPr>
              <w:keepNext/>
              <w:keepLines/>
              <w:spacing w:after="0" w:line="240" w:lineRule="auto"/>
              <w:jc w:val="right"/>
            </w:pPr>
            <w:r>
              <w:rPr>
                <w:sz w:val="18"/>
              </w:rPr>
              <w:t>123,3</w:t>
            </w:r>
          </w:p>
        </w:tc>
      </w:tr>
    </w:tbl>
    <w:p w:rsidR="00E925E1" w:rsidRDefault="00E925E1">
      <w:pPr>
        <w:spacing w:after="0"/>
      </w:pPr>
    </w:p>
    <w:p w:rsidR="00E925E1" w:rsidRDefault="00000000">
      <w:r>
        <w:t>Prijenosi proračunskim korisnicima iz nadležnog proračuna za financiranje redovne djelatnosti u 2025. godini realizirani su u ukupnom iznosu od 1.413.663,22 eura ili 23,3% više u odnosu na prethodnu godinu. </w:t>
      </w:r>
    </w:p>
    <w:p w:rsidR="00E925E1" w:rsidRDefault="00000000">
      <w:r>
        <w:t>                        Dječji vrtić Buje                            692.733,58 ili 23,0% više</w:t>
      </w:r>
    </w:p>
    <w:p w:rsidR="00E925E1" w:rsidRDefault="00000000">
      <w:r>
        <w:t>                        Talijanski dječji vrtić Mrvica         518.029,60 ili 30,0% više</w:t>
      </w:r>
    </w:p>
    <w:p w:rsidR="00E925E1" w:rsidRDefault="00000000">
      <w:r>
        <w:t>                        Pučko otvoreno učilište Buje       202.900,04 ili 9,7% više</w:t>
      </w:r>
    </w:p>
    <w:p w:rsidR="00E925E1" w:rsidRDefault="00000000">
      <w:r>
        <w:t>Povećanja se uglavnom odnose na rashode vezane za povećanje plaća i materijalnih prava zaposlenika. </w:t>
      </w:r>
    </w:p>
    <w:p w:rsidR="00E925E1" w:rsidRDefault="00E925E1"/>
    <w:p w:rsidR="00E925E1"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372</w:t>
            </w:r>
          </w:p>
        </w:tc>
        <w:tc>
          <w:tcPr>
            <w:tcW w:w="3180" w:type="dxa"/>
            <w:tcMar>
              <w:top w:w="0" w:type="dxa"/>
              <w:bottom w:w="0" w:type="dxa"/>
            </w:tcMar>
            <w:vAlign w:val="center"/>
          </w:tcPr>
          <w:p w:rsidR="00E925E1"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E925E1" w:rsidRDefault="00000000">
            <w:pPr>
              <w:keepNext/>
              <w:keepLines/>
              <w:spacing w:after="0" w:line="240" w:lineRule="auto"/>
            </w:pPr>
            <w:r>
              <w:rPr>
                <w:sz w:val="18"/>
              </w:rPr>
              <w:t>372</w:t>
            </w:r>
          </w:p>
        </w:tc>
        <w:tc>
          <w:tcPr>
            <w:tcW w:w="1860" w:type="dxa"/>
            <w:tcMar>
              <w:top w:w="0" w:type="dxa"/>
              <w:bottom w:w="0" w:type="dxa"/>
            </w:tcMar>
            <w:vAlign w:val="center"/>
          </w:tcPr>
          <w:p w:rsidR="00E925E1" w:rsidRDefault="00000000">
            <w:pPr>
              <w:keepNext/>
              <w:keepLines/>
              <w:spacing w:after="0" w:line="240" w:lineRule="auto"/>
              <w:jc w:val="right"/>
            </w:pPr>
            <w:r>
              <w:rPr>
                <w:sz w:val="18"/>
              </w:rPr>
              <w:t>94.220,94</w:t>
            </w:r>
          </w:p>
        </w:tc>
        <w:tc>
          <w:tcPr>
            <w:tcW w:w="1860" w:type="dxa"/>
            <w:tcMar>
              <w:top w:w="0" w:type="dxa"/>
              <w:bottom w:w="0" w:type="dxa"/>
            </w:tcMar>
            <w:vAlign w:val="center"/>
          </w:tcPr>
          <w:p w:rsidR="00E925E1" w:rsidRDefault="00000000">
            <w:pPr>
              <w:keepNext/>
              <w:keepLines/>
              <w:spacing w:after="0" w:line="240" w:lineRule="auto"/>
              <w:jc w:val="right"/>
            </w:pPr>
            <w:r>
              <w:rPr>
                <w:sz w:val="18"/>
              </w:rPr>
              <w:t>109.835,15</w:t>
            </w:r>
          </w:p>
        </w:tc>
        <w:tc>
          <w:tcPr>
            <w:tcW w:w="700" w:type="dxa"/>
            <w:tcMar>
              <w:top w:w="0" w:type="dxa"/>
              <w:bottom w:w="0" w:type="dxa"/>
            </w:tcMar>
            <w:vAlign w:val="center"/>
          </w:tcPr>
          <w:p w:rsidR="00E925E1" w:rsidRDefault="00000000">
            <w:pPr>
              <w:keepNext/>
              <w:keepLines/>
              <w:spacing w:after="0" w:line="240" w:lineRule="auto"/>
              <w:jc w:val="right"/>
            </w:pPr>
            <w:r>
              <w:rPr>
                <w:sz w:val="18"/>
              </w:rPr>
              <w:t>116,6</w:t>
            </w:r>
          </w:p>
        </w:tc>
      </w:tr>
    </w:tbl>
    <w:p w:rsidR="00E925E1" w:rsidRDefault="00E925E1">
      <w:pPr>
        <w:spacing w:after="0"/>
      </w:pPr>
    </w:p>
    <w:p w:rsidR="00E925E1" w:rsidRDefault="00000000">
      <w:r>
        <w:t>Na povećanje je najviše utjecalo povećanje iznosa učeničkih i studentskih stipendija. Osim toga, povećan je broj podnesenih zahtjeva za isplatu izvanrednih i jednokratnih pomoći. Obje godine umirovljenicima su isplaćene pomoći povodom božićno novogodišnjih blagdana.</w:t>
      </w:r>
    </w:p>
    <w:p w:rsidR="00E925E1" w:rsidRDefault="00E925E1"/>
    <w:p w:rsidR="00E925E1"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381</w:t>
            </w:r>
          </w:p>
        </w:tc>
        <w:tc>
          <w:tcPr>
            <w:tcW w:w="3180" w:type="dxa"/>
            <w:tcMar>
              <w:top w:w="0" w:type="dxa"/>
              <w:bottom w:w="0" w:type="dxa"/>
            </w:tcMar>
            <w:vAlign w:val="center"/>
          </w:tcPr>
          <w:p w:rsidR="00E925E1"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rsidR="00E925E1" w:rsidRDefault="00000000">
            <w:pPr>
              <w:keepNext/>
              <w:keepLines/>
              <w:spacing w:after="0" w:line="240" w:lineRule="auto"/>
            </w:pPr>
            <w:r>
              <w:rPr>
                <w:sz w:val="18"/>
              </w:rPr>
              <w:t>381</w:t>
            </w:r>
          </w:p>
        </w:tc>
        <w:tc>
          <w:tcPr>
            <w:tcW w:w="1860" w:type="dxa"/>
            <w:tcMar>
              <w:top w:w="0" w:type="dxa"/>
              <w:bottom w:w="0" w:type="dxa"/>
            </w:tcMar>
            <w:vAlign w:val="center"/>
          </w:tcPr>
          <w:p w:rsidR="00E925E1" w:rsidRDefault="00000000">
            <w:pPr>
              <w:keepNext/>
              <w:keepLines/>
              <w:spacing w:after="0" w:line="240" w:lineRule="auto"/>
              <w:jc w:val="right"/>
            </w:pPr>
            <w:r>
              <w:rPr>
                <w:sz w:val="18"/>
              </w:rPr>
              <w:t>534.833,82</w:t>
            </w:r>
          </w:p>
        </w:tc>
        <w:tc>
          <w:tcPr>
            <w:tcW w:w="1860" w:type="dxa"/>
            <w:tcMar>
              <w:top w:w="0" w:type="dxa"/>
              <w:bottom w:w="0" w:type="dxa"/>
            </w:tcMar>
            <w:vAlign w:val="center"/>
          </w:tcPr>
          <w:p w:rsidR="00E925E1" w:rsidRDefault="00000000">
            <w:pPr>
              <w:keepNext/>
              <w:keepLines/>
              <w:spacing w:after="0" w:line="240" w:lineRule="auto"/>
              <w:jc w:val="right"/>
            </w:pPr>
            <w:r>
              <w:rPr>
                <w:sz w:val="18"/>
              </w:rPr>
              <w:t>680.047,41</w:t>
            </w:r>
          </w:p>
        </w:tc>
        <w:tc>
          <w:tcPr>
            <w:tcW w:w="700" w:type="dxa"/>
            <w:tcMar>
              <w:top w:w="0" w:type="dxa"/>
              <w:bottom w:w="0" w:type="dxa"/>
            </w:tcMar>
            <w:vAlign w:val="center"/>
          </w:tcPr>
          <w:p w:rsidR="00E925E1" w:rsidRDefault="00000000">
            <w:pPr>
              <w:keepNext/>
              <w:keepLines/>
              <w:spacing w:after="0" w:line="240" w:lineRule="auto"/>
              <w:jc w:val="right"/>
            </w:pPr>
            <w:r>
              <w:rPr>
                <w:sz w:val="18"/>
              </w:rPr>
              <w:t>127,2</w:t>
            </w:r>
          </w:p>
        </w:tc>
      </w:tr>
    </w:tbl>
    <w:p w:rsidR="00E925E1" w:rsidRDefault="00E925E1">
      <w:pPr>
        <w:spacing w:after="0"/>
      </w:pPr>
    </w:p>
    <w:p w:rsidR="00E925E1" w:rsidRDefault="00000000">
      <w:r>
        <w:t>Na povećanje iznosa tekućih donacija je najviše utjecalo povećanje sredstva za financiranje Sportske zajednice Grada Buja i Područne vatrogasne zajednice Umag.</w:t>
      </w:r>
    </w:p>
    <w:p w:rsidR="00E925E1" w:rsidRDefault="00E925E1"/>
    <w:p w:rsidR="00E925E1"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382</w:t>
            </w:r>
          </w:p>
        </w:tc>
        <w:tc>
          <w:tcPr>
            <w:tcW w:w="3180" w:type="dxa"/>
            <w:tcMar>
              <w:top w:w="0" w:type="dxa"/>
              <w:bottom w:w="0" w:type="dxa"/>
            </w:tcMar>
            <w:vAlign w:val="center"/>
          </w:tcPr>
          <w:p w:rsidR="00E925E1"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rsidR="00E925E1" w:rsidRDefault="00000000">
            <w:pPr>
              <w:keepNext/>
              <w:keepLines/>
              <w:spacing w:after="0" w:line="240" w:lineRule="auto"/>
            </w:pPr>
            <w:r>
              <w:rPr>
                <w:sz w:val="18"/>
              </w:rPr>
              <w:t>382</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268,00</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Kapitalne donacije građanima i kućanstvima realizirane u 2025. godini, odnose se na pomoć koja je dodijeljena temeljem Javnog poziv za sufinanciranje Programa postavljanja urbane opreme na poslovne prostore na području starogradske jezgre Grada Buja – Buie.</w:t>
      </w:r>
    </w:p>
    <w:p w:rsidR="00E925E1" w:rsidRDefault="00E925E1"/>
    <w:p w:rsidR="00E925E1"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383</w:t>
            </w:r>
          </w:p>
        </w:tc>
        <w:tc>
          <w:tcPr>
            <w:tcW w:w="3180" w:type="dxa"/>
            <w:tcMar>
              <w:top w:w="0" w:type="dxa"/>
              <w:bottom w:w="0" w:type="dxa"/>
            </w:tcMar>
            <w:vAlign w:val="center"/>
          </w:tcPr>
          <w:p w:rsidR="00E925E1" w:rsidRDefault="00000000">
            <w:pPr>
              <w:keepNext/>
              <w:keepLines/>
              <w:spacing w:after="0" w:line="240" w:lineRule="auto"/>
            </w:pPr>
            <w:r>
              <w:rPr>
                <w:sz w:val="18"/>
              </w:rPr>
              <w:t>Kazne, penali i naknade štete (šifre 3831 do 3835)</w:t>
            </w:r>
          </w:p>
        </w:tc>
        <w:tc>
          <w:tcPr>
            <w:tcW w:w="700" w:type="dxa"/>
            <w:tcMar>
              <w:top w:w="0" w:type="dxa"/>
              <w:bottom w:w="0" w:type="dxa"/>
            </w:tcMar>
            <w:vAlign w:val="center"/>
          </w:tcPr>
          <w:p w:rsidR="00E925E1" w:rsidRDefault="00000000">
            <w:pPr>
              <w:keepNext/>
              <w:keepLines/>
              <w:spacing w:after="0" w:line="240" w:lineRule="auto"/>
            </w:pPr>
            <w:r>
              <w:rPr>
                <w:sz w:val="18"/>
              </w:rPr>
              <w:t>383</w:t>
            </w:r>
          </w:p>
        </w:tc>
        <w:tc>
          <w:tcPr>
            <w:tcW w:w="1860" w:type="dxa"/>
            <w:tcMar>
              <w:top w:w="0" w:type="dxa"/>
              <w:bottom w:w="0" w:type="dxa"/>
            </w:tcMar>
            <w:vAlign w:val="center"/>
          </w:tcPr>
          <w:p w:rsidR="00E925E1" w:rsidRDefault="00000000">
            <w:pPr>
              <w:keepNext/>
              <w:keepLines/>
              <w:spacing w:after="0" w:line="240" w:lineRule="auto"/>
              <w:jc w:val="right"/>
            </w:pPr>
            <w:r>
              <w:rPr>
                <w:sz w:val="18"/>
              </w:rPr>
              <w:t>26.305,05</w:t>
            </w:r>
          </w:p>
        </w:tc>
        <w:tc>
          <w:tcPr>
            <w:tcW w:w="1860" w:type="dxa"/>
            <w:tcMar>
              <w:top w:w="0" w:type="dxa"/>
              <w:bottom w:w="0" w:type="dxa"/>
            </w:tcMar>
            <w:vAlign w:val="center"/>
          </w:tcPr>
          <w:p w:rsidR="00E925E1" w:rsidRDefault="00000000">
            <w:pPr>
              <w:keepNext/>
              <w:keepLines/>
              <w:spacing w:after="0" w:line="240" w:lineRule="auto"/>
              <w:jc w:val="right"/>
            </w:pPr>
            <w:r>
              <w:rPr>
                <w:sz w:val="18"/>
              </w:rPr>
              <w:t>29.960,35</w:t>
            </w:r>
          </w:p>
        </w:tc>
        <w:tc>
          <w:tcPr>
            <w:tcW w:w="700" w:type="dxa"/>
            <w:tcMar>
              <w:top w:w="0" w:type="dxa"/>
              <w:bottom w:w="0" w:type="dxa"/>
            </w:tcMar>
            <w:vAlign w:val="center"/>
          </w:tcPr>
          <w:p w:rsidR="00E925E1" w:rsidRDefault="00000000">
            <w:pPr>
              <w:keepNext/>
              <w:keepLines/>
              <w:spacing w:after="0" w:line="240" w:lineRule="auto"/>
              <w:jc w:val="right"/>
            </w:pPr>
            <w:r>
              <w:rPr>
                <w:sz w:val="18"/>
              </w:rPr>
              <w:t>113,9</w:t>
            </w:r>
          </w:p>
        </w:tc>
      </w:tr>
    </w:tbl>
    <w:p w:rsidR="00E925E1" w:rsidRDefault="00E925E1">
      <w:pPr>
        <w:spacing w:after="0"/>
      </w:pPr>
    </w:p>
    <w:p w:rsidR="00E925E1" w:rsidRDefault="00000000">
      <w:r>
        <w:t>Iznos od 25.944,00 eura odnosi se na povrat sredstava temeljem Sporazuma o raskidu ugovora o kupoprodaji nekretnine, a razlika od 4.016,35 eura na isplatu sredstava primljenih iz Državnog proračuna za uklanjanje posljedica elementarnih nepogoda.</w:t>
      </w:r>
    </w:p>
    <w:p w:rsidR="00E925E1" w:rsidRDefault="00E925E1"/>
    <w:p w:rsidR="00E925E1"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711</w:t>
            </w:r>
          </w:p>
        </w:tc>
        <w:tc>
          <w:tcPr>
            <w:tcW w:w="3180" w:type="dxa"/>
            <w:tcMar>
              <w:top w:w="0" w:type="dxa"/>
              <w:bottom w:w="0" w:type="dxa"/>
            </w:tcMar>
            <w:vAlign w:val="center"/>
          </w:tcPr>
          <w:p w:rsidR="00E925E1"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rsidR="00E925E1" w:rsidRDefault="00000000">
            <w:pPr>
              <w:keepNext/>
              <w:keepLines/>
              <w:spacing w:after="0" w:line="240" w:lineRule="auto"/>
            </w:pPr>
            <w:r>
              <w:rPr>
                <w:sz w:val="18"/>
              </w:rPr>
              <w:t>711</w:t>
            </w:r>
          </w:p>
        </w:tc>
        <w:tc>
          <w:tcPr>
            <w:tcW w:w="1860" w:type="dxa"/>
            <w:tcMar>
              <w:top w:w="0" w:type="dxa"/>
              <w:bottom w:w="0" w:type="dxa"/>
            </w:tcMar>
            <w:vAlign w:val="center"/>
          </w:tcPr>
          <w:p w:rsidR="00E925E1" w:rsidRDefault="00000000">
            <w:pPr>
              <w:keepNext/>
              <w:keepLines/>
              <w:spacing w:after="0" w:line="240" w:lineRule="auto"/>
              <w:jc w:val="right"/>
            </w:pPr>
            <w:r>
              <w:rPr>
                <w:sz w:val="18"/>
              </w:rPr>
              <w:t>2.408.985,64</w:t>
            </w:r>
          </w:p>
        </w:tc>
        <w:tc>
          <w:tcPr>
            <w:tcW w:w="1860" w:type="dxa"/>
            <w:tcMar>
              <w:top w:w="0" w:type="dxa"/>
              <w:bottom w:w="0" w:type="dxa"/>
            </w:tcMar>
            <w:vAlign w:val="center"/>
          </w:tcPr>
          <w:p w:rsidR="00E925E1" w:rsidRDefault="00000000">
            <w:pPr>
              <w:keepNext/>
              <w:keepLines/>
              <w:spacing w:after="0" w:line="240" w:lineRule="auto"/>
              <w:jc w:val="right"/>
            </w:pPr>
            <w:r>
              <w:rPr>
                <w:sz w:val="18"/>
              </w:rPr>
              <w:t>216.162,65</w:t>
            </w:r>
          </w:p>
        </w:tc>
        <w:tc>
          <w:tcPr>
            <w:tcW w:w="700" w:type="dxa"/>
            <w:tcMar>
              <w:top w:w="0" w:type="dxa"/>
              <w:bottom w:w="0" w:type="dxa"/>
            </w:tcMar>
            <w:vAlign w:val="center"/>
          </w:tcPr>
          <w:p w:rsidR="00E925E1" w:rsidRDefault="00000000">
            <w:pPr>
              <w:keepNext/>
              <w:keepLines/>
              <w:spacing w:after="0" w:line="240" w:lineRule="auto"/>
              <w:jc w:val="right"/>
            </w:pPr>
            <w:r>
              <w:rPr>
                <w:sz w:val="18"/>
              </w:rPr>
              <w:t>9,0</w:t>
            </w:r>
          </w:p>
        </w:tc>
      </w:tr>
    </w:tbl>
    <w:p w:rsidR="00E925E1" w:rsidRDefault="00E925E1">
      <w:pPr>
        <w:spacing w:after="0"/>
      </w:pPr>
    </w:p>
    <w:p w:rsidR="00E925E1" w:rsidRDefault="00000000">
      <w:r>
        <w:t>Od ostvarenih prihoda 8.804,74 eura odnosi se na udio u zajedničkom prihodu od prodaje poljoprivrednog zemljišta u vlasništvu Republike Hrvatske, dok se 207.357,91 eura odnosi na prihod od prodaje građevinskog zemljišta. </w:t>
      </w:r>
    </w:p>
    <w:p w:rsidR="00E925E1" w:rsidRDefault="00000000">
      <w:r>
        <w:t>Prihod od prodaje poljoprivrednog zemljišta u vlasništvu Republike Hrvatske značajno je manji u odnosu na prethodnu godinu zbog okončanja razdoblja otplate većeg broja ugovora o prodaji. </w:t>
      </w:r>
    </w:p>
    <w:p w:rsidR="00E925E1" w:rsidRDefault="00000000">
      <w:r>
        <w:t>U tekućoj godini raspisan je manji broj javnih natječaja za prodaju nekretnina u vlasništvu Grada, a po raspisanim natječajima pristigle su ponude i sklopljeni ugovori samo za nekretnine manjih vrijednosti. U izvještajnom razdoblju prethodne godine realizirana je prodaja građevinskog zemljišta za izgradnju trgovačkog centra Plodine.</w:t>
      </w:r>
    </w:p>
    <w:p w:rsidR="00E925E1" w:rsidRDefault="00E925E1"/>
    <w:p w:rsidR="00E925E1"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721</w:t>
            </w:r>
          </w:p>
        </w:tc>
        <w:tc>
          <w:tcPr>
            <w:tcW w:w="3180" w:type="dxa"/>
            <w:tcMar>
              <w:top w:w="0" w:type="dxa"/>
              <w:bottom w:w="0" w:type="dxa"/>
            </w:tcMar>
            <w:vAlign w:val="center"/>
          </w:tcPr>
          <w:p w:rsidR="00E925E1" w:rsidRDefault="00000000">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rsidR="00E925E1" w:rsidRDefault="00000000">
            <w:pPr>
              <w:keepNext/>
              <w:keepLines/>
              <w:spacing w:after="0" w:line="240" w:lineRule="auto"/>
            </w:pPr>
            <w:r>
              <w:rPr>
                <w:sz w:val="18"/>
              </w:rPr>
              <w:t>721</w:t>
            </w:r>
          </w:p>
        </w:tc>
        <w:tc>
          <w:tcPr>
            <w:tcW w:w="1860" w:type="dxa"/>
            <w:tcMar>
              <w:top w:w="0" w:type="dxa"/>
              <w:bottom w:w="0" w:type="dxa"/>
            </w:tcMar>
            <w:vAlign w:val="center"/>
          </w:tcPr>
          <w:p w:rsidR="00E925E1" w:rsidRDefault="00000000">
            <w:pPr>
              <w:keepNext/>
              <w:keepLines/>
              <w:spacing w:after="0" w:line="240" w:lineRule="auto"/>
              <w:jc w:val="right"/>
            </w:pPr>
            <w:r>
              <w:rPr>
                <w:sz w:val="18"/>
              </w:rPr>
              <w:t>102.296,91</w:t>
            </w:r>
          </w:p>
        </w:tc>
        <w:tc>
          <w:tcPr>
            <w:tcW w:w="1860" w:type="dxa"/>
            <w:tcMar>
              <w:top w:w="0" w:type="dxa"/>
              <w:bottom w:w="0" w:type="dxa"/>
            </w:tcMar>
            <w:vAlign w:val="center"/>
          </w:tcPr>
          <w:p w:rsidR="00E925E1" w:rsidRDefault="00000000">
            <w:pPr>
              <w:keepNext/>
              <w:keepLines/>
              <w:spacing w:after="0" w:line="240" w:lineRule="auto"/>
              <w:jc w:val="right"/>
            </w:pPr>
            <w:r>
              <w:rPr>
                <w:sz w:val="18"/>
              </w:rPr>
              <w:t>75.812,86</w:t>
            </w:r>
          </w:p>
        </w:tc>
        <w:tc>
          <w:tcPr>
            <w:tcW w:w="700" w:type="dxa"/>
            <w:tcMar>
              <w:top w:w="0" w:type="dxa"/>
              <w:bottom w:w="0" w:type="dxa"/>
            </w:tcMar>
            <w:vAlign w:val="center"/>
          </w:tcPr>
          <w:p w:rsidR="00E925E1" w:rsidRDefault="00000000">
            <w:pPr>
              <w:keepNext/>
              <w:keepLines/>
              <w:spacing w:after="0" w:line="240" w:lineRule="auto"/>
              <w:jc w:val="right"/>
            </w:pPr>
            <w:r>
              <w:rPr>
                <w:sz w:val="18"/>
              </w:rPr>
              <w:t>74,1</w:t>
            </w:r>
          </w:p>
        </w:tc>
      </w:tr>
    </w:tbl>
    <w:p w:rsidR="00E925E1" w:rsidRDefault="00E925E1">
      <w:pPr>
        <w:spacing w:after="0"/>
      </w:pPr>
    </w:p>
    <w:p w:rsidR="00E925E1" w:rsidRDefault="00000000">
      <w:r>
        <w:t>Prihodi od prodaje stanova sa stanarskim pravom ostvareni su u iznosu od 2.060,67 eura ili 60,9% manje i to radi okončanja razdoblja otplate stanova prema sklopljenim ugovorima. Prihod od prodaje ostalih zgrada u vlasništvu Grada Buja – Buie ostvaren je u iznosu od 73.752,19 eura ili 24,0% manje u odnosu na prethodnu godinu.</w:t>
      </w:r>
    </w:p>
    <w:p w:rsidR="00E925E1" w:rsidRDefault="00E925E1"/>
    <w:p w:rsidR="00E925E1"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411</w:t>
            </w:r>
          </w:p>
        </w:tc>
        <w:tc>
          <w:tcPr>
            <w:tcW w:w="3180" w:type="dxa"/>
            <w:tcMar>
              <w:top w:w="0" w:type="dxa"/>
              <w:bottom w:w="0" w:type="dxa"/>
            </w:tcMar>
            <w:vAlign w:val="center"/>
          </w:tcPr>
          <w:p w:rsidR="00E925E1" w:rsidRDefault="00000000">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rsidR="00E925E1" w:rsidRDefault="00000000">
            <w:pPr>
              <w:keepNext/>
              <w:keepLines/>
              <w:spacing w:after="0" w:line="240" w:lineRule="auto"/>
            </w:pPr>
            <w:r>
              <w:rPr>
                <w:sz w:val="18"/>
              </w:rPr>
              <w:t>411</w:t>
            </w:r>
          </w:p>
        </w:tc>
        <w:tc>
          <w:tcPr>
            <w:tcW w:w="1860" w:type="dxa"/>
            <w:tcMar>
              <w:top w:w="0" w:type="dxa"/>
              <w:bottom w:w="0" w:type="dxa"/>
            </w:tcMar>
            <w:vAlign w:val="center"/>
          </w:tcPr>
          <w:p w:rsidR="00E925E1" w:rsidRDefault="00000000">
            <w:pPr>
              <w:keepNext/>
              <w:keepLines/>
              <w:spacing w:after="0" w:line="240" w:lineRule="auto"/>
              <w:jc w:val="right"/>
            </w:pPr>
            <w:r>
              <w:rPr>
                <w:sz w:val="18"/>
              </w:rPr>
              <w:t>268.839,00</w:t>
            </w:r>
          </w:p>
        </w:tc>
        <w:tc>
          <w:tcPr>
            <w:tcW w:w="1860" w:type="dxa"/>
            <w:tcMar>
              <w:top w:w="0" w:type="dxa"/>
              <w:bottom w:w="0" w:type="dxa"/>
            </w:tcMar>
            <w:vAlign w:val="center"/>
          </w:tcPr>
          <w:p w:rsidR="00E925E1" w:rsidRDefault="00000000">
            <w:pPr>
              <w:keepNext/>
              <w:keepLines/>
              <w:spacing w:after="0" w:line="240" w:lineRule="auto"/>
              <w:jc w:val="right"/>
            </w:pPr>
            <w:r>
              <w:rPr>
                <w:sz w:val="18"/>
              </w:rPr>
              <w:t>19.402,00</w:t>
            </w:r>
          </w:p>
        </w:tc>
        <w:tc>
          <w:tcPr>
            <w:tcW w:w="700" w:type="dxa"/>
            <w:tcMar>
              <w:top w:w="0" w:type="dxa"/>
              <w:bottom w:w="0" w:type="dxa"/>
            </w:tcMar>
            <w:vAlign w:val="center"/>
          </w:tcPr>
          <w:p w:rsidR="00E925E1" w:rsidRDefault="00000000">
            <w:pPr>
              <w:keepNext/>
              <w:keepLines/>
              <w:spacing w:after="0" w:line="240" w:lineRule="auto"/>
              <w:jc w:val="right"/>
            </w:pPr>
            <w:r>
              <w:rPr>
                <w:sz w:val="18"/>
              </w:rPr>
              <w:t>7,2</w:t>
            </w:r>
          </w:p>
        </w:tc>
      </w:tr>
    </w:tbl>
    <w:p w:rsidR="00E925E1" w:rsidRDefault="00E925E1">
      <w:pPr>
        <w:spacing w:after="0"/>
      </w:pPr>
    </w:p>
    <w:p w:rsidR="00E925E1" w:rsidRDefault="00000000">
      <w:r>
        <w:t>Materijalna imovina (zemljište) – ostvareni su rashodi u iznosu od 19.402,00 eura, a odnose se Ugovor o zamjeni nekretnina u k.o. Kaštel. U izvještajnom razdoblju prethodne godine ostvareni su znatno veći rashodi za otkup i zamjenu zemljišta radi rješavanja vlasničkih odnosa u sportsko rekreativnoj zoni Buje i za potrebe uređenja parkirališta u centru Grada.</w:t>
      </w:r>
    </w:p>
    <w:p w:rsidR="00E925E1" w:rsidRDefault="00E925E1"/>
    <w:p w:rsidR="00E925E1"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421</w:t>
            </w:r>
          </w:p>
        </w:tc>
        <w:tc>
          <w:tcPr>
            <w:tcW w:w="3180" w:type="dxa"/>
            <w:tcMar>
              <w:top w:w="0" w:type="dxa"/>
              <w:bottom w:w="0" w:type="dxa"/>
            </w:tcMar>
            <w:vAlign w:val="center"/>
          </w:tcPr>
          <w:p w:rsidR="00E925E1"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rsidR="00E925E1" w:rsidRDefault="00000000">
            <w:pPr>
              <w:keepNext/>
              <w:keepLines/>
              <w:spacing w:after="0" w:line="240" w:lineRule="auto"/>
            </w:pPr>
            <w:r>
              <w:rPr>
                <w:sz w:val="18"/>
              </w:rPr>
              <w:t>421</w:t>
            </w:r>
          </w:p>
        </w:tc>
        <w:tc>
          <w:tcPr>
            <w:tcW w:w="1860" w:type="dxa"/>
            <w:tcMar>
              <w:top w:w="0" w:type="dxa"/>
              <w:bottom w:w="0" w:type="dxa"/>
            </w:tcMar>
            <w:vAlign w:val="center"/>
          </w:tcPr>
          <w:p w:rsidR="00E925E1" w:rsidRDefault="00000000">
            <w:pPr>
              <w:keepNext/>
              <w:keepLines/>
              <w:spacing w:after="0" w:line="240" w:lineRule="auto"/>
              <w:jc w:val="right"/>
            </w:pPr>
            <w:r>
              <w:rPr>
                <w:sz w:val="18"/>
              </w:rPr>
              <w:t>788.460,92</w:t>
            </w:r>
          </w:p>
        </w:tc>
        <w:tc>
          <w:tcPr>
            <w:tcW w:w="1860" w:type="dxa"/>
            <w:tcMar>
              <w:top w:w="0" w:type="dxa"/>
              <w:bottom w:w="0" w:type="dxa"/>
            </w:tcMar>
            <w:vAlign w:val="center"/>
          </w:tcPr>
          <w:p w:rsidR="00E925E1" w:rsidRDefault="00000000">
            <w:pPr>
              <w:keepNext/>
              <w:keepLines/>
              <w:spacing w:after="0" w:line="240" w:lineRule="auto"/>
              <w:jc w:val="right"/>
            </w:pPr>
            <w:r>
              <w:rPr>
                <w:sz w:val="18"/>
              </w:rPr>
              <w:t>707.018,52</w:t>
            </w:r>
          </w:p>
        </w:tc>
        <w:tc>
          <w:tcPr>
            <w:tcW w:w="700" w:type="dxa"/>
            <w:tcMar>
              <w:top w:w="0" w:type="dxa"/>
              <w:bottom w:w="0" w:type="dxa"/>
            </w:tcMar>
            <w:vAlign w:val="center"/>
          </w:tcPr>
          <w:p w:rsidR="00E925E1" w:rsidRDefault="00000000">
            <w:pPr>
              <w:keepNext/>
              <w:keepLines/>
              <w:spacing w:after="0" w:line="240" w:lineRule="auto"/>
              <w:jc w:val="right"/>
            </w:pPr>
            <w:r>
              <w:rPr>
                <w:sz w:val="18"/>
              </w:rPr>
              <w:t>89,7</w:t>
            </w:r>
          </w:p>
        </w:tc>
      </w:tr>
    </w:tbl>
    <w:p w:rsidR="00E925E1" w:rsidRDefault="00E925E1">
      <w:pPr>
        <w:spacing w:after="0"/>
      </w:pPr>
    </w:p>
    <w:p w:rsidR="00E925E1" w:rsidRDefault="00000000">
      <w:r>
        <w:t>Iznos od 213.150,82 eura odnosi na nastavak radova na rekonstrukciji i sanaciji kaštela Rota. Iznos od 192.461,46 eura uložen je u rekonstrukciju dijela nerazvrstane ceste D300 – Kukov Vrh, iznos od 137.585,32 uložen je u uređenje parkirališta iza starog groblja, iznos od 83.982,34 eura uložen je u rekonstrukciju ulice G. Garibaldi i Trga Slobode. Za rekonstrukciju potpornog zida uz prometnicu u Istarskoj ulici uloženo je 57.838,58 eura, a u projektnu dokumentaciju za rekonstrukciju cesta 22.000,00 eura. </w:t>
      </w:r>
    </w:p>
    <w:p w:rsidR="00E925E1" w:rsidRDefault="00E925E1"/>
    <w:p w:rsidR="00E925E1"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4212</w:t>
            </w:r>
          </w:p>
        </w:tc>
        <w:tc>
          <w:tcPr>
            <w:tcW w:w="3180" w:type="dxa"/>
            <w:tcMar>
              <w:top w:w="0" w:type="dxa"/>
              <w:bottom w:w="0" w:type="dxa"/>
            </w:tcMar>
            <w:vAlign w:val="center"/>
          </w:tcPr>
          <w:p w:rsidR="00E925E1" w:rsidRDefault="00000000">
            <w:pPr>
              <w:keepNext/>
              <w:keepLines/>
              <w:spacing w:after="0" w:line="240" w:lineRule="auto"/>
            </w:pPr>
            <w:r>
              <w:rPr>
                <w:sz w:val="18"/>
              </w:rPr>
              <w:t>Poslovni objekti</w:t>
            </w:r>
          </w:p>
        </w:tc>
        <w:tc>
          <w:tcPr>
            <w:tcW w:w="700" w:type="dxa"/>
            <w:tcMar>
              <w:top w:w="0" w:type="dxa"/>
              <w:bottom w:w="0" w:type="dxa"/>
            </w:tcMar>
            <w:vAlign w:val="center"/>
          </w:tcPr>
          <w:p w:rsidR="00E925E1" w:rsidRDefault="00000000">
            <w:pPr>
              <w:keepNext/>
              <w:keepLines/>
              <w:spacing w:after="0" w:line="240" w:lineRule="auto"/>
            </w:pPr>
            <w:r>
              <w:rPr>
                <w:sz w:val="18"/>
              </w:rPr>
              <w:t>4212</w:t>
            </w:r>
          </w:p>
        </w:tc>
        <w:tc>
          <w:tcPr>
            <w:tcW w:w="1860" w:type="dxa"/>
            <w:tcMar>
              <w:top w:w="0" w:type="dxa"/>
              <w:bottom w:w="0" w:type="dxa"/>
            </w:tcMar>
            <w:vAlign w:val="center"/>
          </w:tcPr>
          <w:p w:rsidR="00E925E1" w:rsidRDefault="00000000">
            <w:pPr>
              <w:keepNext/>
              <w:keepLines/>
              <w:spacing w:after="0" w:line="240" w:lineRule="auto"/>
              <w:jc w:val="right"/>
            </w:pPr>
            <w:r>
              <w:rPr>
                <w:sz w:val="18"/>
              </w:rPr>
              <w:t>160.000,00</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700" w:type="dxa"/>
            <w:tcMar>
              <w:top w:w="0" w:type="dxa"/>
              <w:bottom w:w="0" w:type="dxa"/>
            </w:tcMar>
            <w:vAlign w:val="center"/>
          </w:tcPr>
          <w:p w:rsidR="00E925E1" w:rsidRDefault="00000000">
            <w:pPr>
              <w:keepNext/>
              <w:keepLines/>
              <w:spacing w:after="0" w:line="240" w:lineRule="auto"/>
              <w:jc w:val="right"/>
            </w:pPr>
            <w:r>
              <w:rPr>
                <w:sz w:val="18"/>
              </w:rPr>
              <w:t>0</w:t>
            </w:r>
          </w:p>
        </w:tc>
      </w:tr>
    </w:tbl>
    <w:p w:rsidR="00E925E1" w:rsidRDefault="00E925E1">
      <w:pPr>
        <w:spacing w:after="0"/>
      </w:pPr>
    </w:p>
    <w:p w:rsidR="00E925E1" w:rsidRDefault="00000000">
      <w:r>
        <w:t>U izvještajnom razdoblju 2024. godine iznos od 160.000,00 eura uložen je za otkup poslovne zgrade u naselju Stanica za potrebe uređenja adekvatnog prostora za smještaj Gradskog društva Crvenog križa.</w:t>
      </w:r>
    </w:p>
    <w:p w:rsidR="00E925E1" w:rsidRDefault="00E925E1"/>
    <w:p w:rsidR="00E925E1"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422</w:t>
            </w:r>
          </w:p>
        </w:tc>
        <w:tc>
          <w:tcPr>
            <w:tcW w:w="3180" w:type="dxa"/>
            <w:tcMar>
              <w:top w:w="0" w:type="dxa"/>
              <w:bottom w:w="0" w:type="dxa"/>
            </w:tcMar>
            <w:vAlign w:val="center"/>
          </w:tcPr>
          <w:p w:rsidR="00E925E1"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rsidR="00E925E1" w:rsidRDefault="00000000">
            <w:pPr>
              <w:keepNext/>
              <w:keepLines/>
              <w:spacing w:after="0" w:line="240" w:lineRule="auto"/>
            </w:pPr>
            <w:r>
              <w:rPr>
                <w:sz w:val="18"/>
              </w:rPr>
              <w:t>422</w:t>
            </w:r>
          </w:p>
        </w:tc>
        <w:tc>
          <w:tcPr>
            <w:tcW w:w="1860" w:type="dxa"/>
            <w:tcMar>
              <w:top w:w="0" w:type="dxa"/>
              <w:bottom w:w="0" w:type="dxa"/>
            </w:tcMar>
            <w:vAlign w:val="center"/>
          </w:tcPr>
          <w:p w:rsidR="00E925E1" w:rsidRDefault="00000000">
            <w:pPr>
              <w:keepNext/>
              <w:keepLines/>
              <w:spacing w:after="0" w:line="240" w:lineRule="auto"/>
              <w:jc w:val="right"/>
            </w:pPr>
            <w:r>
              <w:rPr>
                <w:sz w:val="18"/>
              </w:rPr>
              <w:t>44.524,29</w:t>
            </w:r>
          </w:p>
        </w:tc>
        <w:tc>
          <w:tcPr>
            <w:tcW w:w="1860" w:type="dxa"/>
            <w:tcMar>
              <w:top w:w="0" w:type="dxa"/>
              <w:bottom w:w="0" w:type="dxa"/>
            </w:tcMar>
            <w:vAlign w:val="center"/>
          </w:tcPr>
          <w:p w:rsidR="00E925E1" w:rsidRDefault="00000000">
            <w:pPr>
              <w:keepNext/>
              <w:keepLines/>
              <w:spacing w:after="0" w:line="240" w:lineRule="auto"/>
              <w:jc w:val="right"/>
            </w:pPr>
            <w:r>
              <w:rPr>
                <w:sz w:val="18"/>
              </w:rPr>
              <w:t>44.765,18</w:t>
            </w:r>
          </w:p>
        </w:tc>
        <w:tc>
          <w:tcPr>
            <w:tcW w:w="700" w:type="dxa"/>
            <w:tcMar>
              <w:top w:w="0" w:type="dxa"/>
              <w:bottom w:w="0" w:type="dxa"/>
            </w:tcMar>
            <w:vAlign w:val="center"/>
          </w:tcPr>
          <w:p w:rsidR="00E925E1" w:rsidRDefault="00000000">
            <w:pPr>
              <w:keepNext/>
              <w:keepLines/>
              <w:spacing w:after="0" w:line="240" w:lineRule="auto"/>
              <w:jc w:val="right"/>
            </w:pPr>
            <w:r>
              <w:rPr>
                <w:sz w:val="18"/>
              </w:rPr>
              <w:t>100,5</w:t>
            </w:r>
          </w:p>
        </w:tc>
      </w:tr>
    </w:tbl>
    <w:p w:rsidR="00E925E1" w:rsidRDefault="00E925E1">
      <w:pPr>
        <w:spacing w:after="0"/>
      </w:pPr>
    </w:p>
    <w:p w:rsidR="00E925E1" w:rsidRDefault="00000000">
      <w:r>
        <w:t>Rashodi se najvećim dijelom ili u iznosu od 31.770,00 eura odnose na nabavu opreme za dječja igrališta i to za igralište u Klesarskoj ulici i u naselju Momjan. Iznos od 3.538,00 eura odnosi se na opremu za smirivanje prometa koja je postavljena u naselju Kršete, iznos od 4.864,12 eura uložen je u uredski namještaj, 2.528,26 eura uloženo je u računala i računalnu opremu, a razlika od 2.064,80 eura se odnosi na opremu koju su za svoje potrebe nabavili Mjesni odbor Triban i Vijeće srpske nacionalne manjine</w:t>
      </w:r>
    </w:p>
    <w:p w:rsidR="00E925E1" w:rsidRDefault="00E925E1"/>
    <w:p w:rsidR="00E925E1"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426</w:t>
            </w:r>
          </w:p>
        </w:tc>
        <w:tc>
          <w:tcPr>
            <w:tcW w:w="3180" w:type="dxa"/>
            <w:tcMar>
              <w:top w:w="0" w:type="dxa"/>
              <w:bottom w:w="0" w:type="dxa"/>
            </w:tcMar>
            <w:vAlign w:val="center"/>
          </w:tcPr>
          <w:p w:rsidR="00E925E1"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E925E1" w:rsidRDefault="00000000">
            <w:pPr>
              <w:keepNext/>
              <w:keepLines/>
              <w:spacing w:after="0" w:line="240" w:lineRule="auto"/>
            </w:pPr>
            <w:r>
              <w:rPr>
                <w:sz w:val="18"/>
              </w:rPr>
              <w:t>426</w:t>
            </w:r>
          </w:p>
        </w:tc>
        <w:tc>
          <w:tcPr>
            <w:tcW w:w="1860" w:type="dxa"/>
            <w:tcMar>
              <w:top w:w="0" w:type="dxa"/>
              <w:bottom w:w="0" w:type="dxa"/>
            </w:tcMar>
            <w:vAlign w:val="center"/>
          </w:tcPr>
          <w:p w:rsidR="00E925E1" w:rsidRDefault="00000000">
            <w:pPr>
              <w:keepNext/>
              <w:keepLines/>
              <w:spacing w:after="0" w:line="240" w:lineRule="auto"/>
              <w:jc w:val="right"/>
            </w:pPr>
            <w:r>
              <w:rPr>
                <w:sz w:val="18"/>
              </w:rPr>
              <w:t>18.553,55</w:t>
            </w:r>
          </w:p>
        </w:tc>
        <w:tc>
          <w:tcPr>
            <w:tcW w:w="1860" w:type="dxa"/>
            <w:tcMar>
              <w:top w:w="0" w:type="dxa"/>
              <w:bottom w:w="0" w:type="dxa"/>
            </w:tcMar>
            <w:vAlign w:val="center"/>
          </w:tcPr>
          <w:p w:rsidR="00E925E1" w:rsidRDefault="00000000">
            <w:pPr>
              <w:keepNext/>
              <w:keepLines/>
              <w:spacing w:after="0" w:line="240" w:lineRule="auto"/>
              <w:jc w:val="right"/>
            </w:pPr>
            <w:r>
              <w:rPr>
                <w:sz w:val="18"/>
              </w:rPr>
              <w:t>13.914,59</w:t>
            </w:r>
          </w:p>
        </w:tc>
        <w:tc>
          <w:tcPr>
            <w:tcW w:w="700" w:type="dxa"/>
            <w:tcMar>
              <w:top w:w="0" w:type="dxa"/>
              <w:bottom w:w="0" w:type="dxa"/>
            </w:tcMar>
            <w:vAlign w:val="center"/>
          </w:tcPr>
          <w:p w:rsidR="00E925E1" w:rsidRDefault="00000000">
            <w:pPr>
              <w:keepNext/>
              <w:keepLines/>
              <w:spacing w:after="0" w:line="240" w:lineRule="auto"/>
              <w:jc w:val="right"/>
            </w:pPr>
            <w:r>
              <w:rPr>
                <w:sz w:val="18"/>
              </w:rPr>
              <w:t>75,0</w:t>
            </w:r>
          </w:p>
        </w:tc>
      </w:tr>
    </w:tbl>
    <w:p w:rsidR="00E925E1" w:rsidRDefault="00E925E1">
      <w:pPr>
        <w:spacing w:after="0"/>
      </w:pPr>
    </w:p>
    <w:p w:rsidR="00E925E1" w:rsidRDefault="00000000">
      <w:r>
        <w:t>Rashodi se odnose  na izradu prostorno planske dokumentacije UPU Triban 1 (568,21 eura), UPU Vižinada 1 (472,83 eura), UPU Vižinada 2 (378,25 eura), UPU Kaldanija K2 (4.645,30 eura) i UPU Stanica 1 (7.000,00 eura). Razlika od 850,00 eura odnosi se na ulaganje u računalne programe odnosno modul za eksport podataka Poreznoj upravi za potrebe izdavanja rješenja o porezu na nekretnine.  </w:t>
      </w:r>
    </w:p>
    <w:p w:rsidR="00E925E1" w:rsidRDefault="00E925E1"/>
    <w:p w:rsidR="00E925E1"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451</w:t>
            </w:r>
          </w:p>
        </w:tc>
        <w:tc>
          <w:tcPr>
            <w:tcW w:w="3180" w:type="dxa"/>
            <w:tcMar>
              <w:top w:w="0" w:type="dxa"/>
              <w:bottom w:w="0" w:type="dxa"/>
            </w:tcMar>
            <w:vAlign w:val="center"/>
          </w:tcPr>
          <w:p w:rsidR="00E925E1"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rsidR="00E925E1" w:rsidRDefault="00000000">
            <w:pPr>
              <w:keepNext/>
              <w:keepLines/>
              <w:spacing w:after="0" w:line="240" w:lineRule="auto"/>
            </w:pPr>
            <w:r>
              <w:rPr>
                <w:sz w:val="18"/>
              </w:rPr>
              <w:t>451</w:t>
            </w:r>
          </w:p>
        </w:tc>
        <w:tc>
          <w:tcPr>
            <w:tcW w:w="1860" w:type="dxa"/>
            <w:tcMar>
              <w:top w:w="0" w:type="dxa"/>
              <w:bottom w:w="0" w:type="dxa"/>
            </w:tcMar>
            <w:vAlign w:val="center"/>
          </w:tcPr>
          <w:p w:rsidR="00E925E1" w:rsidRDefault="00000000">
            <w:pPr>
              <w:keepNext/>
              <w:keepLines/>
              <w:spacing w:after="0" w:line="240" w:lineRule="auto"/>
              <w:jc w:val="right"/>
            </w:pPr>
            <w:r>
              <w:rPr>
                <w:sz w:val="18"/>
              </w:rPr>
              <w:t>992.187,69</w:t>
            </w:r>
          </w:p>
        </w:tc>
        <w:tc>
          <w:tcPr>
            <w:tcW w:w="1860" w:type="dxa"/>
            <w:tcMar>
              <w:top w:w="0" w:type="dxa"/>
              <w:bottom w:w="0" w:type="dxa"/>
            </w:tcMar>
            <w:vAlign w:val="center"/>
          </w:tcPr>
          <w:p w:rsidR="00E925E1" w:rsidRDefault="00000000">
            <w:pPr>
              <w:keepNext/>
              <w:keepLines/>
              <w:spacing w:after="0" w:line="240" w:lineRule="auto"/>
              <w:jc w:val="right"/>
            </w:pPr>
            <w:r>
              <w:rPr>
                <w:sz w:val="18"/>
              </w:rPr>
              <w:t>485.138,03</w:t>
            </w:r>
          </w:p>
        </w:tc>
        <w:tc>
          <w:tcPr>
            <w:tcW w:w="700" w:type="dxa"/>
            <w:tcMar>
              <w:top w:w="0" w:type="dxa"/>
              <w:bottom w:w="0" w:type="dxa"/>
            </w:tcMar>
            <w:vAlign w:val="center"/>
          </w:tcPr>
          <w:p w:rsidR="00E925E1" w:rsidRDefault="00000000">
            <w:pPr>
              <w:keepNext/>
              <w:keepLines/>
              <w:spacing w:after="0" w:line="240" w:lineRule="auto"/>
              <w:jc w:val="right"/>
            </w:pPr>
            <w:r>
              <w:rPr>
                <w:sz w:val="18"/>
              </w:rPr>
              <w:t>48,9</w:t>
            </w:r>
          </w:p>
        </w:tc>
      </w:tr>
    </w:tbl>
    <w:p w:rsidR="00E925E1" w:rsidRDefault="00E925E1">
      <w:pPr>
        <w:spacing w:after="0"/>
      </w:pPr>
    </w:p>
    <w:p w:rsidR="00E925E1" w:rsidRDefault="00000000">
      <w:r>
        <w:t>U radove na zgradama društvenih domova (Kršete, Malotija, Triban) uloženo je ukupno 122.286,92 eura. U realizaciju projekta postavljanja umjetne trave na igralištu NK Buje uložen je iznos od 145.313,54 eura. Za uređenje stambenog prostora u zgradi stare škole u Kršetama uloženo je 70.106,28 eura. U radove na objektima NK Marušići uloženo je 30.279,55 eura, a na zgradi starog vatrogasnog doma 24.615,68 eura. Izvršena je ugradnja LED reflektora na igralištu Teniskog kluba Buje u vrijednosti od 18.081,25 eura. Izvršeni su dodatni radovi na zgradi starog vinarskog podruma u vrijednosti od 21.735,56 eura, na zgradi dječjeg vrtića u vrijednosti od 4.600,00 eura te na zgradi u kojoj je smješten Centar za inkluziju i podršku zajednici u vrijednosti od 3.023,75 eura. U plansku dokumentaciju za proširenje groblja u Bujama uloženo je 12.250,00 eura, a priznato je ulaganje u stambeni prostor u vrijednosti od 12.018,00 eura. U dogradnju javne rasvjete uloženo je ukupno 20.827,50 eura. Od toga, u dogradnju javne rasvjete na parkiralištu uz staro groblje 11.553,75 eura, javnu rasvjetu uz šetnicu u naselju Rudine 8.523,75 eura, a iznos od 750,00 eura odnosi se na projektnu dokumentaciju za dogradnju javne rasvjete. </w:t>
      </w:r>
    </w:p>
    <w:p w:rsidR="00E925E1" w:rsidRDefault="00000000">
      <w:r>
        <w:t> </w:t>
      </w:r>
    </w:p>
    <w:p w:rsidR="00E925E1" w:rsidRDefault="00E925E1"/>
    <w:p w:rsidR="00E925E1"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5321</w:t>
            </w:r>
          </w:p>
        </w:tc>
        <w:tc>
          <w:tcPr>
            <w:tcW w:w="3180" w:type="dxa"/>
            <w:tcMar>
              <w:top w:w="0" w:type="dxa"/>
              <w:bottom w:w="0" w:type="dxa"/>
            </w:tcMar>
            <w:vAlign w:val="center"/>
          </w:tcPr>
          <w:p w:rsidR="00E925E1"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rsidR="00E925E1" w:rsidRDefault="00000000">
            <w:pPr>
              <w:keepNext/>
              <w:keepLines/>
              <w:spacing w:after="0" w:line="240" w:lineRule="auto"/>
            </w:pPr>
            <w:r>
              <w:rPr>
                <w:sz w:val="18"/>
              </w:rPr>
              <w:t>5321</w:t>
            </w:r>
          </w:p>
        </w:tc>
        <w:tc>
          <w:tcPr>
            <w:tcW w:w="1860" w:type="dxa"/>
            <w:tcMar>
              <w:top w:w="0" w:type="dxa"/>
              <w:bottom w:w="0" w:type="dxa"/>
            </w:tcMar>
            <w:vAlign w:val="center"/>
          </w:tcPr>
          <w:p w:rsidR="00E925E1" w:rsidRDefault="00000000">
            <w:pPr>
              <w:keepNext/>
              <w:keepLines/>
              <w:spacing w:after="0" w:line="240" w:lineRule="auto"/>
              <w:jc w:val="right"/>
            </w:pPr>
            <w:r>
              <w:rPr>
                <w:sz w:val="18"/>
              </w:rPr>
              <w:t>11.618,00</w:t>
            </w:r>
          </w:p>
        </w:tc>
        <w:tc>
          <w:tcPr>
            <w:tcW w:w="1860" w:type="dxa"/>
            <w:tcMar>
              <w:top w:w="0" w:type="dxa"/>
              <w:bottom w:w="0" w:type="dxa"/>
            </w:tcMar>
            <w:vAlign w:val="center"/>
          </w:tcPr>
          <w:p w:rsidR="00E925E1" w:rsidRDefault="00000000">
            <w:pPr>
              <w:keepNext/>
              <w:keepLines/>
              <w:spacing w:after="0" w:line="240" w:lineRule="auto"/>
              <w:jc w:val="right"/>
            </w:pPr>
            <w:r>
              <w:rPr>
                <w:sz w:val="18"/>
              </w:rPr>
              <w:t>11.618,00</w:t>
            </w:r>
          </w:p>
        </w:tc>
        <w:tc>
          <w:tcPr>
            <w:tcW w:w="700" w:type="dxa"/>
            <w:tcMar>
              <w:top w:w="0" w:type="dxa"/>
              <w:bottom w:w="0" w:type="dxa"/>
            </w:tcMar>
            <w:vAlign w:val="center"/>
          </w:tcPr>
          <w:p w:rsidR="00E925E1" w:rsidRDefault="00000000">
            <w:pPr>
              <w:keepNext/>
              <w:keepLines/>
              <w:spacing w:after="0" w:line="240" w:lineRule="auto"/>
              <w:jc w:val="right"/>
            </w:pPr>
            <w:r>
              <w:rPr>
                <w:sz w:val="18"/>
              </w:rPr>
              <w:t>100</w:t>
            </w:r>
          </w:p>
        </w:tc>
      </w:tr>
    </w:tbl>
    <w:p w:rsidR="00E925E1" w:rsidRDefault="00E925E1">
      <w:pPr>
        <w:spacing w:after="0"/>
      </w:pPr>
    </w:p>
    <w:p w:rsidR="00E925E1" w:rsidRDefault="00000000">
      <w:r>
        <w:t>Iznos se odnosi se na otplatu temeljem Ugovora o načinu i uvjetima povrata sredstava u proračun Istarske županije za izgradnju ŽCGO Kaštijun kojim je definirano da će uplaćena sredstva predstavljati vlasnički udio u trgovačkom društvu Kaštijun d.o.o. </w:t>
      </w:r>
    </w:p>
    <w:p w:rsidR="00E925E1" w:rsidRDefault="00E925E1"/>
    <w:p w:rsidR="00E925E1"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54</w:t>
            </w:r>
          </w:p>
        </w:tc>
        <w:tc>
          <w:tcPr>
            <w:tcW w:w="3180" w:type="dxa"/>
            <w:tcMar>
              <w:top w:w="0" w:type="dxa"/>
              <w:bottom w:w="0" w:type="dxa"/>
            </w:tcMar>
            <w:vAlign w:val="center"/>
          </w:tcPr>
          <w:p w:rsidR="00E925E1"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E925E1" w:rsidRDefault="00000000">
            <w:pPr>
              <w:keepNext/>
              <w:keepLines/>
              <w:spacing w:after="0" w:line="240" w:lineRule="auto"/>
            </w:pPr>
            <w:r>
              <w:rPr>
                <w:sz w:val="18"/>
              </w:rPr>
              <w:t>54</w:t>
            </w:r>
          </w:p>
        </w:tc>
        <w:tc>
          <w:tcPr>
            <w:tcW w:w="1860" w:type="dxa"/>
            <w:tcMar>
              <w:top w:w="0" w:type="dxa"/>
              <w:bottom w:w="0" w:type="dxa"/>
            </w:tcMar>
            <w:vAlign w:val="center"/>
          </w:tcPr>
          <w:p w:rsidR="00E925E1" w:rsidRDefault="00000000">
            <w:pPr>
              <w:keepNext/>
              <w:keepLines/>
              <w:spacing w:after="0" w:line="240" w:lineRule="auto"/>
              <w:jc w:val="right"/>
            </w:pPr>
            <w:r>
              <w:rPr>
                <w:sz w:val="18"/>
              </w:rPr>
              <w:t>111.378,56</w:t>
            </w:r>
          </w:p>
        </w:tc>
        <w:tc>
          <w:tcPr>
            <w:tcW w:w="1860" w:type="dxa"/>
            <w:tcMar>
              <w:top w:w="0" w:type="dxa"/>
              <w:bottom w:w="0" w:type="dxa"/>
            </w:tcMar>
            <w:vAlign w:val="center"/>
          </w:tcPr>
          <w:p w:rsidR="00E925E1" w:rsidRDefault="00000000">
            <w:pPr>
              <w:keepNext/>
              <w:keepLines/>
              <w:spacing w:after="0" w:line="240" w:lineRule="auto"/>
              <w:jc w:val="right"/>
            </w:pPr>
            <w:r>
              <w:rPr>
                <w:sz w:val="18"/>
              </w:rPr>
              <w:t>136.378,55</w:t>
            </w:r>
          </w:p>
        </w:tc>
        <w:tc>
          <w:tcPr>
            <w:tcW w:w="700" w:type="dxa"/>
            <w:tcMar>
              <w:top w:w="0" w:type="dxa"/>
              <w:bottom w:w="0" w:type="dxa"/>
            </w:tcMar>
            <w:vAlign w:val="center"/>
          </w:tcPr>
          <w:p w:rsidR="00E925E1" w:rsidRDefault="00000000">
            <w:pPr>
              <w:keepNext/>
              <w:keepLines/>
              <w:spacing w:after="0" w:line="240" w:lineRule="auto"/>
              <w:jc w:val="right"/>
            </w:pPr>
            <w:r>
              <w:rPr>
                <w:sz w:val="18"/>
              </w:rPr>
              <w:t>122,4</w:t>
            </w:r>
          </w:p>
        </w:tc>
      </w:tr>
    </w:tbl>
    <w:p w:rsidR="00E925E1" w:rsidRDefault="00E925E1">
      <w:pPr>
        <w:spacing w:after="0"/>
      </w:pPr>
    </w:p>
    <w:p w:rsidR="00E925E1" w:rsidRDefault="00000000">
      <w:r>
        <w:lastRenderedPageBreak/>
        <w:t>Izdaci se odnose na redovite otplate po dugoročnim kreditima, a do povećanja u odnosu na prethodnu godinu došlo je radi početka otplate kreditne obveze prema HBOR po osnovi kredita za projekt zamjene krovne konstrukcije na zgradi stare škole na Trgu sv. Servula</w:t>
      </w:r>
    </w:p>
    <w:p w:rsidR="00E925E1" w:rsidRDefault="00E925E1"/>
    <w:p w:rsidR="00E925E1"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9221-9222</w:t>
            </w:r>
          </w:p>
        </w:tc>
        <w:tc>
          <w:tcPr>
            <w:tcW w:w="3180" w:type="dxa"/>
            <w:tcMar>
              <w:top w:w="0" w:type="dxa"/>
              <w:bottom w:w="0" w:type="dxa"/>
            </w:tcMar>
            <w:vAlign w:val="center"/>
          </w:tcPr>
          <w:p w:rsidR="00E925E1"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rsidR="00E925E1" w:rsidRDefault="00000000">
            <w:pPr>
              <w:keepNext/>
              <w:keepLines/>
              <w:spacing w:after="0" w:line="240" w:lineRule="auto"/>
            </w:pPr>
            <w:r>
              <w:rPr>
                <w:sz w:val="18"/>
              </w:rPr>
              <w:t>9221-9222</w:t>
            </w:r>
          </w:p>
        </w:tc>
        <w:tc>
          <w:tcPr>
            <w:tcW w:w="1860" w:type="dxa"/>
            <w:tcMar>
              <w:top w:w="0" w:type="dxa"/>
              <w:bottom w:w="0" w:type="dxa"/>
            </w:tcMar>
            <w:vAlign w:val="center"/>
          </w:tcPr>
          <w:p w:rsidR="00E925E1" w:rsidRDefault="00000000">
            <w:pPr>
              <w:keepNext/>
              <w:keepLines/>
              <w:spacing w:after="0" w:line="240" w:lineRule="auto"/>
              <w:jc w:val="right"/>
            </w:pPr>
            <w:r>
              <w:rPr>
                <w:sz w:val="18"/>
              </w:rPr>
              <w:t>24.497,37</w:t>
            </w:r>
          </w:p>
        </w:tc>
        <w:tc>
          <w:tcPr>
            <w:tcW w:w="1860" w:type="dxa"/>
            <w:tcMar>
              <w:top w:w="0" w:type="dxa"/>
              <w:bottom w:w="0" w:type="dxa"/>
            </w:tcMar>
            <w:vAlign w:val="center"/>
          </w:tcPr>
          <w:p w:rsidR="00E925E1" w:rsidRDefault="00000000">
            <w:pPr>
              <w:keepNext/>
              <w:keepLines/>
              <w:spacing w:after="0" w:line="240" w:lineRule="auto"/>
              <w:jc w:val="right"/>
            </w:pPr>
            <w:r>
              <w:rPr>
                <w:sz w:val="18"/>
              </w:rPr>
              <w:t>510.807,51</w:t>
            </w:r>
          </w:p>
        </w:tc>
        <w:tc>
          <w:tcPr>
            <w:tcW w:w="700" w:type="dxa"/>
            <w:tcMar>
              <w:top w:w="0" w:type="dxa"/>
              <w:bottom w:w="0" w:type="dxa"/>
            </w:tcMar>
            <w:vAlign w:val="center"/>
          </w:tcPr>
          <w:p w:rsidR="00E925E1" w:rsidRDefault="00000000">
            <w:pPr>
              <w:keepNext/>
              <w:keepLines/>
              <w:spacing w:after="0" w:line="240" w:lineRule="auto"/>
              <w:jc w:val="right"/>
            </w:pPr>
            <w:r>
              <w:rPr>
                <w:sz w:val="18"/>
              </w:rPr>
              <w:t>2085,2</w:t>
            </w:r>
          </w:p>
        </w:tc>
      </w:tr>
    </w:tbl>
    <w:p w:rsidR="00E925E1" w:rsidRDefault="00E925E1">
      <w:pPr>
        <w:spacing w:after="0"/>
      </w:pPr>
    </w:p>
    <w:p w:rsidR="00E925E1" w:rsidRDefault="00000000">
      <w:r>
        <w:t>Gradsko vijeće Grada Buja – Buie je na sjednici održanoj 17. ožujka 2025. godine donijelo Odluku o (pre)raspodjeli rezultata utvrđenog za 2024. godinu (KLASA: 400-06/25-01/03, URBROJ: 2163-2-02/1-25-2) koja je objavljena u „Službenim novinama Grada Buja“ broj 8/25.  Nakon evidentiranih promjena po navedenoj Odluci: </w:t>
      </w:r>
    </w:p>
    <w:p w:rsidR="00E925E1" w:rsidRDefault="00000000">
      <w:r>
        <w:t>Šifra 92221 Manjak prihoda poslovanja – preneseni iznosi 2.245.663,03 eura,  </w:t>
      </w:r>
    </w:p>
    <w:p w:rsidR="00E925E1" w:rsidRDefault="00000000">
      <w:r>
        <w:t>Šifra 92212 Višak prihoda od nefinancijske imovine – preneseni iznosi 1.904.890,32 eura, a</w:t>
      </w:r>
    </w:p>
    <w:p w:rsidR="00E925E1" w:rsidRDefault="00000000">
      <w:r>
        <w:t>Šifra 92213 Višak primitaka od financijske imovine – preneseni iznosi 851.580,22 eura. </w:t>
      </w:r>
    </w:p>
    <w:p w:rsidR="00E925E1" w:rsidRDefault="00000000">
      <w:r>
        <w:t>U bilanci Grada Buja – Buie na računu 98211 – ostala rezerviranja (stalna pričuva i drugo) bila su evidentirana neutrošena sredstva stalne proračunske pričuve iz ranijih godina u iznosu od 10.551,46 eura. Navedena neutrošena sredstva stalne pričuve iz ranijih godina, radi izmjena Pravilnika o proračunskom računovodstvu i Računskom planu i ukidanja računa 98211 – ostala rezerviranja (stalna pričuva i drugo) Odlukom Gradskog vijeća utvrđena su kao višak prihoda poslovanja te je odobren račun 92221 Manjak prihoda poslovanja (izvor financiranja 1 – opći prihodi i primici).  </w:t>
      </w:r>
    </w:p>
    <w:p w:rsidR="00E925E1" w:rsidRDefault="00000000">
      <w:r>
        <w:t>Ukupni preneseni višak je stoga veći za navedeni iznos od 10.551,46 eura i iznosi 510.807,51 eura.</w:t>
      </w:r>
    </w:p>
    <w:p w:rsidR="00E925E1" w:rsidRDefault="00000000">
      <w:r>
        <w:t> </w:t>
      </w:r>
    </w:p>
    <w:p w:rsidR="00E925E1" w:rsidRDefault="00E925E1"/>
    <w:p w:rsidR="00E925E1" w:rsidRDefault="00000000">
      <w:pPr>
        <w:keepNext/>
        <w:spacing w:line="240" w:lineRule="auto"/>
        <w:jc w:val="center"/>
      </w:pPr>
      <w:r>
        <w:rPr>
          <w:b/>
          <w:sz w:val="28"/>
        </w:rPr>
        <w:t>Bilanca</w:t>
      </w:r>
    </w:p>
    <w:p w:rsidR="00E925E1"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0212</w:t>
            </w:r>
          </w:p>
        </w:tc>
        <w:tc>
          <w:tcPr>
            <w:tcW w:w="3180" w:type="dxa"/>
            <w:tcMar>
              <w:top w:w="0" w:type="dxa"/>
              <w:bottom w:w="0" w:type="dxa"/>
            </w:tcMar>
            <w:vAlign w:val="center"/>
          </w:tcPr>
          <w:p w:rsidR="00E925E1" w:rsidRDefault="00000000">
            <w:pPr>
              <w:keepNext/>
              <w:keepLines/>
              <w:spacing w:after="0" w:line="240" w:lineRule="auto"/>
            </w:pPr>
            <w:r>
              <w:rPr>
                <w:sz w:val="18"/>
              </w:rPr>
              <w:t>Poslovni objekti</w:t>
            </w:r>
          </w:p>
        </w:tc>
        <w:tc>
          <w:tcPr>
            <w:tcW w:w="700" w:type="dxa"/>
            <w:tcMar>
              <w:top w:w="0" w:type="dxa"/>
              <w:bottom w:w="0" w:type="dxa"/>
            </w:tcMar>
            <w:vAlign w:val="center"/>
          </w:tcPr>
          <w:p w:rsidR="00E925E1" w:rsidRDefault="00000000">
            <w:pPr>
              <w:keepNext/>
              <w:keepLines/>
              <w:spacing w:after="0" w:line="240" w:lineRule="auto"/>
            </w:pPr>
            <w:r>
              <w:rPr>
                <w:sz w:val="18"/>
              </w:rPr>
              <w:t>0212</w:t>
            </w:r>
          </w:p>
        </w:tc>
        <w:tc>
          <w:tcPr>
            <w:tcW w:w="1860" w:type="dxa"/>
            <w:tcMar>
              <w:top w:w="0" w:type="dxa"/>
              <w:bottom w:w="0" w:type="dxa"/>
            </w:tcMar>
            <w:vAlign w:val="center"/>
          </w:tcPr>
          <w:p w:rsidR="00E925E1" w:rsidRDefault="00000000">
            <w:pPr>
              <w:keepNext/>
              <w:keepLines/>
              <w:spacing w:after="0" w:line="240" w:lineRule="auto"/>
              <w:jc w:val="right"/>
            </w:pPr>
            <w:r>
              <w:rPr>
                <w:sz w:val="18"/>
              </w:rPr>
              <w:t>9.868.593,15</w:t>
            </w:r>
          </w:p>
        </w:tc>
        <w:tc>
          <w:tcPr>
            <w:tcW w:w="1860" w:type="dxa"/>
            <w:tcMar>
              <w:top w:w="0" w:type="dxa"/>
              <w:bottom w:w="0" w:type="dxa"/>
            </w:tcMar>
            <w:vAlign w:val="center"/>
          </w:tcPr>
          <w:p w:rsidR="00E925E1" w:rsidRDefault="00000000">
            <w:pPr>
              <w:keepNext/>
              <w:keepLines/>
              <w:spacing w:after="0" w:line="240" w:lineRule="auto"/>
              <w:jc w:val="right"/>
            </w:pPr>
            <w:r>
              <w:rPr>
                <w:sz w:val="18"/>
              </w:rPr>
              <w:t>10.499.541,84</w:t>
            </w:r>
          </w:p>
        </w:tc>
        <w:tc>
          <w:tcPr>
            <w:tcW w:w="700" w:type="dxa"/>
            <w:tcMar>
              <w:top w:w="0" w:type="dxa"/>
              <w:bottom w:w="0" w:type="dxa"/>
            </w:tcMar>
            <w:vAlign w:val="center"/>
          </w:tcPr>
          <w:p w:rsidR="00E925E1" w:rsidRDefault="00000000">
            <w:pPr>
              <w:keepNext/>
              <w:keepLines/>
              <w:spacing w:after="0" w:line="240" w:lineRule="auto"/>
              <w:jc w:val="right"/>
            </w:pPr>
            <w:r>
              <w:rPr>
                <w:sz w:val="18"/>
              </w:rPr>
              <w:t>106,4</w:t>
            </w:r>
          </w:p>
        </w:tc>
      </w:tr>
    </w:tbl>
    <w:p w:rsidR="00E925E1" w:rsidRDefault="00E925E1">
      <w:pPr>
        <w:spacing w:after="0"/>
      </w:pPr>
    </w:p>
    <w:p w:rsidR="00E925E1" w:rsidRDefault="00000000">
      <w:r>
        <w:t xml:space="preserve">Okončani su radovi na zgradi stare škole u naselju Kršete (354.596,98 eura), na zgradama društvenih domova u naselju Kaštel (65.048,63 eura), Triban (20.908,29 eura). Izvršena su </w:t>
      </w:r>
      <w:r>
        <w:lastRenderedPageBreak/>
        <w:t>dodatna ulaganja u zgradu starog vatrogasnog doma/stari Digitron (161.035,48 eura), starog vinarskog podruma (21.735,56 eura), zgradu dječjeg vrtića (4.600,00 eura) i zgradu u kojoj je smješten Centar za inkluziju i podršku zajednici (3.023,75 eura).</w:t>
      </w:r>
    </w:p>
    <w:p w:rsidR="00E925E1" w:rsidRDefault="00000000">
      <w:r>
        <w:t> </w:t>
      </w:r>
    </w:p>
    <w:p w:rsidR="00E925E1" w:rsidRDefault="00E925E1"/>
    <w:p w:rsidR="00E925E1"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0213</w:t>
            </w:r>
          </w:p>
        </w:tc>
        <w:tc>
          <w:tcPr>
            <w:tcW w:w="3180" w:type="dxa"/>
            <w:tcMar>
              <w:top w:w="0" w:type="dxa"/>
              <w:bottom w:w="0" w:type="dxa"/>
            </w:tcMar>
            <w:vAlign w:val="center"/>
          </w:tcPr>
          <w:p w:rsidR="00E925E1"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rsidR="00E925E1" w:rsidRDefault="00000000">
            <w:pPr>
              <w:keepNext/>
              <w:keepLines/>
              <w:spacing w:after="0" w:line="240" w:lineRule="auto"/>
            </w:pPr>
            <w:r>
              <w:rPr>
                <w:sz w:val="18"/>
              </w:rPr>
              <w:t>0213</w:t>
            </w:r>
          </w:p>
        </w:tc>
        <w:tc>
          <w:tcPr>
            <w:tcW w:w="1860" w:type="dxa"/>
            <w:tcMar>
              <w:top w:w="0" w:type="dxa"/>
              <w:bottom w:w="0" w:type="dxa"/>
            </w:tcMar>
            <w:vAlign w:val="center"/>
          </w:tcPr>
          <w:p w:rsidR="00E925E1" w:rsidRDefault="00000000">
            <w:pPr>
              <w:keepNext/>
              <w:keepLines/>
              <w:spacing w:after="0" w:line="240" w:lineRule="auto"/>
              <w:jc w:val="right"/>
            </w:pPr>
            <w:r>
              <w:rPr>
                <w:sz w:val="18"/>
              </w:rPr>
              <w:t>5.525.535,14</w:t>
            </w:r>
          </w:p>
        </w:tc>
        <w:tc>
          <w:tcPr>
            <w:tcW w:w="1860" w:type="dxa"/>
            <w:tcMar>
              <w:top w:w="0" w:type="dxa"/>
              <w:bottom w:w="0" w:type="dxa"/>
            </w:tcMar>
            <w:vAlign w:val="center"/>
          </w:tcPr>
          <w:p w:rsidR="00E925E1" w:rsidRDefault="00000000">
            <w:pPr>
              <w:keepNext/>
              <w:keepLines/>
              <w:spacing w:after="0" w:line="240" w:lineRule="auto"/>
              <w:jc w:val="right"/>
            </w:pPr>
            <w:r>
              <w:rPr>
                <w:sz w:val="18"/>
              </w:rPr>
              <w:t>5.775.835,18</w:t>
            </w:r>
          </w:p>
        </w:tc>
        <w:tc>
          <w:tcPr>
            <w:tcW w:w="700" w:type="dxa"/>
            <w:tcMar>
              <w:top w:w="0" w:type="dxa"/>
              <w:bottom w:w="0" w:type="dxa"/>
            </w:tcMar>
            <w:vAlign w:val="center"/>
          </w:tcPr>
          <w:p w:rsidR="00E925E1" w:rsidRDefault="00000000">
            <w:pPr>
              <w:keepNext/>
              <w:keepLines/>
              <w:spacing w:after="0" w:line="240" w:lineRule="auto"/>
              <w:jc w:val="right"/>
            </w:pPr>
            <w:r>
              <w:rPr>
                <w:sz w:val="18"/>
              </w:rPr>
              <w:t>104,5</w:t>
            </w:r>
          </w:p>
        </w:tc>
      </w:tr>
    </w:tbl>
    <w:p w:rsidR="00E925E1" w:rsidRDefault="00E925E1">
      <w:pPr>
        <w:spacing w:after="0"/>
      </w:pPr>
    </w:p>
    <w:p w:rsidR="00E925E1" w:rsidRDefault="00000000">
      <w:r>
        <w:t>U radove na cesti prema Kukovom Vrhu uloženo je 192.461,46 eura, u rekonstrukciju potpornog zida u Istarskoj ulici 57.838,58 eura.</w:t>
      </w:r>
    </w:p>
    <w:p w:rsidR="00E925E1" w:rsidRDefault="00E925E1"/>
    <w:p w:rsidR="00E925E1"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0227</w:t>
            </w:r>
          </w:p>
        </w:tc>
        <w:tc>
          <w:tcPr>
            <w:tcW w:w="3180" w:type="dxa"/>
            <w:tcMar>
              <w:top w:w="0" w:type="dxa"/>
              <w:bottom w:w="0" w:type="dxa"/>
            </w:tcMar>
            <w:vAlign w:val="center"/>
          </w:tcPr>
          <w:p w:rsidR="00E925E1"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rsidR="00E925E1" w:rsidRDefault="00000000">
            <w:pPr>
              <w:keepNext/>
              <w:keepLines/>
              <w:spacing w:after="0" w:line="240" w:lineRule="auto"/>
            </w:pPr>
            <w:r>
              <w:rPr>
                <w:sz w:val="18"/>
              </w:rPr>
              <w:t>0227</w:t>
            </w:r>
          </w:p>
        </w:tc>
        <w:tc>
          <w:tcPr>
            <w:tcW w:w="1860" w:type="dxa"/>
            <w:tcMar>
              <w:top w:w="0" w:type="dxa"/>
              <w:bottom w:w="0" w:type="dxa"/>
            </w:tcMar>
            <w:vAlign w:val="center"/>
          </w:tcPr>
          <w:p w:rsidR="00E925E1" w:rsidRDefault="00000000">
            <w:pPr>
              <w:keepNext/>
              <w:keepLines/>
              <w:spacing w:after="0" w:line="240" w:lineRule="auto"/>
              <w:jc w:val="right"/>
            </w:pPr>
            <w:r>
              <w:rPr>
                <w:sz w:val="18"/>
              </w:rPr>
              <w:t>379.498,04</w:t>
            </w:r>
          </w:p>
        </w:tc>
        <w:tc>
          <w:tcPr>
            <w:tcW w:w="1860" w:type="dxa"/>
            <w:tcMar>
              <w:top w:w="0" w:type="dxa"/>
              <w:bottom w:w="0" w:type="dxa"/>
            </w:tcMar>
            <w:vAlign w:val="center"/>
          </w:tcPr>
          <w:p w:rsidR="00E925E1" w:rsidRDefault="00000000">
            <w:pPr>
              <w:keepNext/>
              <w:keepLines/>
              <w:spacing w:after="0" w:line="240" w:lineRule="auto"/>
              <w:jc w:val="right"/>
            </w:pPr>
            <w:r>
              <w:rPr>
                <w:sz w:val="18"/>
              </w:rPr>
              <w:t>412.330,48</w:t>
            </w:r>
          </w:p>
        </w:tc>
        <w:tc>
          <w:tcPr>
            <w:tcW w:w="700" w:type="dxa"/>
            <w:tcMar>
              <w:top w:w="0" w:type="dxa"/>
              <w:bottom w:w="0" w:type="dxa"/>
            </w:tcMar>
            <w:vAlign w:val="center"/>
          </w:tcPr>
          <w:p w:rsidR="00E925E1" w:rsidRDefault="00000000">
            <w:pPr>
              <w:keepNext/>
              <w:keepLines/>
              <w:spacing w:after="0" w:line="240" w:lineRule="auto"/>
              <w:jc w:val="right"/>
            </w:pPr>
            <w:r>
              <w:rPr>
                <w:sz w:val="18"/>
              </w:rPr>
              <w:t>108,7</w:t>
            </w:r>
          </w:p>
        </w:tc>
      </w:tr>
    </w:tbl>
    <w:p w:rsidR="00E925E1" w:rsidRDefault="00E925E1">
      <w:pPr>
        <w:spacing w:after="0"/>
      </w:pPr>
    </w:p>
    <w:p w:rsidR="00E925E1" w:rsidRDefault="00000000">
      <w:r>
        <w:t>Povećanje se odnosi na opremu za potrebe Mjesnog odbora Triban, na opremu za smirivanje prometa te igrala postavljena u Klesarskoj ulici i u naselju Momjan.</w:t>
      </w:r>
    </w:p>
    <w:p w:rsidR="00E925E1" w:rsidRDefault="00E925E1"/>
    <w:p w:rsidR="00E925E1"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0263</w:t>
            </w:r>
          </w:p>
        </w:tc>
        <w:tc>
          <w:tcPr>
            <w:tcW w:w="3180" w:type="dxa"/>
            <w:tcMar>
              <w:top w:w="0" w:type="dxa"/>
              <w:bottom w:w="0" w:type="dxa"/>
            </w:tcMar>
            <w:vAlign w:val="center"/>
          </w:tcPr>
          <w:p w:rsidR="00E925E1" w:rsidRDefault="00000000">
            <w:pPr>
              <w:keepNext/>
              <w:keepLines/>
              <w:spacing w:after="0" w:line="240" w:lineRule="auto"/>
            </w:pPr>
            <w:r>
              <w:rPr>
                <w:sz w:val="18"/>
              </w:rPr>
              <w:t>Umjetnička, literarna i znanstvena djela</w:t>
            </w:r>
          </w:p>
        </w:tc>
        <w:tc>
          <w:tcPr>
            <w:tcW w:w="700" w:type="dxa"/>
            <w:tcMar>
              <w:top w:w="0" w:type="dxa"/>
              <w:bottom w:w="0" w:type="dxa"/>
            </w:tcMar>
            <w:vAlign w:val="center"/>
          </w:tcPr>
          <w:p w:rsidR="00E925E1" w:rsidRDefault="00000000">
            <w:pPr>
              <w:keepNext/>
              <w:keepLines/>
              <w:spacing w:after="0" w:line="240" w:lineRule="auto"/>
            </w:pPr>
            <w:r>
              <w:rPr>
                <w:sz w:val="18"/>
              </w:rPr>
              <w:t>0263</w:t>
            </w:r>
          </w:p>
        </w:tc>
        <w:tc>
          <w:tcPr>
            <w:tcW w:w="1860" w:type="dxa"/>
            <w:tcMar>
              <w:top w:w="0" w:type="dxa"/>
              <w:bottom w:w="0" w:type="dxa"/>
            </w:tcMar>
            <w:vAlign w:val="center"/>
          </w:tcPr>
          <w:p w:rsidR="00E925E1" w:rsidRDefault="00000000">
            <w:pPr>
              <w:keepNext/>
              <w:keepLines/>
              <w:spacing w:after="0" w:line="240" w:lineRule="auto"/>
              <w:jc w:val="right"/>
            </w:pPr>
            <w:r>
              <w:rPr>
                <w:sz w:val="18"/>
              </w:rPr>
              <w:t>754.158,46</w:t>
            </w:r>
          </w:p>
        </w:tc>
        <w:tc>
          <w:tcPr>
            <w:tcW w:w="1860" w:type="dxa"/>
            <w:tcMar>
              <w:top w:w="0" w:type="dxa"/>
              <w:bottom w:w="0" w:type="dxa"/>
            </w:tcMar>
            <w:vAlign w:val="center"/>
          </w:tcPr>
          <w:p w:rsidR="00E925E1" w:rsidRDefault="00000000">
            <w:pPr>
              <w:keepNext/>
              <w:keepLines/>
              <w:spacing w:after="0" w:line="240" w:lineRule="auto"/>
              <w:jc w:val="right"/>
            </w:pPr>
            <w:r>
              <w:rPr>
                <w:sz w:val="18"/>
              </w:rPr>
              <w:t>810.207,56</w:t>
            </w:r>
          </w:p>
        </w:tc>
        <w:tc>
          <w:tcPr>
            <w:tcW w:w="700" w:type="dxa"/>
            <w:tcMar>
              <w:top w:w="0" w:type="dxa"/>
              <w:bottom w:w="0" w:type="dxa"/>
            </w:tcMar>
            <w:vAlign w:val="center"/>
          </w:tcPr>
          <w:p w:rsidR="00E925E1" w:rsidRDefault="00000000">
            <w:pPr>
              <w:keepNext/>
              <w:keepLines/>
              <w:spacing w:after="0" w:line="240" w:lineRule="auto"/>
              <w:jc w:val="right"/>
            </w:pPr>
            <w:r>
              <w:rPr>
                <w:sz w:val="18"/>
              </w:rPr>
              <w:t>107,4</w:t>
            </w:r>
          </w:p>
        </w:tc>
      </w:tr>
    </w:tbl>
    <w:p w:rsidR="00E925E1" w:rsidRDefault="00E925E1">
      <w:pPr>
        <w:spacing w:after="0"/>
      </w:pPr>
    </w:p>
    <w:p w:rsidR="00E925E1" w:rsidRDefault="00000000">
      <w:r>
        <w:t>Povećanje se odnosi na dokumente prostornog uređenja (UPU Vižinada 1 i 2, Triban 1, Kaldanija i PZ Stanica 1).</w:t>
      </w:r>
    </w:p>
    <w:p w:rsidR="00E925E1" w:rsidRDefault="00E925E1"/>
    <w:p w:rsidR="00E925E1"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042</w:t>
            </w:r>
          </w:p>
        </w:tc>
        <w:tc>
          <w:tcPr>
            <w:tcW w:w="3180" w:type="dxa"/>
            <w:tcMar>
              <w:top w:w="0" w:type="dxa"/>
              <w:bottom w:w="0" w:type="dxa"/>
            </w:tcMar>
            <w:vAlign w:val="center"/>
          </w:tcPr>
          <w:p w:rsidR="00E925E1"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rsidR="00E925E1" w:rsidRDefault="00000000">
            <w:pPr>
              <w:keepNext/>
              <w:keepLines/>
              <w:spacing w:after="0" w:line="240" w:lineRule="auto"/>
            </w:pPr>
            <w:r>
              <w:rPr>
                <w:sz w:val="18"/>
              </w:rPr>
              <w:t>042</w:t>
            </w:r>
          </w:p>
        </w:tc>
        <w:tc>
          <w:tcPr>
            <w:tcW w:w="1860" w:type="dxa"/>
            <w:tcMar>
              <w:top w:w="0" w:type="dxa"/>
              <w:bottom w:w="0" w:type="dxa"/>
            </w:tcMar>
            <w:vAlign w:val="center"/>
          </w:tcPr>
          <w:p w:rsidR="00E925E1" w:rsidRDefault="00000000">
            <w:pPr>
              <w:keepNext/>
              <w:keepLines/>
              <w:spacing w:after="0" w:line="240" w:lineRule="auto"/>
              <w:jc w:val="right"/>
            </w:pPr>
            <w:r>
              <w:rPr>
                <w:sz w:val="18"/>
              </w:rPr>
              <w:t>47.263,99</w:t>
            </w:r>
          </w:p>
        </w:tc>
        <w:tc>
          <w:tcPr>
            <w:tcW w:w="1860" w:type="dxa"/>
            <w:tcMar>
              <w:top w:w="0" w:type="dxa"/>
              <w:bottom w:w="0" w:type="dxa"/>
            </w:tcMar>
            <w:vAlign w:val="center"/>
          </w:tcPr>
          <w:p w:rsidR="00E925E1" w:rsidRDefault="00000000">
            <w:pPr>
              <w:keepNext/>
              <w:keepLines/>
              <w:spacing w:after="0" w:line="240" w:lineRule="auto"/>
              <w:jc w:val="right"/>
            </w:pPr>
            <w:r>
              <w:rPr>
                <w:sz w:val="18"/>
              </w:rPr>
              <w:t>56.149,14</w:t>
            </w:r>
          </w:p>
        </w:tc>
        <w:tc>
          <w:tcPr>
            <w:tcW w:w="700" w:type="dxa"/>
            <w:tcMar>
              <w:top w:w="0" w:type="dxa"/>
              <w:bottom w:w="0" w:type="dxa"/>
            </w:tcMar>
            <w:vAlign w:val="center"/>
          </w:tcPr>
          <w:p w:rsidR="00E925E1" w:rsidRDefault="00000000">
            <w:pPr>
              <w:keepNext/>
              <w:keepLines/>
              <w:spacing w:after="0" w:line="240" w:lineRule="auto"/>
              <w:jc w:val="right"/>
            </w:pPr>
            <w:r>
              <w:rPr>
                <w:sz w:val="18"/>
              </w:rPr>
              <w:t>118,8</w:t>
            </w:r>
          </w:p>
        </w:tc>
      </w:tr>
    </w:tbl>
    <w:p w:rsidR="00E925E1" w:rsidRDefault="00E925E1">
      <w:pPr>
        <w:spacing w:after="0"/>
      </w:pPr>
    </w:p>
    <w:p w:rsidR="00E925E1" w:rsidRDefault="00000000">
      <w:r>
        <w:t>Povećanje se najvećim dijelom odnosi na nabavu košara za javne površine i zaštitnih barijera. Nabavljeni su tableti za vijećnike, mobilni telefoni, odvlaživači prostora, auto gume te ostali sitni inventar za potrebe uprave, mjesnih odbora i vijeća manjina.</w:t>
      </w:r>
    </w:p>
    <w:p w:rsidR="00E925E1" w:rsidRDefault="00E925E1"/>
    <w:p w:rsidR="00E925E1"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051</w:t>
            </w:r>
          </w:p>
        </w:tc>
        <w:tc>
          <w:tcPr>
            <w:tcW w:w="3180" w:type="dxa"/>
            <w:tcMar>
              <w:top w:w="0" w:type="dxa"/>
              <w:bottom w:w="0" w:type="dxa"/>
            </w:tcMar>
            <w:vAlign w:val="center"/>
          </w:tcPr>
          <w:p w:rsidR="00E925E1" w:rsidRDefault="00000000">
            <w:pPr>
              <w:keepNext/>
              <w:keepLines/>
              <w:spacing w:after="0" w:line="240" w:lineRule="auto"/>
            </w:pPr>
            <w:r>
              <w:rPr>
                <w:sz w:val="18"/>
              </w:rPr>
              <w:t>Građevinski objekti u pripremi</w:t>
            </w:r>
          </w:p>
        </w:tc>
        <w:tc>
          <w:tcPr>
            <w:tcW w:w="700" w:type="dxa"/>
            <w:tcMar>
              <w:top w:w="0" w:type="dxa"/>
              <w:bottom w:w="0" w:type="dxa"/>
            </w:tcMar>
            <w:vAlign w:val="center"/>
          </w:tcPr>
          <w:p w:rsidR="00E925E1" w:rsidRDefault="00000000">
            <w:pPr>
              <w:keepNext/>
              <w:keepLines/>
              <w:spacing w:after="0" w:line="240" w:lineRule="auto"/>
            </w:pPr>
            <w:r>
              <w:rPr>
                <w:sz w:val="18"/>
              </w:rPr>
              <w:t>051</w:t>
            </w:r>
          </w:p>
        </w:tc>
        <w:tc>
          <w:tcPr>
            <w:tcW w:w="1860" w:type="dxa"/>
            <w:tcMar>
              <w:top w:w="0" w:type="dxa"/>
              <w:bottom w:w="0" w:type="dxa"/>
            </w:tcMar>
            <w:vAlign w:val="center"/>
          </w:tcPr>
          <w:p w:rsidR="00E925E1" w:rsidRDefault="00000000">
            <w:pPr>
              <w:keepNext/>
              <w:keepLines/>
              <w:spacing w:after="0" w:line="240" w:lineRule="auto"/>
              <w:jc w:val="right"/>
            </w:pPr>
            <w:r>
              <w:rPr>
                <w:sz w:val="18"/>
              </w:rPr>
              <w:t>825.057,83</w:t>
            </w:r>
          </w:p>
        </w:tc>
        <w:tc>
          <w:tcPr>
            <w:tcW w:w="1860" w:type="dxa"/>
            <w:tcMar>
              <w:top w:w="0" w:type="dxa"/>
              <w:bottom w:w="0" w:type="dxa"/>
            </w:tcMar>
            <w:vAlign w:val="center"/>
          </w:tcPr>
          <w:p w:rsidR="00E925E1" w:rsidRDefault="00000000">
            <w:pPr>
              <w:keepNext/>
              <w:keepLines/>
              <w:spacing w:after="0" w:line="240" w:lineRule="auto"/>
              <w:jc w:val="right"/>
            </w:pPr>
            <w:r>
              <w:rPr>
                <w:sz w:val="18"/>
              </w:rPr>
              <w:t>1.042.509,35</w:t>
            </w:r>
          </w:p>
        </w:tc>
        <w:tc>
          <w:tcPr>
            <w:tcW w:w="700" w:type="dxa"/>
            <w:tcMar>
              <w:top w:w="0" w:type="dxa"/>
              <w:bottom w:w="0" w:type="dxa"/>
            </w:tcMar>
            <w:vAlign w:val="center"/>
          </w:tcPr>
          <w:p w:rsidR="00E925E1" w:rsidRDefault="00000000">
            <w:pPr>
              <w:keepNext/>
              <w:keepLines/>
              <w:spacing w:after="0" w:line="240" w:lineRule="auto"/>
              <w:jc w:val="right"/>
            </w:pPr>
            <w:r>
              <w:rPr>
                <w:sz w:val="18"/>
              </w:rPr>
              <w:t>126,4</w:t>
            </w:r>
          </w:p>
        </w:tc>
      </w:tr>
    </w:tbl>
    <w:p w:rsidR="00E925E1" w:rsidRDefault="00E925E1">
      <w:pPr>
        <w:spacing w:after="0"/>
      </w:pPr>
    </w:p>
    <w:p w:rsidR="00E925E1" w:rsidRDefault="00000000">
      <w:r>
        <w:t>Povećanje se odnosi na novozapočete projekte uređenja parkirališta u starogradskoj jezgri, postavljanja umjetne trave na igralištu u Bujama te dodatne radove na sanaciji i rekonstrukciji kaštela Rota.</w:t>
      </w:r>
    </w:p>
    <w:p w:rsidR="00E925E1" w:rsidRDefault="00E925E1"/>
    <w:p w:rsidR="00E925E1"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055</w:t>
            </w:r>
          </w:p>
        </w:tc>
        <w:tc>
          <w:tcPr>
            <w:tcW w:w="3180" w:type="dxa"/>
            <w:tcMar>
              <w:top w:w="0" w:type="dxa"/>
              <w:bottom w:w="0" w:type="dxa"/>
            </w:tcMar>
            <w:vAlign w:val="center"/>
          </w:tcPr>
          <w:p w:rsidR="00E925E1" w:rsidRDefault="00000000">
            <w:pPr>
              <w:keepNext/>
              <w:keepLines/>
              <w:spacing w:after="0" w:line="240" w:lineRule="auto"/>
            </w:pPr>
            <w:r>
              <w:rPr>
                <w:sz w:val="18"/>
              </w:rPr>
              <w:t>Ostala nematerijalna proizvedena imovina u pripremi</w:t>
            </w:r>
          </w:p>
        </w:tc>
        <w:tc>
          <w:tcPr>
            <w:tcW w:w="700" w:type="dxa"/>
            <w:tcMar>
              <w:top w:w="0" w:type="dxa"/>
              <w:bottom w:w="0" w:type="dxa"/>
            </w:tcMar>
            <w:vAlign w:val="center"/>
          </w:tcPr>
          <w:p w:rsidR="00E925E1" w:rsidRDefault="00000000">
            <w:pPr>
              <w:keepNext/>
              <w:keepLines/>
              <w:spacing w:after="0" w:line="240" w:lineRule="auto"/>
            </w:pPr>
            <w:r>
              <w:rPr>
                <w:sz w:val="18"/>
              </w:rPr>
              <w:t>055</w:t>
            </w:r>
          </w:p>
        </w:tc>
        <w:tc>
          <w:tcPr>
            <w:tcW w:w="1860" w:type="dxa"/>
            <w:tcMar>
              <w:top w:w="0" w:type="dxa"/>
              <w:bottom w:w="0" w:type="dxa"/>
            </w:tcMar>
            <w:vAlign w:val="center"/>
          </w:tcPr>
          <w:p w:rsidR="00E925E1" w:rsidRDefault="00000000">
            <w:pPr>
              <w:keepNext/>
              <w:keepLines/>
              <w:spacing w:after="0" w:line="240" w:lineRule="auto"/>
              <w:jc w:val="right"/>
            </w:pPr>
            <w:r>
              <w:rPr>
                <w:sz w:val="18"/>
              </w:rPr>
              <w:t>113.692,59</w:t>
            </w:r>
          </w:p>
        </w:tc>
        <w:tc>
          <w:tcPr>
            <w:tcW w:w="1860" w:type="dxa"/>
            <w:tcMar>
              <w:top w:w="0" w:type="dxa"/>
              <w:bottom w:w="0" w:type="dxa"/>
            </w:tcMar>
            <w:vAlign w:val="center"/>
          </w:tcPr>
          <w:p w:rsidR="00E925E1" w:rsidRDefault="00000000">
            <w:pPr>
              <w:keepNext/>
              <w:keepLines/>
              <w:spacing w:after="0" w:line="240" w:lineRule="auto"/>
              <w:jc w:val="right"/>
            </w:pPr>
            <w:r>
              <w:rPr>
                <w:sz w:val="18"/>
              </w:rPr>
              <w:t>82.958,08</w:t>
            </w:r>
          </w:p>
        </w:tc>
        <w:tc>
          <w:tcPr>
            <w:tcW w:w="700" w:type="dxa"/>
            <w:tcMar>
              <w:top w:w="0" w:type="dxa"/>
              <w:bottom w:w="0" w:type="dxa"/>
            </w:tcMar>
            <w:vAlign w:val="center"/>
          </w:tcPr>
          <w:p w:rsidR="00E925E1" w:rsidRDefault="00000000">
            <w:pPr>
              <w:keepNext/>
              <w:keepLines/>
              <w:spacing w:after="0" w:line="240" w:lineRule="auto"/>
              <w:jc w:val="right"/>
            </w:pPr>
            <w:r>
              <w:rPr>
                <w:sz w:val="18"/>
              </w:rPr>
              <w:t>73,0</w:t>
            </w:r>
          </w:p>
        </w:tc>
      </w:tr>
    </w:tbl>
    <w:p w:rsidR="00E925E1" w:rsidRDefault="00E925E1">
      <w:pPr>
        <w:spacing w:after="0"/>
      </w:pPr>
    </w:p>
    <w:p w:rsidR="00E925E1" w:rsidRDefault="00000000">
      <w:r>
        <w:t>Smanjenje se odnosi na izrađenu i usvojenu prostorno plansku dokumentaciju.</w:t>
      </w:r>
    </w:p>
    <w:p w:rsidR="00E925E1" w:rsidRDefault="00E925E1"/>
    <w:p w:rsidR="00E925E1"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129</w:t>
            </w:r>
          </w:p>
        </w:tc>
        <w:tc>
          <w:tcPr>
            <w:tcW w:w="3180" w:type="dxa"/>
            <w:tcMar>
              <w:top w:w="0" w:type="dxa"/>
              <w:bottom w:w="0" w:type="dxa"/>
            </w:tcMar>
            <w:vAlign w:val="center"/>
          </w:tcPr>
          <w:p w:rsidR="00E925E1" w:rsidRDefault="00000000">
            <w:pPr>
              <w:keepNext/>
              <w:keepLines/>
              <w:spacing w:after="0" w:line="240" w:lineRule="auto"/>
            </w:pPr>
            <w:r>
              <w:rPr>
                <w:sz w:val="18"/>
              </w:rPr>
              <w:t>Ostala potraživanja</w:t>
            </w:r>
          </w:p>
        </w:tc>
        <w:tc>
          <w:tcPr>
            <w:tcW w:w="700" w:type="dxa"/>
            <w:tcMar>
              <w:top w:w="0" w:type="dxa"/>
              <w:bottom w:w="0" w:type="dxa"/>
            </w:tcMar>
            <w:vAlign w:val="center"/>
          </w:tcPr>
          <w:p w:rsidR="00E925E1" w:rsidRDefault="00000000">
            <w:pPr>
              <w:keepNext/>
              <w:keepLines/>
              <w:spacing w:after="0" w:line="240" w:lineRule="auto"/>
            </w:pPr>
            <w:r>
              <w:rPr>
                <w:sz w:val="18"/>
              </w:rPr>
              <w:t>129</w:t>
            </w:r>
          </w:p>
        </w:tc>
        <w:tc>
          <w:tcPr>
            <w:tcW w:w="1860" w:type="dxa"/>
            <w:tcMar>
              <w:top w:w="0" w:type="dxa"/>
              <w:bottom w:w="0" w:type="dxa"/>
            </w:tcMar>
            <w:vAlign w:val="center"/>
          </w:tcPr>
          <w:p w:rsidR="00E925E1" w:rsidRDefault="00000000">
            <w:pPr>
              <w:keepNext/>
              <w:keepLines/>
              <w:spacing w:after="0" w:line="240" w:lineRule="auto"/>
              <w:jc w:val="right"/>
            </w:pPr>
            <w:r>
              <w:rPr>
                <w:sz w:val="18"/>
              </w:rPr>
              <w:t>38.780,98</w:t>
            </w:r>
          </w:p>
        </w:tc>
        <w:tc>
          <w:tcPr>
            <w:tcW w:w="1860" w:type="dxa"/>
            <w:tcMar>
              <w:top w:w="0" w:type="dxa"/>
              <w:bottom w:w="0" w:type="dxa"/>
            </w:tcMar>
            <w:vAlign w:val="center"/>
          </w:tcPr>
          <w:p w:rsidR="00E925E1" w:rsidRDefault="00000000">
            <w:pPr>
              <w:keepNext/>
              <w:keepLines/>
              <w:spacing w:after="0" w:line="240" w:lineRule="auto"/>
              <w:jc w:val="right"/>
            </w:pPr>
            <w:r>
              <w:rPr>
                <w:sz w:val="18"/>
              </w:rPr>
              <w:t>6.664,16</w:t>
            </w:r>
          </w:p>
        </w:tc>
        <w:tc>
          <w:tcPr>
            <w:tcW w:w="700" w:type="dxa"/>
            <w:tcMar>
              <w:top w:w="0" w:type="dxa"/>
              <w:bottom w:w="0" w:type="dxa"/>
            </w:tcMar>
            <w:vAlign w:val="center"/>
          </w:tcPr>
          <w:p w:rsidR="00E925E1" w:rsidRDefault="00000000">
            <w:pPr>
              <w:keepNext/>
              <w:keepLines/>
              <w:spacing w:after="0" w:line="240" w:lineRule="auto"/>
              <w:jc w:val="right"/>
            </w:pPr>
            <w:r>
              <w:rPr>
                <w:sz w:val="18"/>
              </w:rPr>
              <w:t>17,2</w:t>
            </w:r>
          </w:p>
        </w:tc>
      </w:tr>
    </w:tbl>
    <w:p w:rsidR="00E925E1" w:rsidRDefault="00E925E1">
      <w:pPr>
        <w:spacing w:after="0"/>
      </w:pPr>
    </w:p>
    <w:p w:rsidR="00E925E1" w:rsidRDefault="00000000">
      <w:r>
        <w:t>Potraživanja se odnose na uplaćene predujmove, potraživanja za naknade koje se refundiraju i dr. Najveći dio iznosa početnog odnosio se na potraživanje od proračunskog korisnika za povrat u nadležni proračun. Potraživanje je u tijeku godine podmireno.</w:t>
      </w:r>
    </w:p>
    <w:p w:rsidR="00E925E1" w:rsidRDefault="00E925E1"/>
    <w:p w:rsidR="00E925E1"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15</w:t>
            </w:r>
          </w:p>
        </w:tc>
        <w:tc>
          <w:tcPr>
            <w:tcW w:w="3180" w:type="dxa"/>
            <w:tcMar>
              <w:top w:w="0" w:type="dxa"/>
              <w:bottom w:w="0" w:type="dxa"/>
            </w:tcMar>
            <w:vAlign w:val="center"/>
          </w:tcPr>
          <w:p w:rsidR="00E925E1"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rsidR="00E925E1" w:rsidRDefault="00000000">
            <w:pPr>
              <w:keepNext/>
              <w:keepLines/>
              <w:spacing w:after="0" w:line="240" w:lineRule="auto"/>
            </w:pPr>
            <w:r>
              <w:rPr>
                <w:sz w:val="18"/>
              </w:rPr>
              <w:t>15</w:t>
            </w:r>
          </w:p>
        </w:tc>
        <w:tc>
          <w:tcPr>
            <w:tcW w:w="1860" w:type="dxa"/>
            <w:tcMar>
              <w:top w:w="0" w:type="dxa"/>
              <w:bottom w:w="0" w:type="dxa"/>
            </w:tcMar>
            <w:vAlign w:val="center"/>
          </w:tcPr>
          <w:p w:rsidR="00E925E1" w:rsidRDefault="00000000">
            <w:pPr>
              <w:keepNext/>
              <w:keepLines/>
              <w:spacing w:after="0" w:line="240" w:lineRule="auto"/>
              <w:jc w:val="right"/>
            </w:pPr>
            <w:r>
              <w:rPr>
                <w:sz w:val="18"/>
              </w:rPr>
              <w:t>2.131.586,78</w:t>
            </w:r>
          </w:p>
        </w:tc>
        <w:tc>
          <w:tcPr>
            <w:tcW w:w="1860" w:type="dxa"/>
            <w:tcMar>
              <w:top w:w="0" w:type="dxa"/>
              <w:bottom w:w="0" w:type="dxa"/>
            </w:tcMar>
            <w:vAlign w:val="center"/>
          </w:tcPr>
          <w:p w:rsidR="00E925E1" w:rsidRDefault="00000000">
            <w:pPr>
              <w:keepNext/>
              <w:keepLines/>
              <w:spacing w:after="0" w:line="240" w:lineRule="auto"/>
              <w:jc w:val="right"/>
            </w:pPr>
            <w:r>
              <w:rPr>
                <w:sz w:val="18"/>
              </w:rPr>
              <w:t>2.143.194,93</w:t>
            </w:r>
          </w:p>
        </w:tc>
        <w:tc>
          <w:tcPr>
            <w:tcW w:w="700" w:type="dxa"/>
            <w:tcMar>
              <w:top w:w="0" w:type="dxa"/>
              <w:bottom w:w="0" w:type="dxa"/>
            </w:tcMar>
            <w:vAlign w:val="center"/>
          </w:tcPr>
          <w:p w:rsidR="00E925E1" w:rsidRDefault="00000000">
            <w:pPr>
              <w:keepNext/>
              <w:keepLines/>
              <w:spacing w:after="0" w:line="240" w:lineRule="auto"/>
              <w:jc w:val="right"/>
            </w:pPr>
            <w:r>
              <w:rPr>
                <w:sz w:val="18"/>
              </w:rPr>
              <w:t>100,5</w:t>
            </w:r>
          </w:p>
        </w:tc>
      </w:tr>
    </w:tbl>
    <w:p w:rsidR="00E925E1" w:rsidRDefault="00E925E1">
      <w:pPr>
        <w:spacing w:after="0"/>
      </w:pPr>
    </w:p>
    <w:p w:rsidR="00E925E1" w:rsidRDefault="00000000">
      <w:r>
        <w:t>Dionice i udjeli u glavnici povećani su u odnosu na početak godine za iznos od 11.608,15 eura. Promjena je rezultat povećanja u iznosu od 11.618,00 eura koji se odnosi se na izvršene otplate temeljem Ugovora o načinu i uvjetima povrata sredstava u proračun Istarske županije za izgradnju ŽCGO Kaštijun kojim je definirano da će uplaćena sredstva predstavljati vlasnički udio u trgovačkom društvu Kaštijun d.o.o. te smanjenja u iznosu od 9,85 eura radi usklađenja vrijednosti temeljnog kapitala u trgovačkim društvima Istarska autocesta d.o.o. i 6. maj odvodnja d.o.o. zbog uvođenja eura.</w:t>
      </w:r>
    </w:p>
    <w:p w:rsidR="00E925E1" w:rsidRDefault="00E925E1"/>
    <w:p w:rsidR="00E925E1"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16</w:t>
            </w:r>
          </w:p>
        </w:tc>
        <w:tc>
          <w:tcPr>
            <w:tcW w:w="3180" w:type="dxa"/>
            <w:tcMar>
              <w:top w:w="0" w:type="dxa"/>
              <w:bottom w:w="0" w:type="dxa"/>
            </w:tcMar>
            <w:vAlign w:val="center"/>
          </w:tcPr>
          <w:p w:rsidR="00E925E1"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E925E1" w:rsidRDefault="00000000">
            <w:pPr>
              <w:keepNext/>
              <w:keepLines/>
              <w:spacing w:after="0" w:line="240" w:lineRule="auto"/>
            </w:pPr>
            <w:r>
              <w:rPr>
                <w:sz w:val="18"/>
              </w:rPr>
              <w:t>16</w:t>
            </w:r>
          </w:p>
        </w:tc>
        <w:tc>
          <w:tcPr>
            <w:tcW w:w="1860" w:type="dxa"/>
            <w:tcMar>
              <w:top w:w="0" w:type="dxa"/>
              <w:bottom w:w="0" w:type="dxa"/>
            </w:tcMar>
            <w:vAlign w:val="center"/>
          </w:tcPr>
          <w:p w:rsidR="00E925E1" w:rsidRDefault="00000000">
            <w:pPr>
              <w:keepNext/>
              <w:keepLines/>
              <w:spacing w:after="0" w:line="240" w:lineRule="auto"/>
              <w:jc w:val="right"/>
            </w:pPr>
            <w:r>
              <w:rPr>
                <w:sz w:val="18"/>
              </w:rPr>
              <w:t>942.368,93</w:t>
            </w:r>
          </w:p>
        </w:tc>
        <w:tc>
          <w:tcPr>
            <w:tcW w:w="1860" w:type="dxa"/>
            <w:tcMar>
              <w:top w:w="0" w:type="dxa"/>
              <w:bottom w:w="0" w:type="dxa"/>
            </w:tcMar>
            <w:vAlign w:val="center"/>
          </w:tcPr>
          <w:p w:rsidR="00E925E1" w:rsidRDefault="00000000">
            <w:pPr>
              <w:keepNext/>
              <w:keepLines/>
              <w:spacing w:after="0" w:line="240" w:lineRule="auto"/>
              <w:jc w:val="right"/>
            </w:pPr>
            <w:r>
              <w:rPr>
                <w:sz w:val="18"/>
              </w:rPr>
              <w:t>1.740.730,91</w:t>
            </w:r>
          </w:p>
        </w:tc>
        <w:tc>
          <w:tcPr>
            <w:tcW w:w="700" w:type="dxa"/>
            <w:tcMar>
              <w:top w:w="0" w:type="dxa"/>
              <w:bottom w:w="0" w:type="dxa"/>
            </w:tcMar>
            <w:vAlign w:val="center"/>
          </w:tcPr>
          <w:p w:rsidR="00E925E1" w:rsidRDefault="00000000">
            <w:pPr>
              <w:keepNext/>
              <w:keepLines/>
              <w:spacing w:after="0" w:line="240" w:lineRule="auto"/>
              <w:jc w:val="right"/>
            </w:pPr>
            <w:r>
              <w:rPr>
                <w:sz w:val="18"/>
              </w:rPr>
              <w:t>184,7</w:t>
            </w:r>
          </w:p>
        </w:tc>
      </w:tr>
    </w:tbl>
    <w:p w:rsidR="00E925E1" w:rsidRDefault="00E925E1">
      <w:pPr>
        <w:spacing w:after="0"/>
      </w:pPr>
    </w:p>
    <w:p w:rsidR="00E925E1" w:rsidRDefault="00000000">
      <w:r>
        <w:t>Vrijednosno najznačajniji iznosi potraživanja su po osnovi komunalne naknade (283.504,05 eura) i komunalnog doprinosa (898.380,46 eura). Na temelju izvještaja Porezne uprave evidentirano je potraživanje za porez na promet nekretnina je 248.413,83 eura i potraživanje za porez na nekretnine 253.787,30 eura.</w:t>
      </w:r>
    </w:p>
    <w:p w:rsidR="00E925E1" w:rsidRDefault="00000000">
      <w:r>
        <w:t>Evidentirano potraživanje za zajedničke prihode iznosi ukupno 260.148,97 eura, a odnosi se na porez na nekretnine, naknadu za legalizaciju, zakup poljoprivrednog zemljišta u vlasništvu RH, zakup turističkog zemljišta i spomeničku rentu.</w:t>
      </w:r>
    </w:p>
    <w:p w:rsidR="00E925E1" w:rsidRDefault="00000000">
      <w:r>
        <w:t>Ukupan ispravak vrijednosti potraživanja za prihode poslovanja na dan 31.12.2025. godine iznosi 520.251,58 eura i za 9,3% manji je u odnosu na početno stanje. Najveći dio ispravka vrijednosti potraživanja 202.186,37 eura odnosi se na komunalni doprinos, a ispravak vrijednosti evidentiran prema izvješću Porezne uprave za porez na promet nekretnina, porez na potrošnju i porez na kuće za odmor iznosi 109.341,69 eura.</w:t>
      </w:r>
    </w:p>
    <w:p w:rsidR="00E925E1" w:rsidRDefault="00E925E1"/>
    <w:p w:rsidR="00E925E1"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17</w:t>
            </w:r>
          </w:p>
        </w:tc>
        <w:tc>
          <w:tcPr>
            <w:tcW w:w="3180" w:type="dxa"/>
            <w:tcMar>
              <w:top w:w="0" w:type="dxa"/>
              <w:bottom w:w="0" w:type="dxa"/>
            </w:tcMar>
            <w:vAlign w:val="center"/>
          </w:tcPr>
          <w:p w:rsidR="00E925E1"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rsidR="00E925E1" w:rsidRDefault="00000000">
            <w:pPr>
              <w:keepNext/>
              <w:keepLines/>
              <w:spacing w:after="0" w:line="240" w:lineRule="auto"/>
            </w:pPr>
            <w:r>
              <w:rPr>
                <w:sz w:val="18"/>
              </w:rPr>
              <w:t>17</w:t>
            </w:r>
          </w:p>
        </w:tc>
        <w:tc>
          <w:tcPr>
            <w:tcW w:w="1860" w:type="dxa"/>
            <w:tcMar>
              <w:top w:w="0" w:type="dxa"/>
              <w:bottom w:w="0" w:type="dxa"/>
            </w:tcMar>
            <w:vAlign w:val="center"/>
          </w:tcPr>
          <w:p w:rsidR="00E925E1" w:rsidRDefault="00000000">
            <w:pPr>
              <w:keepNext/>
              <w:keepLines/>
              <w:spacing w:after="0" w:line="240" w:lineRule="auto"/>
              <w:jc w:val="right"/>
            </w:pPr>
            <w:r>
              <w:rPr>
                <w:sz w:val="18"/>
              </w:rPr>
              <w:t>87.235,22</w:t>
            </w:r>
          </w:p>
        </w:tc>
        <w:tc>
          <w:tcPr>
            <w:tcW w:w="1860" w:type="dxa"/>
            <w:tcMar>
              <w:top w:w="0" w:type="dxa"/>
              <w:bottom w:w="0" w:type="dxa"/>
            </w:tcMar>
            <w:vAlign w:val="center"/>
          </w:tcPr>
          <w:p w:rsidR="00E925E1" w:rsidRDefault="00000000">
            <w:pPr>
              <w:keepNext/>
              <w:keepLines/>
              <w:spacing w:after="0" w:line="240" w:lineRule="auto"/>
              <w:jc w:val="right"/>
            </w:pPr>
            <w:r>
              <w:rPr>
                <w:sz w:val="18"/>
              </w:rPr>
              <w:t>255.082,25</w:t>
            </w:r>
          </w:p>
        </w:tc>
        <w:tc>
          <w:tcPr>
            <w:tcW w:w="700" w:type="dxa"/>
            <w:tcMar>
              <w:top w:w="0" w:type="dxa"/>
              <w:bottom w:w="0" w:type="dxa"/>
            </w:tcMar>
            <w:vAlign w:val="center"/>
          </w:tcPr>
          <w:p w:rsidR="00E925E1" w:rsidRDefault="00000000">
            <w:pPr>
              <w:keepNext/>
              <w:keepLines/>
              <w:spacing w:after="0" w:line="240" w:lineRule="auto"/>
              <w:jc w:val="right"/>
            </w:pPr>
            <w:r>
              <w:rPr>
                <w:sz w:val="18"/>
              </w:rPr>
              <w:t>292,4</w:t>
            </w:r>
          </w:p>
        </w:tc>
      </w:tr>
    </w:tbl>
    <w:p w:rsidR="00E925E1" w:rsidRDefault="00E925E1">
      <w:pPr>
        <w:spacing w:after="0"/>
      </w:pPr>
    </w:p>
    <w:p w:rsidR="00E925E1" w:rsidRDefault="00000000">
      <w:r>
        <w:lastRenderedPageBreak/>
        <w:t>Iznos od 18.003,70 eura odnosi se na potraživanja za zajedničke prihode, odnosno  prihod od prodaje poljoprivrednog zemljišta u vlasništvu RH. Ukupan ispravak vrijednosti potraživanja za prodanu nefinancijsku imovinu iznosi 62.066,35 eura.</w:t>
      </w:r>
    </w:p>
    <w:p w:rsidR="00E925E1" w:rsidRDefault="00E925E1"/>
    <w:p w:rsidR="00E925E1"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19</w:t>
            </w:r>
          </w:p>
        </w:tc>
        <w:tc>
          <w:tcPr>
            <w:tcW w:w="3180" w:type="dxa"/>
            <w:tcMar>
              <w:top w:w="0" w:type="dxa"/>
              <w:bottom w:w="0" w:type="dxa"/>
            </w:tcMar>
            <w:vAlign w:val="center"/>
          </w:tcPr>
          <w:p w:rsidR="00E925E1"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E925E1" w:rsidRDefault="00000000">
            <w:pPr>
              <w:keepNext/>
              <w:keepLines/>
              <w:spacing w:after="0" w:line="240" w:lineRule="auto"/>
            </w:pPr>
            <w:r>
              <w:rPr>
                <w:sz w:val="18"/>
              </w:rPr>
              <w:t>19</w:t>
            </w:r>
          </w:p>
        </w:tc>
        <w:tc>
          <w:tcPr>
            <w:tcW w:w="1860" w:type="dxa"/>
            <w:tcMar>
              <w:top w:w="0" w:type="dxa"/>
              <w:bottom w:w="0" w:type="dxa"/>
            </w:tcMar>
            <w:vAlign w:val="center"/>
          </w:tcPr>
          <w:p w:rsidR="00E925E1" w:rsidRDefault="00000000">
            <w:pPr>
              <w:keepNext/>
              <w:keepLines/>
              <w:spacing w:after="0" w:line="240" w:lineRule="auto"/>
              <w:jc w:val="right"/>
            </w:pPr>
            <w:r>
              <w:rPr>
                <w:sz w:val="18"/>
              </w:rPr>
              <w:t>72.011,61</w:t>
            </w:r>
          </w:p>
        </w:tc>
        <w:tc>
          <w:tcPr>
            <w:tcW w:w="1860" w:type="dxa"/>
            <w:tcMar>
              <w:top w:w="0" w:type="dxa"/>
              <w:bottom w:w="0" w:type="dxa"/>
            </w:tcMar>
            <w:vAlign w:val="center"/>
          </w:tcPr>
          <w:p w:rsidR="00E925E1" w:rsidRDefault="00000000">
            <w:pPr>
              <w:keepNext/>
              <w:keepLines/>
              <w:spacing w:after="0" w:line="240" w:lineRule="auto"/>
              <w:jc w:val="right"/>
            </w:pPr>
            <w:r>
              <w:rPr>
                <w:sz w:val="18"/>
              </w:rPr>
              <w:t>163.515,86</w:t>
            </w:r>
          </w:p>
        </w:tc>
        <w:tc>
          <w:tcPr>
            <w:tcW w:w="700" w:type="dxa"/>
            <w:tcMar>
              <w:top w:w="0" w:type="dxa"/>
              <w:bottom w:w="0" w:type="dxa"/>
            </w:tcMar>
            <w:vAlign w:val="center"/>
          </w:tcPr>
          <w:p w:rsidR="00E925E1" w:rsidRDefault="00000000">
            <w:pPr>
              <w:keepNext/>
              <w:keepLines/>
              <w:spacing w:after="0" w:line="240" w:lineRule="auto"/>
              <w:jc w:val="right"/>
            </w:pPr>
            <w:r>
              <w:rPr>
                <w:sz w:val="18"/>
              </w:rPr>
              <w:t>227,1</w:t>
            </w:r>
          </w:p>
        </w:tc>
      </w:tr>
    </w:tbl>
    <w:p w:rsidR="00E925E1" w:rsidRDefault="00E925E1">
      <w:pPr>
        <w:spacing w:after="0"/>
      </w:pPr>
    </w:p>
    <w:p w:rsidR="00E925E1" w:rsidRDefault="00000000">
      <w:r>
        <w:t>Najveći dio rashoda budućih razdoblja odnosi se na nedospjele, ugovorene obveze: Ugovor o isplati kapitalne pomoći Dnevnom centru Veruda 64.429,53 eura, Ugovor o sufinanciranju kreditne obveze Specijalne bolnice za ortopediju i rehabilitaciju „Martin Horvat“ Rovinj 35.576,28 eura i Sporazum s Istarskom županijom o promicanju dvojezičnosti 3.000,00 eura. Iznos od 47.981,70 eura odnosi se na ugovorene kamate po kreditima, iznos od 9.515,25 eura na godišnje premije osiguranja, a razlika od 3.013,10 eura na godišnje pretplate za stručnu literaturu.</w:t>
      </w:r>
    </w:p>
    <w:p w:rsidR="00E925E1" w:rsidRDefault="00E925E1"/>
    <w:p w:rsidR="00E925E1"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239</w:t>
            </w:r>
          </w:p>
        </w:tc>
        <w:tc>
          <w:tcPr>
            <w:tcW w:w="3180" w:type="dxa"/>
            <w:tcMar>
              <w:top w:w="0" w:type="dxa"/>
              <w:bottom w:w="0" w:type="dxa"/>
            </w:tcMar>
            <w:vAlign w:val="center"/>
          </w:tcPr>
          <w:p w:rsidR="00E925E1" w:rsidRDefault="00000000">
            <w:pPr>
              <w:keepNext/>
              <w:keepLines/>
              <w:spacing w:after="0" w:line="240" w:lineRule="auto"/>
            </w:pPr>
            <w:r>
              <w:rPr>
                <w:sz w:val="18"/>
              </w:rPr>
              <w:t>Ostale tekuće obveze</w:t>
            </w:r>
          </w:p>
        </w:tc>
        <w:tc>
          <w:tcPr>
            <w:tcW w:w="700" w:type="dxa"/>
            <w:tcMar>
              <w:top w:w="0" w:type="dxa"/>
              <w:bottom w:w="0" w:type="dxa"/>
            </w:tcMar>
            <w:vAlign w:val="center"/>
          </w:tcPr>
          <w:p w:rsidR="00E925E1" w:rsidRDefault="00000000">
            <w:pPr>
              <w:keepNext/>
              <w:keepLines/>
              <w:spacing w:after="0" w:line="240" w:lineRule="auto"/>
            </w:pPr>
            <w:r>
              <w:rPr>
                <w:sz w:val="18"/>
              </w:rPr>
              <w:t>239</w:t>
            </w:r>
          </w:p>
        </w:tc>
        <w:tc>
          <w:tcPr>
            <w:tcW w:w="1860" w:type="dxa"/>
            <w:tcMar>
              <w:top w:w="0" w:type="dxa"/>
              <w:bottom w:w="0" w:type="dxa"/>
            </w:tcMar>
            <w:vAlign w:val="center"/>
          </w:tcPr>
          <w:p w:rsidR="00E925E1" w:rsidRDefault="00000000">
            <w:pPr>
              <w:keepNext/>
              <w:keepLines/>
              <w:spacing w:after="0" w:line="240" w:lineRule="auto"/>
              <w:jc w:val="right"/>
            </w:pPr>
            <w:r>
              <w:rPr>
                <w:sz w:val="18"/>
              </w:rPr>
              <w:t>61.701,50</w:t>
            </w:r>
          </w:p>
        </w:tc>
        <w:tc>
          <w:tcPr>
            <w:tcW w:w="1860" w:type="dxa"/>
            <w:tcMar>
              <w:top w:w="0" w:type="dxa"/>
              <w:bottom w:w="0" w:type="dxa"/>
            </w:tcMar>
            <w:vAlign w:val="center"/>
          </w:tcPr>
          <w:p w:rsidR="00E925E1" w:rsidRDefault="00000000">
            <w:pPr>
              <w:keepNext/>
              <w:keepLines/>
              <w:spacing w:after="0" w:line="240" w:lineRule="auto"/>
              <w:jc w:val="right"/>
            </w:pPr>
            <w:r>
              <w:rPr>
                <w:sz w:val="18"/>
              </w:rPr>
              <w:t>38.247,62</w:t>
            </w:r>
          </w:p>
        </w:tc>
        <w:tc>
          <w:tcPr>
            <w:tcW w:w="700" w:type="dxa"/>
            <w:tcMar>
              <w:top w:w="0" w:type="dxa"/>
              <w:bottom w:w="0" w:type="dxa"/>
            </w:tcMar>
            <w:vAlign w:val="center"/>
          </w:tcPr>
          <w:p w:rsidR="00E925E1" w:rsidRDefault="00000000">
            <w:pPr>
              <w:keepNext/>
              <w:keepLines/>
              <w:spacing w:after="0" w:line="240" w:lineRule="auto"/>
              <w:jc w:val="right"/>
            </w:pPr>
            <w:r>
              <w:rPr>
                <w:sz w:val="18"/>
              </w:rPr>
              <w:t>62,0</w:t>
            </w:r>
          </w:p>
        </w:tc>
      </w:tr>
    </w:tbl>
    <w:p w:rsidR="00E925E1" w:rsidRDefault="00E925E1">
      <w:pPr>
        <w:spacing w:after="0"/>
      </w:pPr>
    </w:p>
    <w:p w:rsidR="00E925E1" w:rsidRDefault="00000000">
      <w:r>
        <w:t>Ostale tekuće obveze odnose se na obvezu za PDV prema obračunu za prosinac 2025. godine, obveze za krivo doznačena sredstva i dr. Zbog promjene u načinu evidentiranja i iskazivanja podataka obveze za predujmove, depozite, jamčevne pologe, naplaćene tuđe prihode i naplaćena sredstva proračunskih korisnika iskazani su na računima skupine 27.</w:t>
      </w:r>
    </w:p>
    <w:p w:rsidR="00E925E1" w:rsidRDefault="00000000">
      <w:r>
        <w:t> </w:t>
      </w:r>
    </w:p>
    <w:p w:rsidR="00E925E1" w:rsidRDefault="00E925E1"/>
    <w:p w:rsidR="00E925E1"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26</w:t>
            </w:r>
          </w:p>
        </w:tc>
        <w:tc>
          <w:tcPr>
            <w:tcW w:w="3180" w:type="dxa"/>
            <w:tcMar>
              <w:top w:w="0" w:type="dxa"/>
              <w:bottom w:w="0" w:type="dxa"/>
            </w:tcMar>
            <w:vAlign w:val="center"/>
          </w:tcPr>
          <w:p w:rsidR="00E925E1"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rsidR="00E925E1" w:rsidRDefault="00000000">
            <w:pPr>
              <w:keepNext/>
              <w:keepLines/>
              <w:spacing w:after="0" w:line="240" w:lineRule="auto"/>
            </w:pPr>
            <w:r>
              <w:rPr>
                <w:sz w:val="18"/>
              </w:rPr>
              <w:t>26</w:t>
            </w:r>
          </w:p>
        </w:tc>
        <w:tc>
          <w:tcPr>
            <w:tcW w:w="1860" w:type="dxa"/>
            <w:tcMar>
              <w:top w:w="0" w:type="dxa"/>
              <w:bottom w:w="0" w:type="dxa"/>
            </w:tcMar>
            <w:vAlign w:val="center"/>
          </w:tcPr>
          <w:p w:rsidR="00E925E1" w:rsidRDefault="00000000">
            <w:pPr>
              <w:keepNext/>
              <w:keepLines/>
              <w:spacing w:after="0" w:line="240" w:lineRule="auto"/>
              <w:jc w:val="right"/>
            </w:pPr>
            <w:r>
              <w:rPr>
                <w:sz w:val="18"/>
              </w:rPr>
              <w:t>851.580,22</w:t>
            </w:r>
          </w:p>
        </w:tc>
        <w:tc>
          <w:tcPr>
            <w:tcW w:w="1860" w:type="dxa"/>
            <w:tcMar>
              <w:top w:w="0" w:type="dxa"/>
              <w:bottom w:w="0" w:type="dxa"/>
            </w:tcMar>
            <w:vAlign w:val="center"/>
          </w:tcPr>
          <w:p w:rsidR="00E925E1" w:rsidRDefault="00000000">
            <w:pPr>
              <w:keepNext/>
              <w:keepLines/>
              <w:spacing w:after="0" w:line="240" w:lineRule="auto"/>
              <w:jc w:val="right"/>
            </w:pPr>
            <w:r>
              <w:rPr>
                <w:sz w:val="18"/>
              </w:rPr>
              <w:t>715.201,67</w:t>
            </w:r>
          </w:p>
        </w:tc>
        <w:tc>
          <w:tcPr>
            <w:tcW w:w="700" w:type="dxa"/>
            <w:tcMar>
              <w:top w:w="0" w:type="dxa"/>
              <w:bottom w:w="0" w:type="dxa"/>
            </w:tcMar>
            <w:vAlign w:val="center"/>
          </w:tcPr>
          <w:p w:rsidR="00E925E1" w:rsidRDefault="00000000">
            <w:pPr>
              <w:keepNext/>
              <w:keepLines/>
              <w:spacing w:after="0" w:line="240" w:lineRule="auto"/>
              <w:jc w:val="right"/>
            </w:pPr>
            <w:r>
              <w:rPr>
                <w:sz w:val="18"/>
              </w:rPr>
              <w:t>84,0</w:t>
            </w:r>
          </w:p>
        </w:tc>
      </w:tr>
    </w:tbl>
    <w:p w:rsidR="00E925E1" w:rsidRDefault="00E925E1">
      <w:pPr>
        <w:spacing w:after="0"/>
      </w:pPr>
    </w:p>
    <w:p w:rsidR="00E925E1" w:rsidRDefault="00000000">
      <w:r>
        <w:t xml:space="preserve">Iskazane obveze odnose se na dugoročne kredite za provedbu projekata energetske obnove zgrada u vlasništvu Grada, projekta zamjene javne rasvjete LED rasvjetom te na kredit za </w:t>
      </w:r>
      <w:r>
        <w:lastRenderedPageBreak/>
        <w:t>financiranje zamjene krovišta na zgradi stare škole na Trgu sv. Servula. Sve kreditne obveze uredno se izvršavaju prema ugovorenim otplatnim planovima.</w:t>
      </w:r>
    </w:p>
    <w:p w:rsidR="00E925E1" w:rsidRDefault="00E925E1"/>
    <w:p w:rsidR="00E925E1"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27</w:t>
            </w:r>
          </w:p>
        </w:tc>
        <w:tc>
          <w:tcPr>
            <w:tcW w:w="3180" w:type="dxa"/>
            <w:tcMar>
              <w:top w:w="0" w:type="dxa"/>
              <w:bottom w:w="0" w:type="dxa"/>
            </w:tcMar>
            <w:vAlign w:val="center"/>
          </w:tcPr>
          <w:p w:rsidR="00E925E1"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E925E1" w:rsidRDefault="00000000">
            <w:pPr>
              <w:keepNext/>
              <w:keepLines/>
              <w:spacing w:after="0" w:line="240" w:lineRule="auto"/>
            </w:pPr>
            <w:r>
              <w:rPr>
                <w:sz w:val="18"/>
              </w:rPr>
              <w:t>27</w:t>
            </w:r>
          </w:p>
        </w:tc>
        <w:tc>
          <w:tcPr>
            <w:tcW w:w="1860" w:type="dxa"/>
            <w:tcMar>
              <w:top w:w="0" w:type="dxa"/>
              <w:bottom w:w="0" w:type="dxa"/>
            </w:tcMar>
            <w:vAlign w:val="center"/>
          </w:tcPr>
          <w:p w:rsidR="00E925E1" w:rsidRDefault="00000000">
            <w:pPr>
              <w:keepNext/>
              <w:keepLines/>
              <w:spacing w:after="0" w:line="240" w:lineRule="auto"/>
              <w:jc w:val="right"/>
            </w:pPr>
            <w:r>
              <w:rPr>
                <w:sz w:val="18"/>
              </w:rPr>
              <w:t>148.904,31</w:t>
            </w:r>
          </w:p>
        </w:tc>
        <w:tc>
          <w:tcPr>
            <w:tcW w:w="1860" w:type="dxa"/>
            <w:tcMar>
              <w:top w:w="0" w:type="dxa"/>
              <w:bottom w:w="0" w:type="dxa"/>
            </w:tcMar>
            <w:vAlign w:val="center"/>
          </w:tcPr>
          <w:p w:rsidR="00E925E1" w:rsidRDefault="00000000">
            <w:pPr>
              <w:keepNext/>
              <w:keepLines/>
              <w:spacing w:after="0" w:line="240" w:lineRule="auto"/>
              <w:jc w:val="right"/>
            </w:pPr>
            <w:r>
              <w:rPr>
                <w:sz w:val="18"/>
              </w:rPr>
              <w:t>94.155,81</w:t>
            </w:r>
          </w:p>
        </w:tc>
        <w:tc>
          <w:tcPr>
            <w:tcW w:w="700" w:type="dxa"/>
            <w:tcMar>
              <w:top w:w="0" w:type="dxa"/>
              <w:bottom w:w="0" w:type="dxa"/>
            </w:tcMar>
            <w:vAlign w:val="center"/>
          </w:tcPr>
          <w:p w:rsidR="00E925E1" w:rsidRDefault="00000000">
            <w:pPr>
              <w:keepNext/>
              <w:keepLines/>
              <w:spacing w:after="0" w:line="240" w:lineRule="auto"/>
              <w:jc w:val="right"/>
            </w:pPr>
            <w:r>
              <w:rPr>
                <w:sz w:val="18"/>
              </w:rPr>
              <w:t>63,2</w:t>
            </w:r>
          </w:p>
        </w:tc>
      </w:tr>
    </w:tbl>
    <w:p w:rsidR="00E925E1" w:rsidRDefault="00E925E1">
      <w:pPr>
        <w:spacing w:after="0"/>
      </w:pPr>
    </w:p>
    <w:p w:rsidR="00E925E1" w:rsidRDefault="00000000">
      <w:r>
        <w:t>Obveze za predujmove, depozite, jamčevne pologe i tuđe prihode iznose ukupno 94.155,81 eura,  a odnose se na:</w:t>
      </w:r>
    </w:p>
    <w:p w:rsidR="00E925E1" w:rsidRDefault="00000000">
      <w:r>
        <w:t>-          obveze za uplaćene depozite za otklanjanje nedostataka u garantom roku u iznosu od 16.399,74 eura</w:t>
      </w:r>
    </w:p>
    <w:p w:rsidR="00E925E1" w:rsidRDefault="00000000">
      <w:r>
        <w:t>-          uplaćene jamčevine po natječajima za prodaju i zakup nekretnina u vlasništvu Grada Buja - Buie u iznosu od 30.783,95 eura</w:t>
      </w:r>
    </w:p>
    <w:p w:rsidR="00E925E1" w:rsidRDefault="00000000">
      <w:r>
        <w:t>-          obveze za naplaćene tuđe prihode odnosno naknadu za uređenje voda u iznosu od 4.849,00 eura</w:t>
      </w:r>
    </w:p>
    <w:p w:rsidR="00E925E1" w:rsidRDefault="00000000">
      <w:r>
        <w:t>-          naplaćene prihode proračunskih korisnika u ukupnom iznosu od 42.123,12 eura.</w:t>
      </w:r>
    </w:p>
    <w:p w:rsidR="00E925E1" w:rsidRDefault="00E925E1"/>
    <w:p w:rsidR="00E925E1"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29</w:t>
            </w:r>
          </w:p>
        </w:tc>
        <w:tc>
          <w:tcPr>
            <w:tcW w:w="3180" w:type="dxa"/>
            <w:tcMar>
              <w:top w:w="0" w:type="dxa"/>
              <w:bottom w:w="0" w:type="dxa"/>
            </w:tcMar>
            <w:vAlign w:val="center"/>
          </w:tcPr>
          <w:p w:rsidR="00E925E1"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rsidR="00E925E1" w:rsidRDefault="00000000">
            <w:pPr>
              <w:keepNext/>
              <w:keepLines/>
              <w:spacing w:after="0" w:line="240" w:lineRule="auto"/>
            </w:pPr>
            <w:r>
              <w:rPr>
                <w:sz w:val="18"/>
              </w:rPr>
              <w:t>29</w:t>
            </w:r>
          </w:p>
        </w:tc>
        <w:tc>
          <w:tcPr>
            <w:tcW w:w="1860" w:type="dxa"/>
            <w:tcMar>
              <w:top w:w="0" w:type="dxa"/>
              <w:bottom w:w="0" w:type="dxa"/>
            </w:tcMar>
            <w:vAlign w:val="center"/>
          </w:tcPr>
          <w:p w:rsidR="00E925E1" w:rsidRDefault="00000000">
            <w:pPr>
              <w:keepNext/>
              <w:keepLines/>
              <w:spacing w:after="0" w:line="240" w:lineRule="auto"/>
              <w:jc w:val="right"/>
            </w:pPr>
            <w:r>
              <w:rPr>
                <w:sz w:val="18"/>
              </w:rPr>
              <w:t>2.313,88</w:t>
            </w:r>
          </w:p>
        </w:tc>
        <w:tc>
          <w:tcPr>
            <w:tcW w:w="1860" w:type="dxa"/>
            <w:tcMar>
              <w:top w:w="0" w:type="dxa"/>
              <w:bottom w:w="0" w:type="dxa"/>
            </w:tcMar>
            <w:vAlign w:val="center"/>
          </w:tcPr>
          <w:p w:rsidR="00E925E1" w:rsidRDefault="00000000">
            <w:pPr>
              <w:keepNext/>
              <w:keepLines/>
              <w:spacing w:after="0" w:line="240" w:lineRule="auto"/>
              <w:jc w:val="right"/>
            </w:pPr>
            <w:r>
              <w:rPr>
                <w:sz w:val="18"/>
              </w:rPr>
              <w:t>3.988,39</w:t>
            </w:r>
          </w:p>
        </w:tc>
        <w:tc>
          <w:tcPr>
            <w:tcW w:w="700" w:type="dxa"/>
            <w:tcMar>
              <w:top w:w="0" w:type="dxa"/>
              <w:bottom w:w="0" w:type="dxa"/>
            </w:tcMar>
            <w:vAlign w:val="center"/>
          </w:tcPr>
          <w:p w:rsidR="00E925E1" w:rsidRDefault="00000000">
            <w:pPr>
              <w:keepNext/>
              <w:keepLines/>
              <w:spacing w:after="0" w:line="240" w:lineRule="auto"/>
              <w:jc w:val="right"/>
            </w:pPr>
            <w:r>
              <w:rPr>
                <w:sz w:val="18"/>
              </w:rPr>
              <w:t>172,4</w:t>
            </w:r>
          </w:p>
        </w:tc>
      </w:tr>
    </w:tbl>
    <w:p w:rsidR="00E925E1" w:rsidRDefault="00E925E1">
      <w:pPr>
        <w:spacing w:after="0"/>
      </w:pPr>
    </w:p>
    <w:p w:rsidR="00E925E1" w:rsidRDefault="00000000">
      <w:r>
        <w:t>Naplaćeni prihodi budućeg razdoblja se odnose na unaprijed uplaćene obveze po osnovi komunalne naknade, zakupa, spomeničke rente i drugih naknada.</w:t>
      </w:r>
    </w:p>
    <w:p w:rsidR="00E925E1" w:rsidRDefault="00E925E1"/>
    <w:p w:rsidR="00E925E1"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92212</w:t>
            </w:r>
          </w:p>
        </w:tc>
        <w:tc>
          <w:tcPr>
            <w:tcW w:w="3180" w:type="dxa"/>
            <w:tcMar>
              <w:top w:w="0" w:type="dxa"/>
              <w:bottom w:w="0" w:type="dxa"/>
            </w:tcMar>
            <w:vAlign w:val="center"/>
          </w:tcPr>
          <w:p w:rsidR="00E925E1" w:rsidRDefault="00000000">
            <w:pPr>
              <w:keepNext/>
              <w:keepLines/>
              <w:spacing w:after="0" w:line="240" w:lineRule="auto"/>
            </w:pPr>
            <w:r>
              <w:rPr>
                <w:sz w:val="18"/>
              </w:rPr>
              <w:t>Višak prihoda od nefinancijske imovine</w:t>
            </w:r>
          </w:p>
        </w:tc>
        <w:tc>
          <w:tcPr>
            <w:tcW w:w="700" w:type="dxa"/>
            <w:tcMar>
              <w:top w:w="0" w:type="dxa"/>
              <w:bottom w:w="0" w:type="dxa"/>
            </w:tcMar>
            <w:vAlign w:val="center"/>
          </w:tcPr>
          <w:p w:rsidR="00E925E1" w:rsidRDefault="00000000">
            <w:pPr>
              <w:keepNext/>
              <w:keepLines/>
              <w:spacing w:after="0" w:line="240" w:lineRule="auto"/>
            </w:pPr>
            <w:r>
              <w:rPr>
                <w:sz w:val="18"/>
              </w:rPr>
              <w:t>92212</w:t>
            </w:r>
          </w:p>
        </w:tc>
        <w:tc>
          <w:tcPr>
            <w:tcW w:w="1860" w:type="dxa"/>
            <w:tcMar>
              <w:top w:w="0" w:type="dxa"/>
              <w:bottom w:w="0" w:type="dxa"/>
            </w:tcMar>
            <w:vAlign w:val="center"/>
          </w:tcPr>
          <w:p w:rsidR="00E925E1" w:rsidRDefault="00000000">
            <w:pPr>
              <w:keepNext/>
              <w:keepLines/>
              <w:spacing w:after="0" w:line="240" w:lineRule="auto"/>
              <w:jc w:val="right"/>
            </w:pPr>
            <w:r>
              <w:rPr>
                <w:sz w:val="18"/>
              </w:rPr>
              <w:t>1.226.265,38</w:t>
            </w:r>
          </w:p>
        </w:tc>
        <w:tc>
          <w:tcPr>
            <w:tcW w:w="1860" w:type="dxa"/>
            <w:tcMar>
              <w:top w:w="0" w:type="dxa"/>
              <w:bottom w:w="0" w:type="dxa"/>
            </w:tcMar>
            <w:vAlign w:val="center"/>
          </w:tcPr>
          <w:p w:rsidR="00E925E1" w:rsidRDefault="00000000">
            <w:pPr>
              <w:keepNext/>
              <w:keepLines/>
              <w:spacing w:after="0" w:line="240" w:lineRule="auto"/>
              <w:jc w:val="right"/>
            </w:pPr>
            <w:r>
              <w:rPr>
                <w:sz w:val="18"/>
              </w:rPr>
              <w:t>1.065.537,07</w:t>
            </w:r>
          </w:p>
        </w:tc>
        <w:tc>
          <w:tcPr>
            <w:tcW w:w="700" w:type="dxa"/>
            <w:tcMar>
              <w:top w:w="0" w:type="dxa"/>
              <w:bottom w:w="0" w:type="dxa"/>
            </w:tcMar>
            <w:vAlign w:val="center"/>
          </w:tcPr>
          <w:p w:rsidR="00E925E1" w:rsidRDefault="00000000">
            <w:pPr>
              <w:keepNext/>
              <w:keepLines/>
              <w:spacing w:after="0" w:line="240" w:lineRule="auto"/>
              <w:jc w:val="right"/>
            </w:pPr>
            <w:r>
              <w:rPr>
                <w:sz w:val="18"/>
              </w:rPr>
              <w:t>86,9</w:t>
            </w:r>
          </w:p>
        </w:tc>
      </w:tr>
    </w:tbl>
    <w:p w:rsidR="00E925E1" w:rsidRDefault="00E925E1">
      <w:pPr>
        <w:spacing w:after="0"/>
      </w:pPr>
    </w:p>
    <w:p w:rsidR="00E925E1" w:rsidRDefault="00000000">
      <w:r>
        <w:t>Višak prihoda od nefinancijske imovine iznosi 1.065.537,07, a utvrđen je na sljedeći način:</w:t>
      </w:r>
    </w:p>
    <w:p w:rsidR="00E925E1" w:rsidRDefault="00000000">
      <w:r>
        <w:lastRenderedPageBreak/>
        <w:t>manjak prihoda u 2025. godini šifra Y002 – PR-RAS</w:t>
      </w:r>
      <w:r>
        <w:br/>
        <w:t>-978.262,81</w:t>
      </w:r>
      <w:r>
        <w:br/>
        <w:t>prijenosi proračunskim korisnicima  iz nadležnog proračuna za nabavu nefinancijske imovine šifra 3673 – PR-RAS</w:t>
      </w:r>
      <w:r>
        <w:br/>
        <w:t>-2.693,25</w:t>
      </w:r>
      <w:r>
        <w:br/>
        <w:t>kapitalne pomoći od institucija i tijela EU šifra 6324 – PR-RAS</w:t>
      </w:r>
      <w:r>
        <w:br/>
        <w:t>+15.000,00</w:t>
      </w:r>
      <w:r>
        <w:br/>
        <w:t>kapitalne pomoći proračunu iz drugih proračuna šifra 6332 – PR-RAS</w:t>
      </w:r>
      <w:r>
        <w:br/>
        <w:t>+193.400,00</w:t>
      </w:r>
      <w:r>
        <w:br/>
        <w:t>investicijsko održavanje građevinskih objekata šifra 3232 – PR-RAS (dio)</w:t>
      </w:r>
      <w:r>
        <w:br/>
        <w:t>-55.179,19</w:t>
      </w:r>
      <w:r>
        <w:br/>
        <w:t>izdaci za dionice i udjele u glavnici trgovačkih društava u javnom sektoru šifra 532 – PR-RAS                                        </w:t>
      </w:r>
      <w:r>
        <w:br/>
        <w:t>-11.618,00</w:t>
      </w:r>
      <w:r>
        <w:br/>
        <w:t>preneseni višak šifra 92212 –  PR-RAS            </w:t>
      </w:r>
      <w:r>
        <w:br/>
        <w:t>+1.904.890,32</w:t>
      </w:r>
    </w:p>
    <w:p w:rsidR="00E925E1" w:rsidRDefault="00E925E1"/>
    <w:p w:rsidR="00E925E1"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92213</w:t>
            </w:r>
          </w:p>
        </w:tc>
        <w:tc>
          <w:tcPr>
            <w:tcW w:w="3180" w:type="dxa"/>
            <w:tcMar>
              <w:top w:w="0" w:type="dxa"/>
              <w:bottom w:w="0" w:type="dxa"/>
            </w:tcMar>
            <w:vAlign w:val="center"/>
          </w:tcPr>
          <w:p w:rsidR="00E925E1" w:rsidRDefault="00000000">
            <w:pPr>
              <w:keepNext/>
              <w:keepLines/>
              <w:spacing w:after="0" w:line="240" w:lineRule="auto"/>
            </w:pPr>
            <w:r>
              <w:rPr>
                <w:sz w:val="18"/>
              </w:rPr>
              <w:t>Višak primitaka od financijske imovine</w:t>
            </w:r>
          </w:p>
        </w:tc>
        <w:tc>
          <w:tcPr>
            <w:tcW w:w="700" w:type="dxa"/>
            <w:tcMar>
              <w:top w:w="0" w:type="dxa"/>
              <w:bottom w:w="0" w:type="dxa"/>
            </w:tcMar>
            <w:vAlign w:val="center"/>
          </w:tcPr>
          <w:p w:rsidR="00E925E1" w:rsidRDefault="00000000">
            <w:pPr>
              <w:keepNext/>
              <w:keepLines/>
              <w:spacing w:after="0" w:line="240" w:lineRule="auto"/>
            </w:pPr>
            <w:r>
              <w:rPr>
                <w:sz w:val="18"/>
              </w:rPr>
              <w:t>92213</w:t>
            </w:r>
          </w:p>
        </w:tc>
        <w:tc>
          <w:tcPr>
            <w:tcW w:w="1860" w:type="dxa"/>
            <w:tcMar>
              <w:top w:w="0" w:type="dxa"/>
              <w:bottom w:w="0" w:type="dxa"/>
            </w:tcMar>
            <w:vAlign w:val="center"/>
          </w:tcPr>
          <w:p w:rsidR="00E925E1" w:rsidRDefault="00000000">
            <w:pPr>
              <w:keepNext/>
              <w:keepLines/>
              <w:spacing w:after="0" w:line="240" w:lineRule="auto"/>
              <w:jc w:val="right"/>
            </w:pPr>
            <w:r>
              <w:rPr>
                <w:sz w:val="18"/>
              </w:rPr>
              <w:t>851.580,22</w:t>
            </w:r>
          </w:p>
        </w:tc>
        <w:tc>
          <w:tcPr>
            <w:tcW w:w="1860" w:type="dxa"/>
            <w:tcMar>
              <w:top w:w="0" w:type="dxa"/>
              <w:bottom w:w="0" w:type="dxa"/>
            </w:tcMar>
            <w:vAlign w:val="center"/>
          </w:tcPr>
          <w:p w:rsidR="00E925E1" w:rsidRDefault="00000000">
            <w:pPr>
              <w:keepNext/>
              <w:keepLines/>
              <w:spacing w:after="0" w:line="240" w:lineRule="auto"/>
              <w:jc w:val="right"/>
            </w:pPr>
            <w:r>
              <w:rPr>
                <w:sz w:val="18"/>
              </w:rPr>
              <w:t>715.201,67</w:t>
            </w:r>
          </w:p>
        </w:tc>
        <w:tc>
          <w:tcPr>
            <w:tcW w:w="700" w:type="dxa"/>
            <w:tcMar>
              <w:top w:w="0" w:type="dxa"/>
              <w:bottom w:w="0" w:type="dxa"/>
            </w:tcMar>
            <w:vAlign w:val="center"/>
          </w:tcPr>
          <w:p w:rsidR="00E925E1" w:rsidRDefault="00000000">
            <w:pPr>
              <w:keepNext/>
              <w:keepLines/>
              <w:spacing w:after="0" w:line="240" w:lineRule="auto"/>
              <w:jc w:val="right"/>
            </w:pPr>
            <w:r>
              <w:rPr>
                <w:sz w:val="18"/>
              </w:rPr>
              <w:t>84,0</w:t>
            </w:r>
          </w:p>
        </w:tc>
      </w:tr>
    </w:tbl>
    <w:p w:rsidR="00E925E1" w:rsidRDefault="00E925E1">
      <w:pPr>
        <w:spacing w:after="0"/>
      </w:pPr>
    </w:p>
    <w:p w:rsidR="00E925E1" w:rsidRDefault="00000000">
      <w:r>
        <w:t>Višak primitaka od financijske imovine iznosi 715.201,67 eura, a utvrđen je na sljedeći način:</w:t>
      </w:r>
    </w:p>
    <w:p w:rsidR="00E925E1" w:rsidRDefault="00000000">
      <w:r>
        <w:t>manjak primitaka u 2025. godini šifra Y003 – PR-RAS</w:t>
      </w:r>
      <w:r>
        <w:br/>
        <w:t>-147.996,55</w:t>
      </w:r>
      <w:r>
        <w:br/>
        <w:t>izdaci za dionice i udjele u glavnici trgovačkih društava u javnom sektoru šifra 532 – PR-RAS                                        </w:t>
      </w:r>
      <w:r>
        <w:br/>
        <w:t>+11.618,00</w:t>
      </w:r>
      <w:r>
        <w:br/>
        <w:t>preneseni višak šifra 92213 – PR-RAS                  </w:t>
      </w:r>
      <w:r>
        <w:br/>
        <w:t>+851.580,22</w:t>
      </w:r>
    </w:p>
    <w:p w:rsidR="00E925E1" w:rsidRDefault="00E925E1"/>
    <w:p w:rsidR="00E925E1"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92221</w:t>
            </w:r>
          </w:p>
        </w:tc>
        <w:tc>
          <w:tcPr>
            <w:tcW w:w="3180" w:type="dxa"/>
            <w:tcMar>
              <w:top w:w="0" w:type="dxa"/>
              <w:bottom w:w="0" w:type="dxa"/>
            </w:tcMar>
            <w:vAlign w:val="center"/>
          </w:tcPr>
          <w:p w:rsidR="00E925E1" w:rsidRDefault="00000000">
            <w:pPr>
              <w:keepNext/>
              <w:keepLines/>
              <w:spacing w:after="0" w:line="240" w:lineRule="auto"/>
            </w:pPr>
            <w:r>
              <w:rPr>
                <w:sz w:val="18"/>
              </w:rPr>
              <w:t>Manjak prihoda poslovanja</w:t>
            </w:r>
          </w:p>
        </w:tc>
        <w:tc>
          <w:tcPr>
            <w:tcW w:w="700" w:type="dxa"/>
            <w:tcMar>
              <w:top w:w="0" w:type="dxa"/>
              <w:bottom w:w="0" w:type="dxa"/>
            </w:tcMar>
            <w:vAlign w:val="center"/>
          </w:tcPr>
          <w:p w:rsidR="00E925E1" w:rsidRDefault="00000000">
            <w:pPr>
              <w:keepNext/>
              <w:keepLines/>
              <w:spacing w:after="0" w:line="240" w:lineRule="auto"/>
            </w:pPr>
            <w:r>
              <w:rPr>
                <w:sz w:val="18"/>
              </w:rPr>
              <w:t>92221</w:t>
            </w:r>
          </w:p>
        </w:tc>
        <w:tc>
          <w:tcPr>
            <w:tcW w:w="1860" w:type="dxa"/>
            <w:tcMar>
              <w:top w:w="0" w:type="dxa"/>
              <w:bottom w:w="0" w:type="dxa"/>
            </w:tcMar>
            <w:vAlign w:val="center"/>
          </w:tcPr>
          <w:p w:rsidR="00E925E1" w:rsidRDefault="00000000">
            <w:pPr>
              <w:keepNext/>
              <w:keepLines/>
              <w:spacing w:after="0" w:line="240" w:lineRule="auto"/>
              <w:jc w:val="right"/>
            </w:pPr>
            <w:r>
              <w:rPr>
                <w:sz w:val="18"/>
              </w:rPr>
              <w:t>1.577.589,55</w:t>
            </w:r>
          </w:p>
        </w:tc>
        <w:tc>
          <w:tcPr>
            <w:tcW w:w="1860" w:type="dxa"/>
            <w:tcMar>
              <w:top w:w="0" w:type="dxa"/>
              <w:bottom w:w="0" w:type="dxa"/>
            </w:tcMar>
            <w:vAlign w:val="center"/>
          </w:tcPr>
          <w:p w:rsidR="00E925E1" w:rsidRDefault="00000000">
            <w:pPr>
              <w:keepNext/>
              <w:keepLines/>
              <w:spacing w:after="0" w:line="240" w:lineRule="auto"/>
              <w:jc w:val="right"/>
            </w:pPr>
            <w:r>
              <w:rPr>
                <w:sz w:val="18"/>
              </w:rPr>
              <w:t>1.385.509,99</w:t>
            </w:r>
          </w:p>
        </w:tc>
        <w:tc>
          <w:tcPr>
            <w:tcW w:w="700" w:type="dxa"/>
            <w:tcMar>
              <w:top w:w="0" w:type="dxa"/>
              <w:bottom w:w="0" w:type="dxa"/>
            </w:tcMar>
            <w:vAlign w:val="center"/>
          </w:tcPr>
          <w:p w:rsidR="00E925E1" w:rsidRDefault="00000000">
            <w:pPr>
              <w:keepNext/>
              <w:keepLines/>
              <w:spacing w:after="0" w:line="240" w:lineRule="auto"/>
              <w:jc w:val="right"/>
            </w:pPr>
            <w:r>
              <w:rPr>
                <w:sz w:val="18"/>
              </w:rPr>
              <w:t>87,8</w:t>
            </w:r>
          </w:p>
        </w:tc>
      </w:tr>
    </w:tbl>
    <w:p w:rsidR="00E925E1" w:rsidRDefault="00E925E1">
      <w:pPr>
        <w:spacing w:after="0"/>
      </w:pPr>
    </w:p>
    <w:p w:rsidR="00E925E1" w:rsidRDefault="00000000">
      <w:r>
        <w:t>Manjak prihoda poslovanja iznosi 1.385.509,99 eura, a utvrđen je na sljedeći način:</w:t>
      </w:r>
    </w:p>
    <w:p w:rsidR="00E925E1" w:rsidRDefault="00000000">
      <w:r>
        <w:lastRenderedPageBreak/>
        <w:t>višak prihoda u 2025. godini šifra X001 – PR-RAS</w:t>
      </w:r>
      <w:r>
        <w:br/>
        <w:t>+1.010.680,60</w:t>
      </w:r>
      <w:r>
        <w:br/>
        <w:t>prijenosi proračunskim korisnicima  iz nadležnog proračuna za nabavu nefinancijske imovine šifra 3673 – PR-RAS</w:t>
      </w:r>
      <w:r>
        <w:br/>
        <w:t>+2.693,25</w:t>
      </w:r>
      <w:r>
        <w:br/>
        <w:t>kapitalne pomoći od institucija i tijela EU šifra 6324 – PR-RAS</w:t>
      </w:r>
      <w:r>
        <w:br/>
        <w:t>-15.000,00</w:t>
      </w:r>
      <w:r>
        <w:br/>
        <w:t>kapitalne pomoći proračunu iz drugih proračuna šifra 6332 – PR-RAS</w:t>
      </w:r>
      <w:r>
        <w:br/>
        <w:t>-193.400,00</w:t>
      </w:r>
      <w:r>
        <w:br/>
        <w:t>investicijsko održavanje građevinskih objekata šifra 3232 – PR-RAS (dio)</w:t>
      </w:r>
      <w:r>
        <w:br/>
        <w:t>+55.179,19</w:t>
      </w:r>
      <w:r>
        <w:br/>
        <w:t>preneseni manjak šifra 92221 –  PR-RAS            </w:t>
      </w:r>
      <w:r>
        <w:br/>
        <w:t>-2.245.663,03</w:t>
      </w:r>
    </w:p>
    <w:p w:rsidR="00E925E1" w:rsidRDefault="00E925E1"/>
    <w:p w:rsidR="00E925E1"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96</w:t>
            </w:r>
          </w:p>
        </w:tc>
        <w:tc>
          <w:tcPr>
            <w:tcW w:w="3180" w:type="dxa"/>
            <w:tcMar>
              <w:top w:w="0" w:type="dxa"/>
              <w:bottom w:w="0" w:type="dxa"/>
            </w:tcMar>
            <w:vAlign w:val="center"/>
          </w:tcPr>
          <w:p w:rsidR="00E925E1"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E925E1" w:rsidRDefault="00000000">
            <w:pPr>
              <w:keepNext/>
              <w:keepLines/>
              <w:spacing w:after="0" w:line="240" w:lineRule="auto"/>
            </w:pPr>
            <w:r>
              <w:rPr>
                <w:sz w:val="18"/>
              </w:rPr>
              <w:t>96</w:t>
            </w:r>
          </w:p>
        </w:tc>
        <w:tc>
          <w:tcPr>
            <w:tcW w:w="1860" w:type="dxa"/>
            <w:tcMar>
              <w:top w:w="0" w:type="dxa"/>
              <w:bottom w:w="0" w:type="dxa"/>
            </w:tcMar>
            <w:vAlign w:val="center"/>
          </w:tcPr>
          <w:p w:rsidR="00E925E1" w:rsidRDefault="00000000">
            <w:pPr>
              <w:keepNext/>
              <w:keepLines/>
              <w:spacing w:after="0" w:line="240" w:lineRule="auto"/>
              <w:jc w:val="right"/>
            </w:pPr>
            <w:r>
              <w:rPr>
                <w:sz w:val="18"/>
              </w:rPr>
              <w:t>900.834,32</w:t>
            </w:r>
          </w:p>
        </w:tc>
        <w:tc>
          <w:tcPr>
            <w:tcW w:w="1860" w:type="dxa"/>
            <w:tcMar>
              <w:top w:w="0" w:type="dxa"/>
              <w:bottom w:w="0" w:type="dxa"/>
            </w:tcMar>
            <w:vAlign w:val="center"/>
          </w:tcPr>
          <w:p w:rsidR="00E925E1" w:rsidRDefault="00000000">
            <w:pPr>
              <w:keepNext/>
              <w:keepLines/>
              <w:spacing w:after="0" w:line="240" w:lineRule="auto"/>
              <w:jc w:val="right"/>
            </w:pPr>
            <w:r>
              <w:rPr>
                <w:sz w:val="18"/>
              </w:rPr>
              <w:t>1.708.022,75</w:t>
            </w:r>
          </w:p>
        </w:tc>
        <w:tc>
          <w:tcPr>
            <w:tcW w:w="700" w:type="dxa"/>
            <w:tcMar>
              <w:top w:w="0" w:type="dxa"/>
              <w:bottom w:w="0" w:type="dxa"/>
            </w:tcMar>
            <w:vAlign w:val="center"/>
          </w:tcPr>
          <w:p w:rsidR="00E925E1" w:rsidRDefault="00000000">
            <w:pPr>
              <w:keepNext/>
              <w:keepLines/>
              <w:spacing w:after="0" w:line="240" w:lineRule="auto"/>
              <w:jc w:val="right"/>
            </w:pPr>
            <w:r>
              <w:rPr>
                <w:sz w:val="18"/>
              </w:rPr>
              <w:t>189,6</w:t>
            </w:r>
          </w:p>
        </w:tc>
      </w:tr>
    </w:tbl>
    <w:p w:rsidR="00E925E1" w:rsidRDefault="00E925E1">
      <w:pPr>
        <w:spacing w:after="0"/>
      </w:pPr>
    </w:p>
    <w:p w:rsidR="00E925E1" w:rsidRDefault="00000000">
      <w:r>
        <w:t>Najviše su porasli obračunati prihodi za komunalni doprinos, komunalnu naknadu i porez na nekretnine. Od 2025. godine u skladu s odredbama novog Pravilnika na ovoj skupini evidentiran je ukupan iznos potraživanja za zajedničke prihode. U prethodnom razdoblju dio zajedničkog prihoda koji pripada državnom i županijskom proračunu evidentirao se na računu obveza za tuđe prihode 23955.</w:t>
      </w:r>
    </w:p>
    <w:p w:rsidR="00E925E1" w:rsidRDefault="00E925E1"/>
    <w:p w:rsidR="00E925E1"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97</w:t>
            </w:r>
          </w:p>
        </w:tc>
        <w:tc>
          <w:tcPr>
            <w:tcW w:w="3180" w:type="dxa"/>
            <w:tcMar>
              <w:top w:w="0" w:type="dxa"/>
              <w:bottom w:w="0" w:type="dxa"/>
            </w:tcMar>
            <w:vAlign w:val="center"/>
          </w:tcPr>
          <w:p w:rsidR="00E925E1"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rsidR="00E925E1" w:rsidRDefault="00000000">
            <w:pPr>
              <w:keepNext/>
              <w:keepLines/>
              <w:spacing w:after="0" w:line="240" w:lineRule="auto"/>
            </w:pPr>
            <w:r>
              <w:rPr>
                <w:sz w:val="18"/>
              </w:rPr>
              <w:t>97</w:t>
            </w:r>
          </w:p>
        </w:tc>
        <w:tc>
          <w:tcPr>
            <w:tcW w:w="1860" w:type="dxa"/>
            <w:tcMar>
              <w:top w:w="0" w:type="dxa"/>
              <w:bottom w:w="0" w:type="dxa"/>
            </w:tcMar>
            <w:vAlign w:val="center"/>
          </w:tcPr>
          <w:p w:rsidR="00E925E1" w:rsidRDefault="00000000">
            <w:pPr>
              <w:keepNext/>
              <w:keepLines/>
              <w:spacing w:after="0" w:line="240" w:lineRule="auto"/>
              <w:jc w:val="right"/>
            </w:pPr>
            <w:r>
              <w:rPr>
                <w:sz w:val="18"/>
              </w:rPr>
              <w:t>96.930,51</w:t>
            </w:r>
          </w:p>
        </w:tc>
        <w:tc>
          <w:tcPr>
            <w:tcW w:w="1860" w:type="dxa"/>
            <w:tcMar>
              <w:top w:w="0" w:type="dxa"/>
              <w:bottom w:w="0" w:type="dxa"/>
            </w:tcMar>
            <w:vAlign w:val="center"/>
          </w:tcPr>
          <w:p w:rsidR="00E925E1" w:rsidRDefault="00000000">
            <w:pPr>
              <w:keepNext/>
              <w:keepLines/>
              <w:spacing w:after="0" w:line="240" w:lineRule="auto"/>
              <w:jc w:val="right"/>
            </w:pPr>
            <w:r>
              <w:rPr>
                <w:sz w:val="18"/>
              </w:rPr>
              <w:t>273.986,48</w:t>
            </w:r>
          </w:p>
        </w:tc>
        <w:tc>
          <w:tcPr>
            <w:tcW w:w="700" w:type="dxa"/>
            <w:tcMar>
              <w:top w:w="0" w:type="dxa"/>
              <w:bottom w:w="0" w:type="dxa"/>
            </w:tcMar>
            <w:vAlign w:val="center"/>
          </w:tcPr>
          <w:p w:rsidR="00E925E1" w:rsidRDefault="00000000">
            <w:pPr>
              <w:keepNext/>
              <w:keepLines/>
              <w:spacing w:after="0" w:line="240" w:lineRule="auto"/>
              <w:jc w:val="right"/>
            </w:pPr>
            <w:r>
              <w:rPr>
                <w:sz w:val="18"/>
              </w:rPr>
              <w:t>282,7</w:t>
            </w:r>
          </w:p>
        </w:tc>
      </w:tr>
    </w:tbl>
    <w:p w:rsidR="00E925E1" w:rsidRDefault="00E925E1">
      <w:pPr>
        <w:spacing w:after="0"/>
      </w:pPr>
    </w:p>
    <w:p w:rsidR="00E925E1" w:rsidRDefault="00000000">
      <w:r>
        <w:t>Sklopljeno je više ugovora o kupoprodaji nekretnina u vlasništvu Grada s ugovorenom obročnom otplatom.</w:t>
      </w:r>
    </w:p>
    <w:p w:rsidR="00E925E1" w:rsidRDefault="00E925E1"/>
    <w:p w:rsidR="00E925E1" w:rsidRDefault="00000000">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996</w:t>
            </w:r>
          </w:p>
        </w:tc>
        <w:tc>
          <w:tcPr>
            <w:tcW w:w="3180" w:type="dxa"/>
            <w:tcMar>
              <w:top w:w="0" w:type="dxa"/>
              <w:bottom w:w="0" w:type="dxa"/>
            </w:tcMar>
            <w:vAlign w:val="center"/>
          </w:tcPr>
          <w:p w:rsidR="00E925E1" w:rsidRDefault="00000000">
            <w:pPr>
              <w:keepNext/>
              <w:keepLines/>
              <w:spacing w:after="0" w:line="240" w:lineRule="auto"/>
            </w:pPr>
            <w:r>
              <w:rPr>
                <w:sz w:val="18"/>
              </w:rPr>
              <w:t>Izvanbilančni zapisi - pasiva</w:t>
            </w:r>
          </w:p>
        </w:tc>
        <w:tc>
          <w:tcPr>
            <w:tcW w:w="700" w:type="dxa"/>
            <w:tcMar>
              <w:top w:w="0" w:type="dxa"/>
              <w:bottom w:w="0" w:type="dxa"/>
            </w:tcMar>
            <w:vAlign w:val="center"/>
          </w:tcPr>
          <w:p w:rsidR="00E925E1" w:rsidRDefault="00000000">
            <w:pPr>
              <w:keepNext/>
              <w:keepLines/>
              <w:spacing w:after="0" w:line="240" w:lineRule="auto"/>
            </w:pPr>
            <w:r>
              <w:rPr>
                <w:sz w:val="18"/>
              </w:rPr>
              <w:t>996</w:t>
            </w:r>
          </w:p>
        </w:tc>
        <w:tc>
          <w:tcPr>
            <w:tcW w:w="1860" w:type="dxa"/>
            <w:tcMar>
              <w:top w:w="0" w:type="dxa"/>
              <w:bottom w:w="0" w:type="dxa"/>
            </w:tcMar>
            <w:vAlign w:val="center"/>
          </w:tcPr>
          <w:p w:rsidR="00E925E1" w:rsidRDefault="00000000">
            <w:pPr>
              <w:keepNext/>
              <w:keepLines/>
              <w:spacing w:after="0" w:line="240" w:lineRule="auto"/>
              <w:jc w:val="right"/>
            </w:pPr>
            <w:r>
              <w:rPr>
                <w:sz w:val="18"/>
              </w:rPr>
              <w:t>3.857.048,12</w:t>
            </w:r>
          </w:p>
        </w:tc>
        <w:tc>
          <w:tcPr>
            <w:tcW w:w="1860" w:type="dxa"/>
            <w:tcMar>
              <w:top w:w="0" w:type="dxa"/>
              <w:bottom w:w="0" w:type="dxa"/>
            </w:tcMar>
            <w:vAlign w:val="center"/>
          </w:tcPr>
          <w:p w:rsidR="00E925E1" w:rsidRDefault="00000000">
            <w:pPr>
              <w:keepNext/>
              <w:keepLines/>
              <w:spacing w:after="0" w:line="240" w:lineRule="auto"/>
              <w:jc w:val="right"/>
            </w:pPr>
            <w:r>
              <w:rPr>
                <w:sz w:val="18"/>
              </w:rPr>
              <w:t>4.428.154,37</w:t>
            </w:r>
          </w:p>
        </w:tc>
        <w:tc>
          <w:tcPr>
            <w:tcW w:w="700" w:type="dxa"/>
            <w:tcMar>
              <w:top w:w="0" w:type="dxa"/>
              <w:bottom w:w="0" w:type="dxa"/>
            </w:tcMar>
            <w:vAlign w:val="center"/>
          </w:tcPr>
          <w:p w:rsidR="00E925E1" w:rsidRDefault="00000000">
            <w:pPr>
              <w:keepNext/>
              <w:keepLines/>
              <w:spacing w:after="0" w:line="240" w:lineRule="auto"/>
              <w:jc w:val="right"/>
            </w:pPr>
            <w:r>
              <w:rPr>
                <w:sz w:val="18"/>
              </w:rPr>
              <w:t>114,8</w:t>
            </w:r>
          </w:p>
        </w:tc>
      </w:tr>
    </w:tbl>
    <w:p w:rsidR="00E925E1" w:rsidRDefault="00E925E1">
      <w:pPr>
        <w:spacing w:after="0"/>
      </w:pPr>
    </w:p>
    <w:p w:rsidR="00E925E1" w:rsidRDefault="00000000">
      <w:r>
        <w:t>Izvanbilančni zapisi u iznosu od 4.428.154,37 eura odnose se na:</w:t>
      </w:r>
    </w:p>
    <w:p w:rsidR="00E925E1" w:rsidRDefault="00000000">
      <w:r>
        <w:t>- evidentirane primljene zadužnice 993.920,83</w:t>
      </w:r>
      <w:r>
        <w:br/>
        <w:t>- evidentirane izdane zadužnice 2.604.903,56</w:t>
      </w:r>
      <w:r>
        <w:br/>
        <w:t>- evidentirane primljene bankarske garancije 117.283,33</w:t>
      </w:r>
      <w:r>
        <w:br/>
        <w:t>- evidentirane primljene mjenice 2.654,46</w:t>
      </w:r>
      <w:r>
        <w:br/>
        <w:t>- evidentirane potencijalne obveze po osnovi sudskih sporova u tijeku 307.772,74 </w:t>
      </w:r>
      <w:r>
        <w:br/>
        <w:t>- evidentiranu suglasnost za zaduženje trgovačkom društvu Civitas Bullearum d.o.o. 120.490,28</w:t>
      </w:r>
      <w:r>
        <w:br/>
        <w:t>- evidentirane dane kapitalne pomoći trgovačkom društvu Civitas Bullearum d.o.o. 153.330,93</w:t>
      </w:r>
      <w:r>
        <w:br/>
        <w:t>- evidentirane nedospjele obveze po Ugovoru sa IŽ o financiranju ŽCGO Kaštijun 127.798,24</w:t>
      </w:r>
    </w:p>
    <w:p w:rsidR="00E925E1" w:rsidRDefault="00E925E1"/>
    <w:p w:rsidR="00E925E1" w:rsidRDefault="00000000">
      <w:pPr>
        <w:keepNext/>
        <w:spacing w:line="240" w:lineRule="auto"/>
        <w:jc w:val="center"/>
      </w:pPr>
      <w:r>
        <w:rPr>
          <w:b/>
          <w:sz w:val="28"/>
        </w:rPr>
        <w:t>Izvještaj o rashodima prema funkcijskoj klasifikaciji</w:t>
      </w:r>
    </w:p>
    <w:p w:rsidR="00E925E1"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0451</w:t>
            </w:r>
          </w:p>
        </w:tc>
        <w:tc>
          <w:tcPr>
            <w:tcW w:w="3180" w:type="dxa"/>
            <w:tcMar>
              <w:top w:w="0" w:type="dxa"/>
              <w:bottom w:w="0" w:type="dxa"/>
            </w:tcMar>
            <w:vAlign w:val="center"/>
          </w:tcPr>
          <w:p w:rsidR="00E925E1" w:rsidRDefault="00000000">
            <w:pPr>
              <w:keepNext/>
              <w:keepLines/>
              <w:spacing w:after="0" w:line="240" w:lineRule="auto"/>
            </w:pPr>
            <w:r>
              <w:rPr>
                <w:sz w:val="18"/>
              </w:rPr>
              <w:t>Cestovni promet</w:t>
            </w:r>
          </w:p>
        </w:tc>
        <w:tc>
          <w:tcPr>
            <w:tcW w:w="700" w:type="dxa"/>
            <w:tcMar>
              <w:top w:w="0" w:type="dxa"/>
              <w:bottom w:w="0" w:type="dxa"/>
            </w:tcMar>
            <w:vAlign w:val="center"/>
          </w:tcPr>
          <w:p w:rsidR="00E925E1" w:rsidRDefault="00000000">
            <w:pPr>
              <w:keepNext/>
              <w:keepLines/>
              <w:spacing w:after="0" w:line="240" w:lineRule="auto"/>
            </w:pPr>
            <w:r>
              <w:rPr>
                <w:sz w:val="18"/>
              </w:rPr>
              <w:t>0451</w:t>
            </w:r>
          </w:p>
        </w:tc>
        <w:tc>
          <w:tcPr>
            <w:tcW w:w="1860" w:type="dxa"/>
            <w:tcMar>
              <w:top w:w="0" w:type="dxa"/>
              <w:bottom w:w="0" w:type="dxa"/>
            </w:tcMar>
            <w:vAlign w:val="center"/>
          </w:tcPr>
          <w:p w:rsidR="00E925E1" w:rsidRDefault="00000000">
            <w:pPr>
              <w:keepNext/>
              <w:keepLines/>
              <w:spacing w:after="0" w:line="240" w:lineRule="auto"/>
              <w:jc w:val="right"/>
            </w:pPr>
            <w:r>
              <w:rPr>
                <w:sz w:val="18"/>
              </w:rPr>
              <w:t>1.729.184,68</w:t>
            </w:r>
          </w:p>
        </w:tc>
        <w:tc>
          <w:tcPr>
            <w:tcW w:w="1860" w:type="dxa"/>
            <w:tcMar>
              <w:top w:w="0" w:type="dxa"/>
              <w:bottom w:w="0" w:type="dxa"/>
            </w:tcMar>
            <w:vAlign w:val="center"/>
          </w:tcPr>
          <w:p w:rsidR="00E925E1" w:rsidRDefault="00000000">
            <w:pPr>
              <w:keepNext/>
              <w:keepLines/>
              <w:spacing w:after="0" w:line="240" w:lineRule="auto"/>
              <w:jc w:val="right"/>
            </w:pPr>
            <w:r>
              <w:rPr>
                <w:sz w:val="18"/>
              </w:rPr>
              <w:t>1.149.273,37</w:t>
            </w:r>
          </w:p>
        </w:tc>
        <w:tc>
          <w:tcPr>
            <w:tcW w:w="700" w:type="dxa"/>
            <w:tcMar>
              <w:top w:w="0" w:type="dxa"/>
              <w:bottom w:w="0" w:type="dxa"/>
            </w:tcMar>
            <w:vAlign w:val="center"/>
          </w:tcPr>
          <w:p w:rsidR="00E925E1" w:rsidRDefault="00000000">
            <w:pPr>
              <w:keepNext/>
              <w:keepLines/>
              <w:spacing w:after="0" w:line="240" w:lineRule="auto"/>
              <w:jc w:val="right"/>
            </w:pPr>
            <w:r>
              <w:rPr>
                <w:sz w:val="18"/>
              </w:rPr>
              <w:t>66,5</w:t>
            </w:r>
          </w:p>
        </w:tc>
      </w:tr>
    </w:tbl>
    <w:p w:rsidR="00E925E1" w:rsidRDefault="00E925E1">
      <w:pPr>
        <w:spacing w:after="0"/>
      </w:pPr>
    </w:p>
    <w:p w:rsidR="00E925E1" w:rsidRDefault="00000000">
      <w:r>
        <w:t>U odnosu na prethodnu godinu vrijednosno su najviše smanjeni rashodi klasificirani po funkciji Cestovni promet (šifra 0451), a do smanjenja je došlo radi manje izvršenih radova na rekonstrukciji i sanaciji nerazvrstanih cesta i uređenju parkirališta. </w:t>
      </w:r>
    </w:p>
    <w:p w:rsidR="00E925E1" w:rsidRDefault="00E925E1"/>
    <w:p w:rsidR="00E925E1"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052</w:t>
            </w:r>
          </w:p>
        </w:tc>
        <w:tc>
          <w:tcPr>
            <w:tcW w:w="3180" w:type="dxa"/>
            <w:tcMar>
              <w:top w:w="0" w:type="dxa"/>
              <w:bottom w:w="0" w:type="dxa"/>
            </w:tcMar>
            <w:vAlign w:val="center"/>
          </w:tcPr>
          <w:p w:rsidR="00E925E1" w:rsidRDefault="00000000">
            <w:pPr>
              <w:keepNext/>
              <w:keepLines/>
              <w:spacing w:after="0" w:line="240" w:lineRule="auto"/>
            </w:pPr>
            <w:r>
              <w:rPr>
                <w:sz w:val="18"/>
              </w:rPr>
              <w:t>Gospodarenje otpadnim vodama</w:t>
            </w:r>
          </w:p>
        </w:tc>
        <w:tc>
          <w:tcPr>
            <w:tcW w:w="700" w:type="dxa"/>
            <w:tcMar>
              <w:top w:w="0" w:type="dxa"/>
              <w:bottom w:w="0" w:type="dxa"/>
            </w:tcMar>
            <w:vAlign w:val="center"/>
          </w:tcPr>
          <w:p w:rsidR="00E925E1" w:rsidRDefault="00000000">
            <w:pPr>
              <w:keepNext/>
              <w:keepLines/>
              <w:spacing w:after="0" w:line="240" w:lineRule="auto"/>
            </w:pPr>
            <w:r>
              <w:rPr>
                <w:sz w:val="18"/>
              </w:rPr>
              <w:t>052</w:t>
            </w:r>
          </w:p>
        </w:tc>
        <w:tc>
          <w:tcPr>
            <w:tcW w:w="1860" w:type="dxa"/>
            <w:tcMar>
              <w:top w:w="0" w:type="dxa"/>
              <w:bottom w:w="0" w:type="dxa"/>
            </w:tcMar>
            <w:vAlign w:val="center"/>
          </w:tcPr>
          <w:p w:rsidR="00E925E1" w:rsidRDefault="00000000">
            <w:pPr>
              <w:keepNext/>
              <w:keepLines/>
              <w:spacing w:after="0" w:line="240" w:lineRule="auto"/>
              <w:jc w:val="right"/>
            </w:pPr>
            <w:r>
              <w:rPr>
                <w:sz w:val="18"/>
              </w:rPr>
              <w:t>97.813,38</w:t>
            </w:r>
          </w:p>
        </w:tc>
        <w:tc>
          <w:tcPr>
            <w:tcW w:w="1860" w:type="dxa"/>
            <w:tcMar>
              <w:top w:w="0" w:type="dxa"/>
              <w:bottom w:w="0" w:type="dxa"/>
            </w:tcMar>
            <w:vAlign w:val="center"/>
          </w:tcPr>
          <w:p w:rsidR="00E925E1" w:rsidRDefault="00000000">
            <w:pPr>
              <w:keepNext/>
              <w:keepLines/>
              <w:spacing w:after="0" w:line="240" w:lineRule="auto"/>
              <w:jc w:val="right"/>
            </w:pPr>
            <w:r>
              <w:rPr>
                <w:sz w:val="18"/>
              </w:rPr>
              <w:t>186.760,09</w:t>
            </w:r>
          </w:p>
        </w:tc>
        <w:tc>
          <w:tcPr>
            <w:tcW w:w="700" w:type="dxa"/>
            <w:tcMar>
              <w:top w:w="0" w:type="dxa"/>
              <w:bottom w:w="0" w:type="dxa"/>
            </w:tcMar>
            <w:vAlign w:val="center"/>
          </w:tcPr>
          <w:p w:rsidR="00E925E1" w:rsidRDefault="00000000">
            <w:pPr>
              <w:keepNext/>
              <w:keepLines/>
              <w:spacing w:after="0" w:line="240" w:lineRule="auto"/>
              <w:jc w:val="right"/>
            </w:pPr>
            <w:r>
              <w:rPr>
                <w:sz w:val="18"/>
              </w:rPr>
              <w:t>190,9</w:t>
            </w:r>
          </w:p>
        </w:tc>
      </w:tr>
    </w:tbl>
    <w:p w:rsidR="00E925E1" w:rsidRDefault="00E925E1">
      <w:pPr>
        <w:spacing w:after="0"/>
      </w:pPr>
    </w:p>
    <w:p w:rsidR="00E925E1" w:rsidRDefault="00000000">
      <w:r>
        <w:t>Povećani su rashodi klasificirani po funkciji Gospodarenje otpadnim vodama (šifra 052) radi izvršenih ulaganja u oborinsku odvodnju.</w:t>
      </w:r>
    </w:p>
    <w:p w:rsidR="00E925E1" w:rsidRDefault="00E925E1"/>
    <w:p w:rsidR="00E925E1"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064</w:t>
            </w:r>
          </w:p>
        </w:tc>
        <w:tc>
          <w:tcPr>
            <w:tcW w:w="3180" w:type="dxa"/>
            <w:tcMar>
              <w:top w:w="0" w:type="dxa"/>
              <w:bottom w:w="0" w:type="dxa"/>
            </w:tcMar>
            <w:vAlign w:val="center"/>
          </w:tcPr>
          <w:p w:rsidR="00E925E1" w:rsidRDefault="00000000">
            <w:pPr>
              <w:keepNext/>
              <w:keepLines/>
              <w:spacing w:after="0" w:line="240" w:lineRule="auto"/>
            </w:pPr>
            <w:r>
              <w:rPr>
                <w:sz w:val="18"/>
              </w:rPr>
              <w:t>Ulična rasvjeta</w:t>
            </w:r>
          </w:p>
        </w:tc>
        <w:tc>
          <w:tcPr>
            <w:tcW w:w="700" w:type="dxa"/>
            <w:tcMar>
              <w:top w:w="0" w:type="dxa"/>
              <w:bottom w:w="0" w:type="dxa"/>
            </w:tcMar>
            <w:vAlign w:val="center"/>
          </w:tcPr>
          <w:p w:rsidR="00E925E1" w:rsidRDefault="00000000">
            <w:pPr>
              <w:keepNext/>
              <w:keepLines/>
              <w:spacing w:after="0" w:line="240" w:lineRule="auto"/>
            </w:pPr>
            <w:r>
              <w:rPr>
                <w:sz w:val="18"/>
              </w:rPr>
              <w:t>064</w:t>
            </w:r>
          </w:p>
        </w:tc>
        <w:tc>
          <w:tcPr>
            <w:tcW w:w="1860" w:type="dxa"/>
            <w:tcMar>
              <w:top w:w="0" w:type="dxa"/>
              <w:bottom w:w="0" w:type="dxa"/>
            </w:tcMar>
            <w:vAlign w:val="center"/>
          </w:tcPr>
          <w:p w:rsidR="00E925E1" w:rsidRDefault="00000000">
            <w:pPr>
              <w:keepNext/>
              <w:keepLines/>
              <w:spacing w:after="0" w:line="240" w:lineRule="auto"/>
              <w:jc w:val="right"/>
            </w:pPr>
            <w:r>
              <w:rPr>
                <w:sz w:val="18"/>
              </w:rPr>
              <w:t>322.447,43</w:t>
            </w:r>
          </w:p>
        </w:tc>
        <w:tc>
          <w:tcPr>
            <w:tcW w:w="1860" w:type="dxa"/>
            <w:tcMar>
              <w:top w:w="0" w:type="dxa"/>
              <w:bottom w:w="0" w:type="dxa"/>
            </w:tcMar>
            <w:vAlign w:val="center"/>
          </w:tcPr>
          <w:p w:rsidR="00E925E1" w:rsidRDefault="00000000">
            <w:pPr>
              <w:keepNext/>
              <w:keepLines/>
              <w:spacing w:after="0" w:line="240" w:lineRule="auto"/>
              <w:jc w:val="right"/>
            </w:pPr>
            <w:r>
              <w:rPr>
                <w:sz w:val="18"/>
              </w:rPr>
              <w:t>194.772,59</w:t>
            </w:r>
          </w:p>
        </w:tc>
        <w:tc>
          <w:tcPr>
            <w:tcW w:w="700" w:type="dxa"/>
            <w:tcMar>
              <w:top w:w="0" w:type="dxa"/>
              <w:bottom w:w="0" w:type="dxa"/>
            </w:tcMar>
            <w:vAlign w:val="center"/>
          </w:tcPr>
          <w:p w:rsidR="00E925E1" w:rsidRDefault="00000000">
            <w:pPr>
              <w:keepNext/>
              <w:keepLines/>
              <w:spacing w:after="0" w:line="240" w:lineRule="auto"/>
              <w:jc w:val="right"/>
            </w:pPr>
            <w:r>
              <w:rPr>
                <w:sz w:val="18"/>
              </w:rPr>
              <w:t>60,4</w:t>
            </w:r>
          </w:p>
        </w:tc>
      </w:tr>
    </w:tbl>
    <w:p w:rsidR="00E925E1" w:rsidRDefault="00E925E1">
      <w:pPr>
        <w:spacing w:after="0"/>
      </w:pPr>
    </w:p>
    <w:p w:rsidR="00E925E1" w:rsidRDefault="00000000">
      <w:r>
        <w:t>Smanjeni su rashodi klasificirani po funkciji Ulična rasvjeta (šifra 064) radi manje planiranog i izvršenog ulaganja u dogradnju javne rasvjete. </w:t>
      </w:r>
    </w:p>
    <w:p w:rsidR="00E925E1" w:rsidRDefault="00E925E1"/>
    <w:p w:rsidR="00E925E1"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000000">
            <w:pPr>
              <w:keepNext/>
              <w:keepLines/>
              <w:spacing w:after="0" w:line="240" w:lineRule="auto"/>
            </w:pPr>
            <w:r>
              <w:rPr>
                <w:sz w:val="18"/>
              </w:rPr>
              <w:t>082</w:t>
            </w:r>
          </w:p>
        </w:tc>
        <w:tc>
          <w:tcPr>
            <w:tcW w:w="3180" w:type="dxa"/>
            <w:tcMar>
              <w:top w:w="0" w:type="dxa"/>
              <w:bottom w:w="0" w:type="dxa"/>
            </w:tcMar>
            <w:vAlign w:val="center"/>
          </w:tcPr>
          <w:p w:rsidR="00E925E1" w:rsidRDefault="00000000">
            <w:pPr>
              <w:keepNext/>
              <w:keepLines/>
              <w:spacing w:after="0" w:line="240" w:lineRule="auto"/>
            </w:pPr>
            <w:r>
              <w:rPr>
                <w:sz w:val="18"/>
              </w:rPr>
              <w:t>Službe kulture</w:t>
            </w:r>
          </w:p>
        </w:tc>
        <w:tc>
          <w:tcPr>
            <w:tcW w:w="700" w:type="dxa"/>
            <w:tcMar>
              <w:top w:w="0" w:type="dxa"/>
              <w:bottom w:w="0" w:type="dxa"/>
            </w:tcMar>
            <w:vAlign w:val="center"/>
          </w:tcPr>
          <w:p w:rsidR="00E925E1" w:rsidRDefault="00000000">
            <w:pPr>
              <w:keepNext/>
              <w:keepLines/>
              <w:spacing w:after="0" w:line="240" w:lineRule="auto"/>
            </w:pPr>
            <w:r>
              <w:rPr>
                <w:sz w:val="18"/>
              </w:rPr>
              <w:t>082</w:t>
            </w:r>
          </w:p>
        </w:tc>
        <w:tc>
          <w:tcPr>
            <w:tcW w:w="1860" w:type="dxa"/>
            <w:tcMar>
              <w:top w:w="0" w:type="dxa"/>
              <w:bottom w:w="0" w:type="dxa"/>
            </w:tcMar>
            <w:vAlign w:val="center"/>
          </w:tcPr>
          <w:p w:rsidR="00E925E1" w:rsidRDefault="00000000">
            <w:pPr>
              <w:keepNext/>
              <w:keepLines/>
              <w:spacing w:after="0" w:line="240" w:lineRule="auto"/>
              <w:jc w:val="right"/>
            </w:pPr>
            <w:r>
              <w:rPr>
                <w:sz w:val="18"/>
              </w:rPr>
              <w:t>237.189,32</w:t>
            </w:r>
          </w:p>
        </w:tc>
        <w:tc>
          <w:tcPr>
            <w:tcW w:w="1860" w:type="dxa"/>
            <w:tcMar>
              <w:top w:w="0" w:type="dxa"/>
              <w:bottom w:w="0" w:type="dxa"/>
            </w:tcMar>
            <w:vAlign w:val="center"/>
          </w:tcPr>
          <w:p w:rsidR="00E925E1" w:rsidRDefault="00000000">
            <w:pPr>
              <w:keepNext/>
              <w:keepLines/>
              <w:spacing w:after="0" w:line="240" w:lineRule="auto"/>
              <w:jc w:val="right"/>
            </w:pPr>
            <w:r>
              <w:rPr>
                <w:sz w:val="18"/>
              </w:rPr>
              <w:t>344.085,45</w:t>
            </w:r>
          </w:p>
        </w:tc>
        <w:tc>
          <w:tcPr>
            <w:tcW w:w="700" w:type="dxa"/>
            <w:tcMar>
              <w:top w:w="0" w:type="dxa"/>
              <w:bottom w:w="0" w:type="dxa"/>
            </w:tcMar>
            <w:vAlign w:val="center"/>
          </w:tcPr>
          <w:p w:rsidR="00E925E1" w:rsidRDefault="00000000">
            <w:pPr>
              <w:keepNext/>
              <w:keepLines/>
              <w:spacing w:after="0" w:line="240" w:lineRule="auto"/>
              <w:jc w:val="right"/>
            </w:pPr>
            <w:r>
              <w:rPr>
                <w:sz w:val="18"/>
              </w:rPr>
              <w:t>145,1</w:t>
            </w:r>
          </w:p>
        </w:tc>
      </w:tr>
    </w:tbl>
    <w:p w:rsidR="00E925E1" w:rsidRDefault="00E925E1">
      <w:pPr>
        <w:spacing w:after="0"/>
      </w:pPr>
    </w:p>
    <w:p w:rsidR="00E925E1" w:rsidRDefault="00000000">
      <w:r>
        <w:t>Rashodi klasificirana po funkciji Službe kulture (šifra 082) povećani su radi izvršenih ulaganja u projekt sanacije i rekonstrukcije kaštela Rota u Momjanu.</w:t>
      </w:r>
    </w:p>
    <w:p w:rsidR="00E925E1" w:rsidRDefault="00E925E1"/>
    <w:p w:rsidR="00E925E1" w:rsidRDefault="00000000">
      <w:pPr>
        <w:keepNext/>
        <w:spacing w:line="240" w:lineRule="auto"/>
        <w:jc w:val="center"/>
      </w:pPr>
      <w:r>
        <w:rPr>
          <w:b/>
          <w:sz w:val="28"/>
        </w:rPr>
        <w:t>Promjene u vrijednosti i obujmu imovine i obveza</w:t>
      </w:r>
    </w:p>
    <w:p w:rsidR="00E925E1"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Neproizvedena dugotrajna imovina</w:t>
            </w:r>
          </w:p>
        </w:tc>
        <w:tc>
          <w:tcPr>
            <w:tcW w:w="700" w:type="dxa"/>
            <w:tcMar>
              <w:top w:w="0" w:type="dxa"/>
              <w:bottom w:w="0" w:type="dxa"/>
            </w:tcMar>
            <w:vAlign w:val="center"/>
          </w:tcPr>
          <w:p w:rsidR="00E925E1" w:rsidRDefault="00000000">
            <w:pPr>
              <w:keepNext/>
              <w:keepLines/>
              <w:spacing w:after="0" w:line="240" w:lineRule="auto"/>
            </w:pPr>
            <w:r>
              <w:rPr>
                <w:sz w:val="18"/>
              </w:rPr>
              <w:t>P002</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901,61</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Smanjenje u iznosu od 901,61 eura odnosi se na obračunatu godišnju amortizaciju.</w:t>
      </w:r>
    </w:p>
    <w:p w:rsidR="00E925E1" w:rsidRDefault="00E925E1"/>
    <w:p w:rsidR="00E925E1"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Proizvedena dugotrajna imovina</w:t>
            </w:r>
          </w:p>
        </w:tc>
        <w:tc>
          <w:tcPr>
            <w:tcW w:w="700" w:type="dxa"/>
            <w:tcMar>
              <w:top w:w="0" w:type="dxa"/>
              <w:bottom w:w="0" w:type="dxa"/>
            </w:tcMar>
            <w:vAlign w:val="center"/>
          </w:tcPr>
          <w:p w:rsidR="00E925E1" w:rsidRDefault="00000000">
            <w:pPr>
              <w:keepNext/>
              <w:keepLines/>
              <w:spacing w:after="0" w:line="240" w:lineRule="auto"/>
            </w:pPr>
            <w:r>
              <w:rPr>
                <w:sz w:val="18"/>
              </w:rPr>
              <w:t>P003</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683.302,13</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Evidentirano smanjenje u iznosu od 683.302,13 eura odnosi se na obračunatu godišnju amortizaciju.</w:t>
      </w:r>
    </w:p>
    <w:p w:rsidR="00E925E1" w:rsidRDefault="00E925E1"/>
    <w:p w:rsidR="00E925E1" w:rsidRDefault="00000000">
      <w:pPr>
        <w:keepNext/>
        <w:spacing w:line="240" w:lineRule="auto"/>
        <w:jc w:val="center"/>
      </w:pPr>
      <w:r>
        <w:rPr>
          <w:sz w:val="28"/>
        </w:rPr>
        <w:lastRenderedPageBreak/>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rsidR="00E925E1" w:rsidRDefault="00000000">
            <w:pPr>
              <w:keepNext/>
              <w:keepLines/>
              <w:spacing w:after="0" w:line="240" w:lineRule="auto"/>
            </w:pPr>
            <w:r>
              <w:rPr>
                <w:sz w:val="18"/>
              </w:rPr>
              <w:t>P008</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9,85</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Smanjenje u iznosu od 9,85 eura odnosi se na smanjenje vrijednosti poslovnog udjela u trgovačkim društvima Istarska autocesta d.o.o. i 6. maj odvodnja d.o.o. uslijed usklađenja temeljnog kapitala radi uvođenja eura.</w:t>
      </w:r>
    </w:p>
    <w:p w:rsidR="00E925E1" w:rsidRDefault="00E925E1"/>
    <w:p w:rsidR="00E925E1"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Neproizvedena dugotrajna imovina</w:t>
            </w:r>
          </w:p>
        </w:tc>
        <w:tc>
          <w:tcPr>
            <w:tcW w:w="700" w:type="dxa"/>
            <w:tcMar>
              <w:top w:w="0" w:type="dxa"/>
              <w:bottom w:w="0" w:type="dxa"/>
            </w:tcMar>
            <w:vAlign w:val="center"/>
          </w:tcPr>
          <w:p w:rsidR="00E925E1" w:rsidRDefault="00000000">
            <w:pPr>
              <w:keepNext/>
              <w:keepLines/>
              <w:spacing w:after="0" w:line="240" w:lineRule="auto"/>
            </w:pPr>
            <w:r>
              <w:rPr>
                <w:sz w:val="18"/>
              </w:rPr>
              <w:t>P017</w:t>
            </w:r>
          </w:p>
        </w:tc>
        <w:tc>
          <w:tcPr>
            <w:tcW w:w="1860" w:type="dxa"/>
            <w:tcMar>
              <w:top w:w="0" w:type="dxa"/>
              <w:bottom w:w="0" w:type="dxa"/>
            </w:tcMar>
            <w:vAlign w:val="center"/>
          </w:tcPr>
          <w:p w:rsidR="00E925E1" w:rsidRDefault="00000000">
            <w:pPr>
              <w:keepNext/>
              <w:keepLines/>
              <w:spacing w:after="0" w:line="240" w:lineRule="auto"/>
              <w:jc w:val="right"/>
            </w:pPr>
            <w:r>
              <w:rPr>
                <w:sz w:val="18"/>
              </w:rPr>
              <w:t>417.074,00</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700" w:type="dxa"/>
            <w:tcMar>
              <w:top w:w="0" w:type="dxa"/>
              <w:bottom w:w="0" w:type="dxa"/>
            </w:tcMar>
            <w:vAlign w:val="center"/>
          </w:tcPr>
          <w:p w:rsidR="00E925E1" w:rsidRDefault="00000000">
            <w:pPr>
              <w:keepNext/>
              <w:keepLines/>
              <w:spacing w:after="0" w:line="240" w:lineRule="auto"/>
              <w:jc w:val="right"/>
            </w:pPr>
            <w:r>
              <w:rPr>
                <w:sz w:val="18"/>
              </w:rPr>
              <w:t>0</w:t>
            </w:r>
          </w:p>
        </w:tc>
      </w:tr>
    </w:tbl>
    <w:p w:rsidR="00E925E1" w:rsidRDefault="00E925E1">
      <w:pPr>
        <w:spacing w:after="0"/>
      </w:pPr>
    </w:p>
    <w:p w:rsidR="00E925E1" w:rsidRDefault="00000000">
      <w:r>
        <w:t>Iznos se odnosi na knjigovodstveno evidentiranje imovine odnosno građevinskog zemljišta u vlasništvu Grada Buja - Buie koje prethodno nije bilo evidentirano, a prodano je po provedenim javnim natječajima. </w:t>
      </w:r>
    </w:p>
    <w:p w:rsidR="00E925E1" w:rsidRDefault="00000000">
      <w:r>
        <w:t> </w:t>
      </w:r>
    </w:p>
    <w:p w:rsidR="00E925E1" w:rsidRDefault="00E925E1"/>
    <w:p w:rsidR="00E925E1"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Proizvedena dugotrajna imovina</w:t>
            </w:r>
          </w:p>
        </w:tc>
        <w:tc>
          <w:tcPr>
            <w:tcW w:w="700" w:type="dxa"/>
            <w:tcMar>
              <w:top w:w="0" w:type="dxa"/>
              <w:bottom w:w="0" w:type="dxa"/>
            </w:tcMar>
            <w:vAlign w:val="center"/>
          </w:tcPr>
          <w:p w:rsidR="00E925E1" w:rsidRDefault="00000000">
            <w:pPr>
              <w:keepNext/>
              <w:keepLines/>
              <w:spacing w:after="0" w:line="240" w:lineRule="auto"/>
            </w:pPr>
            <w:r>
              <w:rPr>
                <w:sz w:val="18"/>
              </w:rPr>
              <w:t>P018</w:t>
            </w:r>
          </w:p>
        </w:tc>
        <w:tc>
          <w:tcPr>
            <w:tcW w:w="1860" w:type="dxa"/>
            <w:tcMar>
              <w:top w:w="0" w:type="dxa"/>
              <w:bottom w:w="0" w:type="dxa"/>
            </w:tcMar>
            <w:vAlign w:val="center"/>
          </w:tcPr>
          <w:p w:rsidR="00E925E1" w:rsidRDefault="00000000">
            <w:pPr>
              <w:keepNext/>
              <w:keepLines/>
              <w:spacing w:after="0" w:line="240" w:lineRule="auto"/>
              <w:jc w:val="right"/>
            </w:pPr>
            <w:r>
              <w:rPr>
                <w:sz w:val="18"/>
              </w:rPr>
              <w:t>42.854,66</w:t>
            </w:r>
          </w:p>
        </w:tc>
        <w:tc>
          <w:tcPr>
            <w:tcW w:w="1860" w:type="dxa"/>
            <w:tcMar>
              <w:top w:w="0" w:type="dxa"/>
              <w:bottom w:w="0" w:type="dxa"/>
            </w:tcMar>
            <w:vAlign w:val="center"/>
          </w:tcPr>
          <w:p w:rsidR="00E925E1" w:rsidRDefault="00000000">
            <w:pPr>
              <w:keepNext/>
              <w:keepLines/>
              <w:spacing w:after="0" w:line="240" w:lineRule="auto"/>
              <w:jc w:val="right"/>
            </w:pPr>
            <w:r>
              <w:rPr>
                <w:sz w:val="18"/>
              </w:rPr>
              <w:t>868,18</w:t>
            </w:r>
          </w:p>
        </w:tc>
        <w:tc>
          <w:tcPr>
            <w:tcW w:w="700" w:type="dxa"/>
            <w:tcMar>
              <w:top w:w="0" w:type="dxa"/>
              <w:bottom w:w="0" w:type="dxa"/>
            </w:tcMar>
            <w:vAlign w:val="center"/>
          </w:tcPr>
          <w:p w:rsidR="00E925E1" w:rsidRDefault="00000000">
            <w:pPr>
              <w:keepNext/>
              <w:keepLines/>
              <w:spacing w:after="0" w:line="240" w:lineRule="auto"/>
              <w:jc w:val="right"/>
            </w:pPr>
            <w:r>
              <w:rPr>
                <w:sz w:val="18"/>
              </w:rPr>
              <w:t>2,0</w:t>
            </w:r>
          </w:p>
        </w:tc>
      </w:tr>
    </w:tbl>
    <w:p w:rsidR="00E925E1" w:rsidRDefault="00E925E1">
      <w:pPr>
        <w:spacing w:after="0"/>
      </w:pPr>
    </w:p>
    <w:p w:rsidR="00E925E1" w:rsidRDefault="00000000">
      <w:r>
        <w:t>Evidentirano je povećanje u ukupnom iznosu od 42.854,66 eura. Iznos od 41.970,00 eura odnosi se na knjigovodstveno evidentiranje imovine odnosno objekata u vlasništvu Grada Buja – Buie koji prethodno nisu bili evidentirani, a prodani su po provedenim javnim natječajima, dok se razlika od 884,66 odnosi na darovano rabljeno osobno vozilo VW Polo od strane Ministarstva prostornog uređenja, graditeljstva i državne imovine.</w:t>
      </w:r>
    </w:p>
    <w:p w:rsidR="00E925E1" w:rsidRDefault="00000000">
      <w:r>
        <w:t>Evidentirano smanjenje u iznosu od 868,18 eura odnosi se na prijenos dugotrajne imovine proračunskom korisniku Talijanskom dječjem vrtiću Mrvica.</w:t>
      </w:r>
    </w:p>
    <w:p w:rsidR="00E925E1" w:rsidRDefault="00E925E1"/>
    <w:p w:rsidR="00E925E1" w:rsidRDefault="00000000">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rsidR="00E925E1" w:rsidRDefault="00000000">
            <w:pPr>
              <w:keepNext/>
              <w:keepLines/>
              <w:spacing w:after="0" w:line="240" w:lineRule="auto"/>
            </w:pPr>
            <w:r>
              <w:rPr>
                <w:sz w:val="18"/>
              </w:rPr>
              <w:t>P029</w:t>
            </w:r>
          </w:p>
        </w:tc>
        <w:tc>
          <w:tcPr>
            <w:tcW w:w="1860" w:type="dxa"/>
            <w:tcMar>
              <w:top w:w="0" w:type="dxa"/>
              <w:bottom w:w="0" w:type="dxa"/>
            </w:tcMar>
            <w:vAlign w:val="center"/>
          </w:tcPr>
          <w:p w:rsidR="00E925E1" w:rsidRDefault="00000000">
            <w:pPr>
              <w:keepNext/>
              <w:keepLines/>
              <w:spacing w:after="0" w:line="240" w:lineRule="auto"/>
              <w:jc w:val="right"/>
            </w:pPr>
            <w:r>
              <w:rPr>
                <w:sz w:val="18"/>
              </w:rPr>
              <w:t>0,00</w:t>
            </w:r>
          </w:p>
        </w:tc>
        <w:tc>
          <w:tcPr>
            <w:tcW w:w="1860" w:type="dxa"/>
            <w:tcMar>
              <w:top w:w="0" w:type="dxa"/>
              <w:bottom w:w="0" w:type="dxa"/>
            </w:tcMar>
            <w:vAlign w:val="center"/>
          </w:tcPr>
          <w:p w:rsidR="00E925E1" w:rsidRDefault="00000000">
            <w:pPr>
              <w:keepNext/>
              <w:keepLines/>
              <w:spacing w:after="0" w:line="240" w:lineRule="auto"/>
              <w:jc w:val="right"/>
            </w:pPr>
            <w:r>
              <w:rPr>
                <w:sz w:val="18"/>
              </w:rPr>
              <w:t>505,57</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Smanjenje u iznosu od 505,57 eura odnosi se na otpise potraživanja od komunalne naknade temeljem Rješenja nadležnog upravnog odjela. </w:t>
      </w:r>
    </w:p>
    <w:p w:rsidR="00E925E1" w:rsidRDefault="00E925E1"/>
    <w:p w:rsidR="00E925E1" w:rsidRDefault="00000000">
      <w:pPr>
        <w:keepNext/>
        <w:spacing w:line="240" w:lineRule="auto"/>
        <w:jc w:val="center"/>
      </w:pPr>
      <w:r>
        <w:rPr>
          <w:b/>
          <w:sz w:val="28"/>
        </w:rPr>
        <w:t>Izvještaj o obvezama</w:t>
      </w:r>
    </w:p>
    <w:p w:rsidR="00E925E1"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E925E1" w:rsidRDefault="00000000">
            <w:pPr>
              <w:keepNext/>
              <w:keepLines/>
              <w:spacing w:after="0" w:line="240" w:lineRule="auto"/>
            </w:pPr>
            <w:r>
              <w:rPr>
                <w:sz w:val="18"/>
              </w:rPr>
              <w:t>V007</w:t>
            </w:r>
          </w:p>
        </w:tc>
        <w:tc>
          <w:tcPr>
            <w:tcW w:w="1860" w:type="dxa"/>
            <w:tcMar>
              <w:top w:w="0" w:type="dxa"/>
              <w:bottom w:w="0" w:type="dxa"/>
            </w:tcMar>
            <w:vAlign w:val="center"/>
          </w:tcPr>
          <w:p w:rsidR="00E925E1" w:rsidRDefault="00000000">
            <w:pPr>
              <w:keepNext/>
              <w:keepLines/>
              <w:spacing w:after="0" w:line="240" w:lineRule="auto"/>
              <w:jc w:val="right"/>
            </w:pPr>
            <w:r>
              <w:rPr>
                <w:sz w:val="18"/>
              </w:rPr>
              <w:t>3.702,77</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Sve dospjele obveze spadaju u kategoriju obveza s prekoračenjem 1 do 60 dana. Radi se o računima koji su zaprimljeni ili likvidirani nakon datuma dospijeća te obvezama po osnovi donacija.</w:t>
      </w:r>
    </w:p>
    <w:p w:rsidR="00E925E1" w:rsidRDefault="00E925E1"/>
    <w:p w:rsidR="00E925E1"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25E1">
        <w:tblPrEx>
          <w:tblCellMar>
            <w:top w:w="0" w:type="dxa"/>
            <w:bottom w:w="0" w:type="dxa"/>
          </w:tblCellMar>
        </w:tblPrEx>
        <w:trPr>
          <w:cantSplit/>
        </w:trPr>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925E1" w:rsidRDefault="00000000">
            <w:pPr>
              <w:keepNext/>
              <w:keepLines/>
              <w:spacing w:after="0" w:line="240" w:lineRule="auto"/>
              <w:jc w:val="center"/>
            </w:pPr>
            <w:r>
              <w:rPr>
                <w:b/>
                <w:sz w:val="18"/>
              </w:rPr>
              <w:t>Indeks (%)</w:t>
            </w:r>
          </w:p>
        </w:tc>
      </w:tr>
      <w:tr w:rsidR="00E925E1">
        <w:tblPrEx>
          <w:tblCellMar>
            <w:top w:w="0" w:type="dxa"/>
            <w:bottom w:w="0" w:type="dxa"/>
          </w:tblCellMar>
        </w:tblPrEx>
        <w:trPr>
          <w:cantSplit/>
          <w:trHeight w:val="560"/>
        </w:trPr>
        <w:tc>
          <w:tcPr>
            <w:tcW w:w="700" w:type="dxa"/>
            <w:tcMar>
              <w:top w:w="0" w:type="dxa"/>
              <w:bottom w:w="0" w:type="dxa"/>
            </w:tcMar>
            <w:vAlign w:val="center"/>
          </w:tcPr>
          <w:p w:rsidR="00E925E1" w:rsidRDefault="00E925E1">
            <w:pPr>
              <w:keepNext/>
              <w:keepLines/>
              <w:spacing w:after="0" w:line="240" w:lineRule="auto"/>
            </w:pPr>
          </w:p>
        </w:tc>
        <w:tc>
          <w:tcPr>
            <w:tcW w:w="3180" w:type="dxa"/>
            <w:tcMar>
              <w:top w:w="0" w:type="dxa"/>
              <w:bottom w:w="0" w:type="dxa"/>
            </w:tcMar>
            <w:vAlign w:val="center"/>
          </w:tcPr>
          <w:p w:rsidR="00E925E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rsidR="00E925E1" w:rsidRDefault="00000000">
            <w:pPr>
              <w:keepNext/>
              <w:keepLines/>
              <w:spacing w:after="0" w:line="240" w:lineRule="auto"/>
            </w:pPr>
            <w:r>
              <w:rPr>
                <w:sz w:val="18"/>
              </w:rPr>
              <w:t>V010</w:t>
            </w:r>
          </w:p>
        </w:tc>
        <w:tc>
          <w:tcPr>
            <w:tcW w:w="1860" w:type="dxa"/>
            <w:tcMar>
              <w:top w:w="0" w:type="dxa"/>
              <w:bottom w:w="0" w:type="dxa"/>
            </w:tcMar>
            <w:vAlign w:val="center"/>
          </w:tcPr>
          <w:p w:rsidR="00E925E1" w:rsidRDefault="00000000">
            <w:pPr>
              <w:keepNext/>
              <w:keepLines/>
              <w:spacing w:after="0" w:line="240" w:lineRule="auto"/>
              <w:jc w:val="right"/>
            </w:pPr>
            <w:r>
              <w:rPr>
                <w:sz w:val="18"/>
              </w:rPr>
              <w:t>211.076,92</w:t>
            </w:r>
          </w:p>
        </w:tc>
        <w:tc>
          <w:tcPr>
            <w:tcW w:w="700" w:type="dxa"/>
            <w:tcMar>
              <w:top w:w="0" w:type="dxa"/>
              <w:bottom w:w="0" w:type="dxa"/>
            </w:tcMar>
            <w:vAlign w:val="center"/>
          </w:tcPr>
          <w:p w:rsidR="00E925E1" w:rsidRDefault="00000000">
            <w:pPr>
              <w:keepNext/>
              <w:keepLines/>
              <w:spacing w:after="0" w:line="240" w:lineRule="auto"/>
              <w:jc w:val="right"/>
            </w:pPr>
            <w:r>
              <w:rPr>
                <w:sz w:val="18"/>
              </w:rPr>
              <w:t>-</w:t>
            </w:r>
          </w:p>
        </w:tc>
      </w:tr>
    </w:tbl>
    <w:p w:rsidR="00E925E1" w:rsidRDefault="00E925E1">
      <w:pPr>
        <w:spacing w:after="0"/>
      </w:pPr>
    </w:p>
    <w:p w:rsidR="00E925E1" w:rsidRDefault="00000000">
      <w:r>
        <w:t>Nedospjele međusobne obveze proračunskih korisnika ukupno iznose 211.076,92 eura, a odnose se na: obvezu prema Zavodu za javno zdravstvo Istarske županije u iznosu od 2.390,00 eura, na obvezu po Rješenju Fonda za zaštitu okoliša i energetsku učinkovitost za plaćanje poticajne naknade za odvojeno zbrinjavanje otpada u 2024. godini u iznosu od 2.926,30 eura, na obvezu za naknadu Poreznoj upravi po osnovi usluge naplate prihoda od poreza na dohodak, poreza na potrošnju, poreza na kuće za odmor i poreza na nekretnine prosincu 2025. godine u ukupnom iznosu od 12.359,15 eura,  na obvezu prema Gradu Umagu za sufinanciranje JVP Umag prema konačnom obračunu za 2025. godinu u iznosu od 48.272,54 eura, obvezu prema Istarskoj županiji temeljem Sporazuma o sufinanciranju razvoja dvojezičnosti u iznosu od 3.000,00 eura, obvezu temeljem Ugovora o sufinanciranju kreditne obveze za adaptaciju i opremanje Odjela za dječju rehabilitaciju u Specijalnoj bolnici za ortopediju i rehabilitaciju „Martin Horvat“ Rovinj 35.576,28 eura, obvezu temeljem Ugovora o isplati kapitalne pomoći Dnevnom centru Veruda – Pula u iznosu od 64.429,53 eura te na obveze za naplaćene prihode proračunskih korisnika na zajednički transakcijski račun u iznosu od 42.123,12 eura.</w:t>
      </w:r>
    </w:p>
    <w:p w:rsidR="00E925E1" w:rsidRDefault="00E925E1"/>
    <w:p w:rsidR="00E925E1" w:rsidRDefault="00000000">
      <w:pPr>
        <w:keepNext/>
        <w:spacing w:line="240" w:lineRule="auto"/>
        <w:jc w:val="center"/>
      </w:pPr>
      <w:r>
        <w:rPr>
          <w:sz w:val="28"/>
        </w:rPr>
        <w:t>Bilješka 81.</w:t>
      </w:r>
    </w:p>
    <w:p w:rsidR="00E925E1" w:rsidRDefault="00000000">
      <w:pPr>
        <w:spacing w:line="240" w:lineRule="auto"/>
        <w:jc w:val="both"/>
      </w:pPr>
      <w:r>
        <w:rPr>
          <w:b/>
        </w:rPr>
        <w:t>EU izvještaj</w:t>
      </w:r>
    </w:p>
    <w:p w:rsidR="00E925E1" w:rsidRDefault="00000000">
      <w:r>
        <w:t>Pomoći od međunarodnih organizacija i tijela EU u 2024. godini realizirane su u iznosu od 43.643,11 eura, a odnosile su se na pomoć doznačenu od Općine Piran (Republika Slovenija) za refundaciju troškova po projektu „Istraconnect“ koji se provodio u razdoblju od 1. lipnja 2022. godine do 30. lipnja 2023. godine u okviru Programa suradnje Interreg V-A Slovenija – Hrvatska, sufinanciran sredstvima Europskog fonda za regionalni razvoj. Od toga se iznos od 28.028,46 eura odnosio na tekuću, a iznos od 15.614,65 eura na kapitalnu pomoć.</w:t>
      </w:r>
    </w:p>
    <w:p w:rsidR="00E925E1" w:rsidRDefault="00E925E1"/>
    <w:sectPr w:rsidR="00E92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E1"/>
    <w:rsid w:val="00083A43"/>
    <w:rsid w:val="004E337D"/>
    <w:rsid w:val="00E925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EF01C-9182-4ACE-8D71-C29FD33A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8598</Words>
  <Characters>49011</Characters>
  <Application>Microsoft Office Word</Application>
  <DocSecurity>0</DocSecurity>
  <Lines>408</Lines>
  <Paragraphs>114</Paragraphs>
  <ScaleCrop>false</ScaleCrop>
  <Company/>
  <LinksUpToDate>false</LinksUpToDate>
  <CharactersWithSpaces>57495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Loreta Makovac</cp:lastModifiedBy>
  <cp:revision>2</cp:revision>
  <dcterms:created xsi:type="dcterms:W3CDTF">2026-02-11T14:23:00Z</dcterms:created>
  <dcterms:modified xsi:type="dcterms:W3CDTF">2026-02-11T14:23:00Z</dcterms:modified>
</cp:coreProperties>
</file>