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2268" w:leader="none"/>
        </w:tabs>
        <w:ind w:right="3969" w:hanging="0"/>
        <w:rPr>
          <w:rFonts w:ascii="Arial" w:hAnsi="Arial" w:cs="Arial"/>
        </w:rPr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  <w:lang w:val="it-IT" w:eastAsia="hr-HR"/>
        </w:rPr>
        <w:t xml:space="preserve">         </w:t>
      </w:r>
      <w:r>
        <w:rPr>
          <w:rFonts w:cs="Arial" w:ascii="Arial" w:hAnsi="Arial"/>
          <w:i w:val="false"/>
          <w:iCs w:val="false"/>
          <w:sz w:val="22"/>
          <w:szCs w:val="22"/>
          <w:lang w:val="it-IT" w:eastAsia="hr-HR"/>
        </w:rPr>
        <w:t xml:space="preserve">    </w:t>
      </w:r>
      <w:r>
        <w:rPr>
          <w:rFonts w:cs="Arial" w:ascii="Arial" w:hAnsi="Arial"/>
          <w:i w:val="false"/>
          <w:iCs w:val="false"/>
          <w:sz w:val="24"/>
          <w:szCs w:val="24"/>
          <w:lang w:val="it-IT" w:eastAsia="hr-HR"/>
        </w:rPr>
        <w:t xml:space="preserve">           </w:t>
      </w:r>
      <w:r>
        <w:rPr/>
        <w:drawing>
          <wp:inline distT="0" distB="0" distL="0" distR="0">
            <wp:extent cx="244475" cy="320675"/>
            <wp:effectExtent l="0" t="0" r="0" b="0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6" t="-161" r="-206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false"/>
        <w:rPr>
          <w:bCs/>
          <w:i w:val="false"/>
          <w:i w:val="false"/>
          <w:iCs w:val="false"/>
          <w:sz w:val="24"/>
          <w:szCs w:val="24"/>
          <w:lang w:val="it-IT" w:eastAsia="hr-HR"/>
        </w:rPr>
      </w:pPr>
      <w:r>
        <w:rPr>
          <w:bCs/>
          <w:i w:val="false"/>
          <w:iCs w:val="false"/>
          <w:sz w:val="24"/>
          <w:szCs w:val="24"/>
          <w:lang w:val="it-IT" w:eastAsia="hr-HR"/>
        </w:rPr>
        <w:t>REPUBLIKA HRVATSKA - REPUBBLICA DI CROAZIA</w:t>
        <w:tab/>
        <w:tab/>
        <w:tab/>
        <w:tab/>
        <w:tab/>
      </w:r>
    </w:p>
    <w:p>
      <w:pPr>
        <w:pStyle w:val="Normal"/>
        <w:suppressAutoHyphens w:val="false"/>
        <w:jc w:val="both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12725" cy="260350"/>
            <wp:effectExtent l="0" t="0" r="0" b="0"/>
            <wp:wrapTight wrapText="bothSides">
              <wp:wrapPolygon edited="0">
                <wp:start x="-596" y="0"/>
                <wp:lineTo x="-596" y="20859"/>
                <wp:lineTo x="21591" y="20859"/>
                <wp:lineTo x="21591" y="0"/>
                <wp:lineTo x="-596" y="0"/>
              </wp:wrapPolygon>
            </wp:wrapTight>
            <wp:docPr id="2" name="Slik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78" t="-980" r="-1178" b="-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i w:val="false"/>
          <w:iCs w:val="false"/>
          <w:sz w:val="24"/>
          <w:szCs w:val="24"/>
          <w:lang w:val="it-IT" w:eastAsia="hr-HR"/>
        </w:rPr>
        <w:t>I</w:t>
      </w:r>
      <w:r>
        <w:rPr>
          <w:bCs/>
          <w:i w:val="false"/>
          <w:iCs w:val="false"/>
          <w:sz w:val="24"/>
          <w:szCs w:val="24"/>
          <w:lang w:val="it-IT" w:eastAsia="hr-HR"/>
        </w:rPr>
        <w:t>STARSKA ŽUPANIJA - REGIONE ISTRIANA</w:t>
        <w:tab/>
      </w:r>
      <w:r>
        <w:rPr>
          <w:b/>
          <w:i w:val="false"/>
          <w:iCs w:val="false"/>
          <w:sz w:val="24"/>
          <w:szCs w:val="24"/>
          <w:lang w:val="it-IT" w:eastAsia="hr-HR"/>
        </w:rPr>
        <w:tab/>
        <w:tab/>
        <w:t xml:space="preserve">                              </w:t>
      </w:r>
    </w:p>
    <w:p>
      <w:pPr>
        <w:pStyle w:val="Normal"/>
        <w:suppressAutoHyphens w:val="false"/>
        <w:jc w:val="both"/>
        <w:rPr>
          <w:b/>
          <w:b/>
          <w:i w:val="false"/>
          <w:i w:val="false"/>
          <w:iCs w:val="false"/>
          <w:sz w:val="24"/>
          <w:szCs w:val="24"/>
          <w:lang w:val="it-IT" w:eastAsia="hr-HR"/>
        </w:rPr>
      </w:pPr>
      <w:r>
        <w:rPr>
          <w:b/>
          <w:i w:val="false"/>
          <w:iCs w:val="false"/>
          <w:sz w:val="24"/>
          <w:szCs w:val="24"/>
          <w:lang w:val="it-IT" w:eastAsia="hr-HR"/>
        </w:rPr>
        <w:t>GRAD BUJE - BUIE</w:t>
      </w:r>
    </w:p>
    <w:p>
      <w:pPr>
        <w:pStyle w:val="Normal"/>
        <w:suppressAutoHyphens w:val="false"/>
        <w:jc w:val="both"/>
        <w:rPr>
          <w:b/>
          <w:b/>
          <w:i w:val="false"/>
          <w:i w:val="false"/>
          <w:iCs w:val="false"/>
          <w:sz w:val="24"/>
          <w:szCs w:val="24"/>
          <w:lang w:val="it-IT" w:eastAsia="hr-HR"/>
        </w:rPr>
      </w:pPr>
      <w:r>
        <w:rPr>
          <w:b/>
          <w:i w:val="false"/>
          <w:iCs w:val="false"/>
          <w:sz w:val="24"/>
          <w:szCs w:val="24"/>
          <w:lang w:val="it-IT" w:eastAsia="hr-HR"/>
        </w:rPr>
        <w:t>CITTÀ DI BUJE – BUIE</w:t>
      </w:r>
    </w:p>
    <w:p>
      <w:pPr>
        <w:pStyle w:val="Normal"/>
        <w:suppressAutoHyphens w:val="false"/>
        <w:jc w:val="both"/>
        <w:rPr>
          <w:b/>
          <w:b/>
          <w:i w:val="false"/>
          <w:i w:val="false"/>
          <w:iCs w:val="false"/>
          <w:sz w:val="24"/>
          <w:szCs w:val="24"/>
          <w:lang w:val="pl-PL" w:eastAsia="hr-HR"/>
        </w:rPr>
      </w:pPr>
      <w:r>
        <w:rPr>
          <w:b/>
          <w:i w:val="false"/>
          <w:iCs w:val="false"/>
          <w:sz w:val="24"/>
          <w:szCs w:val="24"/>
          <w:lang w:val="pl-PL" w:eastAsia="hr-HR"/>
        </w:rPr>
        <w:t xml:space="preserve">Upravni odjel za prostorno uređenje, </w:t>
      </w:r>
    </w:p>
    <w:p>
      <w:pPr>
        <w:pStyle w:val="Normal"/>
        <w:suppressAutoHyphens w:val="false"/>
        <w:jc w:val="both"/>
        <w:rPr/>
      </w:pPr>
      <w:r>
        <w:rPr>
          <w:b/>
          <w:i w:val="false"/>
          <w:iCs w:val="false"/>
          <w:sz w:val="24"/>
          <w:szCs w:val="24"/>
          <w:lang w:val="pl-PL" w:eastAsia="hr-HR"/>
        </w:rPr>
        <w:t>upravljanje gradskom imovinom</w:t>
      </w:r>
      <w:r>
        <w:rPr>
          <w:i w:val="false"/>
          <w:iCs w:val="false"/>
          <w:sz w:val="24"/>
          <w:szCs w:val="24"/>
          <w:lang w:val="pl-PL" w:eastAsia="hr-HR"/>
        </w:rPr>
        <w:t xml:space="preserve"> </w:t>
      </w:r>
      <w:r>
        <w:rPr>
          <w:b/>
          <w:bCs/>
          <w:i w:val="false"/>
          <w:iCs w:val="false"/>
          <w:sz w:val="24"/>
          <w:szCs w:val="24"/>
          <w:lang w:val="pl-PL" w:eastAsia="hr-HR"/>
        </w:rPr>
        <w:t>i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  <w:sz w:val="24"/>
          <w:szCs w:val="24"/>
          <w:lang w:val="pl-PL" w:eastAsia="hr-HR"/>
        </w:rPr>
      </w:pPr>
      <w:r>
        <w:rPr>
          <w:b/>
          <w:bCs/>
          <w:i w:val="false"/>
          <w:iCs w:val="false"/>
          <w:sz w:val="24"/>
          <w:szCs w:val="24"/>
          <w:lang w:val="pl-PL" w:eastAsia="hr-HR"/>
        </w:rPr>
        <w:t>komunalne djelatnosti</w:t>
      </w:r>
    </w:p>
    <w:p>
      <w:pPr>
        <w:pStyle w:val="Normal"/>
        <w:suppressAutoHyphens w:val="false"/>
        <w:jc w:val="both"/>
        <w:rPr>
          <w:i w:val="false"/>
          <w:i w:val="false"/>
          <w:iCs w:val="false"/>
          <w:sz w:val="24"/>
          <w:szCs w:val="24"/>
          <w:lang w:val="pl-PL" w:eastAsia="hr-HR"/>
        </w:rPr>
      </w:pPr>
      <w:r>
        <w:rPr>
          <w:i w:val="false"/>
          <w:iCs w:val="false"/>
          <w:sz w:val="24"/>
          <w:szCs w:val="24"/>
          <w:lang w:val="pl-PL" w:eastAsia="hr-HR"/>
        </w:rPr>
        <w:t>OIB 19611257971, Istarska 2, Buje</w:t>
      </w:r>
    </w:p>
    <w:p>
      <w:pPr>
        <w:pStyle w:val="Normal"/>
        <w:suppressAutoHyphens w:val="false"/>
        <w:jc w:val="both"/>
        <w:rPr>
          <w:i w:val="false"/>
          <w:i w:val="false"/>
          <w:iCs w:val="false"/>
          <w:sz w:val="24"/>
          <w:szCs w:val="24"/>
          <w:lang w:val="pl-PL" w:eastAsia="hr-HR"/>
        </w:rPr>
      </w:pPr>
      <w:r>
        <w:rPr>
          <w:i w:val="false"/>
          <w:iCs w:val="false"/>
          <w:sz w:val="24"/>
          <w:szCs w:val="24"/>
          <w:lang w:val="pl-PL" w:eastAsia="hr-HR"/>
        </w:rPr>
        <w:t>KLASA:363-01/26-01/10</w:t>
        <w:tab/>
        <w:tab/>
        <w:tab/>
        <w:tab/>
        <w:t xml:space="preserve">            </w:t>
      </w:r>
    </w:p>
    <w:p>
      <w:pPr>
        <w:pStyle w:val="Normal"/>
        <w:suppressAutoHyphens w:val="false"/>
        <w:jc w:val="both"/>
        <w:rPr/>
      </w:pPr>
      <w:r>
        <w:rPr>
          <w:i w:val="false"/>
          <w:iCs w:val="false"/>
          <w:sz w:val="24"/>
          <w:szCs w:val="24"/>
          <w:lang w:val="pl-PL" w:eastAsia="hr-HR"/>
        </w:rPr>
        <w:t>URBROJ:2163-2-04-02/2-26-1</w:t>
        <w:tab/>
        <w:tab/>
        <w:tab/>
        <w:t xml:space="preserve">                   </w:t>
      </w:r>
    </w:p>
    <w:p>
      <w:pPr>
        <w:pStyle w:val="Normal"/>
        <w:rPr/>
      </w:pPr>
      <w:r>
        <w:rPr>
          <w:b/>
          <w:i w:val="false"/>
          <w:iCs w:val="false"/>
          <w:sz w:val="24"/>
          <w:szCs w:val="24"/>
          <w:lang w:val="pl-PL" w:eastAsia="hr-HR"/>
        </w:rPr>
        <w:t>Buje-Buie, 2</w:t>
      </w:r>
      <w:r>
        <w:rPr>
          <w:b/>
          <w:i w:val="false"/>
          <w:iCs w:val="false"/>
          <w:sz w:val="24"/>
          <w:szCs w:val="24"/>
          <w:lang w:val="pl-PL" w:eastAsia="hr-HR"/>
        </w:rPr>
        <w:t>9</w:t>
      </w:r>
      <w:r>
        <w:rPr>
          <w:b/>
          <w:i w:val="false"/>
          <w:iCs w:val="false"/>
          <w:sz w:val="24"/>
          <w:szCs w:val="24"/>
          <w:lang w:val="pl-PL" w:eastAsia="hr-HR"/>
        </w:rPr>
        <w:t xml:space="preserve">.01.2026. </w:t>
      </w:r>
      <w:r>
        <w:rPr>
          <w:b/>
          <w:i w:val="false"/>
          <w:sz w:val="20"/>
          <w:szCs w:val="20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2268" w:leader="none"/>
        </w:tabs>
        <w:ind w:right="3969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spacing w:val="60"/>
        </w:rPr>
      </w:pPr>
      <w:r>
        <w:rPr>
          <w:rFonts w:cs="Arial"/>
          <w:b/>
          <w:spacing w:val="60"/>
        </w:rPr>
        <w:t>JAVNI POZIV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  <w:t>za sufinanciranje  Programa postavljanja urbane opreme na poslovne prostore na području starogradske jezgre Grada Buja-Buie i poslovne prostore u Istarskoj ulici odnosno na pročelja poslovnih prostora koja su okrenuta na Istarsku ulicu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/>
          <w:b/>
          <w:sz w:val="22"/>
          <w:szCs w:val="22"/>
        </w:rPr>
        <w:t>KORISNICI I NAMJENA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Prijavu za sufinanciranje Programa može podnijeti: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- obveznik spomeničke rente,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- poduzetnik koji je obveznik komunalne naknade za poslovni prostor u Istarskoj ulici, odnosno poslovni prostor čije pročelje je okrenuto na Istarsku ulicu.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b/>
          <w:bCs/>
          <w:i/>
          <w:iCs/>
          <w:sz w:val="22"/>
          <w:szCs w:val="22"/>
        </w:rPr>
        <w:t>Poduzetnik</w:t>
      </w:r>
      <w:r>
        <w:rPr>
          <w:rFonts w:cs="Arial"/>
          <w:i/>
          <w:iCs/>
          <w:sz w:val="22"/>
          <w:szCs w:val="22"/>
        </w:rPr>
        <w:t xml:space="preserve"> je svaki subjekt koji se bavi ekonomskom djelatnošću, bez obzira na njegov pravni oblik, a posebno uključuje i samozaposlene osobe i obiteljske poduzetnike koji se bave obrtom ili drugim djelatnostima te partnerstva ili udruženja koja se redovno bave ekonomskom djelatnošću sukladno Prilogu I. Uredbe o općem skupnom izuzeću o ocjenjivanju određenih kategorija potpora spojivima s unutarnjim tržištem u primjeni članaka 107. i 108. Ugovora.</w:t>
      </w:r>
    </w:p>
    <w:p>
      <w:pPr>
        <w:pStyle w:val="Normal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Prijavu za sufinanciranje Programa ne mogu podnijeti vlasnici/suvlasnici građevine koji imaju evidentirana dugovanja prema Gradu Buje-Buie, odnosno takva se prijava ne razmatra, a činjenica postojanja dugovanja provjerava se po službenoj dužnosti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/>
          <w:b/>
          <w:sz w:val="22"/>
          <w:szCs w:val="22"/>
        </w:rPr>
        <w:t>UVJETI ZA SUFINANCIRANJE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 w:val="false"/>
          <w:bCs w:val="false"/>
          <w:sz w:val="22"/>
          <w:szCs w:val="22"/>
        </w:rPr>
        <w:t xml:space="preserve">Program koji predlaže 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hr-HR" w:eastAsia="hr-HR" w:bidi="ar-SA"/>
        </w:rPr>
        <w:t>obveznik</w:t>
      </w:r>
      <w:r>
        <w:rPr>
          <w:b w:val="false"/>
          <w:bCs w:val="false"/>
          <w:sz w:val="22"/>
          <w:szCs w:val="22"/>
        </w:rPr>
        <w:t xml:space="preserve"> (u daljnjem tekstu: podnositelj prijave) mora biti cjelovit te obuhvaćati 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hr-HR" w:eastAsia="hr-HR" w:bidi="ar-SA"/>
        </w:rPr>
        <w:t>radnje postavljanja urbane opreme te klimatizacijskih uređaja i drugih uređaja na zgradama, koji se prema posebnim propisima grade bez građevinske dozvole i glavnog projekta, sve kako propisano važećom Odlukom o uvjetima za postavljanje urbane opreme u starogradskoj jezgri i Istarskoj ulici (Službene novine Grada Buja-Buie 13/21).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hr-HR" w:eastAsia="hr-HR" w:bidi="ar-SA"/>
        </w:rPr>
        <w:t xml:space="preserve">Prihvatljivi su programi koji su izvršeni u godini u kojoj je raspisan javni poziv.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rFonts w:cs="Arial"/>
          <w:b w:val="false"/>
          <w:bCs w:val="false"/>
          <w:sz w:val="22"/>
          <w:szCs w:val="22"/>
        </w:rPr>
        <w:t>Podnositelj prijave ima pravo ostvariti pravo na sufinanciranje Programa u smislu ovog javnog poziva  jedanput.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 w:val="false"/>
          <w:bCs w:val="false"/>
          <w:sz w:val="22"/>
          <w:szCs w:val="22"/>
        </w:rPr>
        <w:t>Svi poslovi u svezi s provedbom Programa moraju biti izvedeni sukladno odredbama zakona i drugih propisa kojima se uređuje gradnja te zaštita i očuvanje kulturnih dobara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rFonts w:cs="Arial"/>
          <w:b w:val="false"/>
          <w:bCs w:val="false"/>
          <w:sz w:val="22"/>
          <w:szCs w:val="22"/>
        </w:rPr>
        <w:t>Ako su na građevini ranije bili izvedeni radovi (postavljena urbana oprema te klimatizacijski uređaji i drugi uređaji na zgradama) suprotno propisima, podnositelj prijave dužan je o svom troškui bez prava na sufinanciranje, u okviru izvršenja Programa, izvesti sve potrebne radove na građevini u cilju njezina dovođenja u prvobitno stanje.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/>
          <w:b/>
          <w:sz w:val="22"/>
          <w:szCs w:val="22"/>
        </w:rPr>
        <w:t>RASPOLOŽIVA SREDSTVA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Raspoloživa sredstva za 2026. godinu osigurana su u Proračunu Grada Buje-Buie za 2026. godinu.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/>
          <w:b/>
          <w:sz w:val="22"/>
          <w:szCs w:val="22"/>
        </w:rPr>
        <w:t>IZNOS SUFINANCIRANJA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Troškovi prema pojedinom Programu sufinancirat će se kako slijedi: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a) u 50% iznosu stvarnog troška bez PDV-a, a maksimalno u iznosu od 2.000,00 EUR za pojedinog obveznika.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Iznos sufinanciranja jediničnih cijena određen ugovorom o sufinanciranju i troškovnikom ostaje fiksan i nepromijenjen za cijelo vrijeme trajanja ugovora o sufinanciranju programa do njegovog okončanja.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Prihvatljivi trošak koji se sufinancira je i idejno rješenje sa grafičkim prikazom planiranog zahvata.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/>
          <w:b/>
          <w:sz w:val="22"/>
          <w:szCs w:val="22"/>
        </w:rPr>
        <w:t>RADOVI KOJI SE SUFINANCIRAJU</w:t>
      </w:r>
    </w:p>
    <w:p>
      <w:pPr>
        <w:pStyle w:val="ListParagraph"/>
        <w:ind w:left="72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widowControl/>
        <w:suppressAutoHyphens w:val="true"/>
        <w:bidi w:val="0"/>
        <w:spacing w:before="0" w:after="0"/>
        <w:ind w:left="57" w:right="0" w:hanging="0"/>
        <w:contextualSpacing/>
        <w:jc w:val="both"/>
        <w:rPr>
          <w:rFonts w:ascii="Arial" w:hAnsi="Arial" w:cs="Arial"/>
          <w:b/>
          <w:b/>
        </w:rPr>
      </w:pPr>
      <w:r>
        <w:rPr>
          <w:rFonts w:cs="Arial"/>
          <w:b w:val="false"/>
          <w:bCs w:val="false"/>
          <w:sz w:val="22"/>
          <w:szCs w:val="22"/>
        </w:rPr>
        <w:t>Radnje postavljanja urbane opreme te klimatizacijskih uređaja i drugih uređaja na zgradama, koji se prema posebnim propisima grade bez građevinske dozvole i glavnog projekta, sve kako propisano važećom Odlukom o uvjetima za postavljanje urbane opreme u starogradskoj jezgri i Istarskoj ulici (Službene novine Grada Buja-Buie 13/21), a osobito:</w:t>
      </w:r>
    </w:p>
    <w:p>
      <w:pPr>
        <w:pStyle w:val="ListParagraph"/>
        <w:widowControl/>
        <w:suppressAutoHyphens w:val="true"/>
        <w:bidi w:val="0"/>
        <w:spacing w:before="0" w:after="0"/>
        <w:ind w:left="57" w:right="0" w:hanging="0"/>
        <w:contextualSpacing/>
        <w:jc w:val="both"/>
        <w:rPr>
          <w:rFonts w:ascii="Arial" w:hAnsi="Arial" w:cs="Arial"/>
          <w:b/>
          <w:b/>
        </w:rPr>
      </w:pPr>
      <w:r>
        <w:rPr>
          <w:rFonts w:cs="Arial"/>
          <w:b w:val="false"/>
          <w:bCs w:val="false"/>
          <w:sz w:val="22"/>
          <w:szCs w:val="22"/>
        </w:rPr>
        <w:t>- postavljanje tende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hanging="0"/>
        <w:contextualSpacing/>
        <w:jc w:val="both"/>
        <w:rPr>
          <w:rFonts w:ascii="Arial" w:hAnsi="Arial" w:cs="Arial"/>
          <w:b/>
          <w:b/>
        </w:rPr>
      </w:pPr>
      <w:r>
        <w:rPr>
          <w:rFonts w:cs="Arial"/>
          <w:b w:val="false"/>
          <w:bCs w:val="false"/>
          <w:sz w:val="22"/>
          <w:szCs w:val="22"/>
        </w:rPr>
        <w:t>- tipizirane i ostalim propisima definirane oznake (naziv ulice, kućni broj, natpis sa imenom ugostiteljskog i/ili trgovačkog objekta, fasadni natpisi sa ili bez rasvjete, konzolni istak i sl.)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hanging="0"/>
        <w:contextualSpacing/>
        <w:jc w:val="both"/>
        <w:rPr>
          <w:rFonts w:ascii="Arial" w:hAnsi="Arial" w:cs="Arial"/>
          <w:b/>
          <w:b/>
        </w:rPr>
      </w:pPr>
      <w:r>
        <w:rPr>
          <w:rFonts w:cs="Arial"/>
          <w:b w:val="false"/>
          <w:bCs w:val="false"/>
          <w:sz w:val="22"/>
          <w:szCs w:val="22"/>
        </w:rPr>
        <w:t>- naljepnice i reklamni natpisi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hanging="0"/>
        <w:contextualSpacing/>
        <w:jc w:val="both"/>
        <w:rPr>
          <w:rFonts w:ascii="Arial" w:hAnsi="Arial" w:cs="Arial"/>
          <w:b/>
          <w:b/>
        </w:rPr>
      </w:pPr>
      <w:r>
        <w:rPr>
          <w:rFonts w:cs="Arial"/>
          <w:b w:val="false"/>
          <w:bCs w:val="false"/>
          <w:sz w:val="22"/>
          <w:szCs w:val="22"/>
        </w:rPr>
        <w:t>- rasvjeta i rasvjetna tijela izloga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hanging="0"/>
        <w:contextualSpacing/>
        <w:jc w:val="both"/>
        <w:rPr>
          <w:rFonts w:ascii="Arial" w:hAnsi="Arial" w:cs="Arial"/>
          <w:b/>
          <w:b/>
        </w:rPr>
      </w:pPr>
      <w:r>
        <w:rPr>
          <w:rFonts w:cs="Arial"/>
          <w:b w:val="false"/>
          <w:bCs w:val="false"/>
          <w:sz w:val="22"/>
          <w:szCs w:val="22"/>
        </w:rPr>
        <w:t>- kamera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hanging="0"/>
        <w:contextualSpacing/>
        <w:jc w:val="both"/>
        <w:rPr>
          <w:rFonts w:ascii="Arial" w:hAnsi="Arial" w:cs="Arial"/>
          <w:b/>
          <w:b/>
        </w:rPr>
      </w:pPr>
      <w:r>
        <w:rPr>
          <w:rFonts w:cs="Arial"/>
          <w:b w:val="false"/>
          <w:bCs w:val="false"/>
          <w:sz w:val="22"/>
          <w:szCs w:val="22"/>
        </w:rPr>
        <w:t>- elementi osiguranja koji se mogu realizirati kao puni drveni kapci s vanjskim okovom (za prozore i vrata) te škaraste ili namotavajuće perforirane željezne rešetke; ovisno o karakteru građevine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hanging="0"/>
        <w:contextualSpacing/>
        <w:jc w:val="both"/>
        <w:rPr>
          <w:rFonts w:ascii="Arial" w:hAnsi="Arial" w:cs="Arial"/>
          <w:b/>
          <w:b/>
        </w:rPr>
      </w:pPr>
      <w:r>
        <w:rPr>
          <w:rFonts w:cs="Arial"/>
          <w:b w:val="false"/>
          <w:bCs w:val="false"/>
          <w:sz w:val="22"/>
          <w:szCs w:val="22"/>
        </w:rPr>
        <w:t>- postavljanje klima uređaja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hanging="0"/>
        <w:contextualSpacing/>
        <w:jc w:val="both"/>
        <w:rPr>
          <w:rFonts w:ascii="Arial" w:hAnsi="Arial" w:cs="Arial"/>
          <w:b/>
          <w:b/>
        </w:rPr>
      </w:pPr>
      <w:r>
        <w:rPr>
          <w:rFonts w:cs="Arial"/>
          <w:b w:val="false"/>
          <w:bCs w:val="false"/>
          <w:sz w:val="22"/>
          <w:szCs w:val="22"/>
        </w:rPr>
        <w:t>- terase, stolovi i stolice na terasama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hanging="0"/>
        <w:contextualSpacing/>
        <w:jc w:val="both"/>
        <w:rPr>
          <w:rFonts w:ascii="Arial" w:hAnsi="Arial" w:cs="Arial"/>
          <w:b/>
          <w:b/>
        </w:rPr>
      </w:pPr>
      <w:r>
        <w:rPr>
          <w:rFonts w:cs="Arial"/>
          <w:b w:val="false"/>
          <w:bCs w:val="false"/>
          <w:sz w:val="22"/>
          <w:szCs w:val="22"/>
        </w:rPr>
        <w:t>- reklamni A-stalci</w:t>
      </w:r>
    </w:p>
    <w:p>
      <w:pPr>
        <w:pStyle w:val="ListParagraph"/>
        <w:ind w:left="72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ind w:left="72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/>
          <w:b/>
          <w:sz w:val="22"/>
          <w:szCs w:val="22"/>
        </w:rPr>
        <w:t>ROKOVI ZA PODNOŠENJE ZAHTJEVA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  <w:u w:val="single"/>
        </w:rPr>
        <w:t xml:space="preserve">Javni poziv je otvoren </w:t>
      </w:r>
      <w:r>
        <w:rPr>
          <w:rFonts w:cs="Arial"/>
          <w:b/>
          <w:bCs/>
          <w:sz w:val="22"/>
          <w:szCs w:val="22"/>
          <w:u w:val="single"/>
        </w:rPr>
        <w:t>od 02.02.2026. do 02.06.2026. godine do 12,00 h kada zahtjev mora biti zaprimljen u pisarnici Grada Buja-Buie, Istarska 2, 52460 Buje</w:t>
      </w:r>
      <w:r>
        <w:rPr>
          <w:rFonts w:cs="Arial"/>
          <w:sz w:val="22"/>
          <w:szCs w:val="22"/>
          <w:u w:val="single"/>
        </w:rPr>
        <w:t>. Zahtjevi zaprimljeni izvan tog roka neće se razmatrati.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/>
          <w:b/>
          <w:sz w:val="22"/>
          <w:szCs w:val="22"/>
        </w:rPr>
        <w:t>PREDAJA ZAHTJEVA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rFonts w:cs="Arial"/>
          <w:b w:val="false"/>
          <w:bCs w:val="false"/>
          <w:sz w:val="22"/>
          <w:szCs w:val="22"/>
        </w:rPr>
        <w:t xml:space="preserve">Prijavu podnositelj prijave Gradu treba dostaviti ispisanu, sa svom potrebnom dokumentacijom određenom u obrascu prijave, u zatvorenoj omotnici na adresu: 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hr-HR" w:eastAsia="hr-HR" w:bidi="ar-SA"/>
        </w:rPr>
        <w:t>Grad Buje-Buie, Istarska 2, 52460 Buje, sa naznakom Javni poziv – urbana oprema – sufinanciranje.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/>
          <w:b/>
          <w:sz w:val="22"/>
          <w:szCs w:val="22"/>
        </w:rPr>
        <w:t>POTREBNA DOKUMENTACIJA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Times New Roman" w:cs="Arial"/>
          <w:b/>
          <w:bCs/>
          <w:color w:val="000000" w:themeColor="text1"/>
          <w:kern w:val="0"/>
          <w:sz w:val="22"/>
          <w:szCs w:val="22"/>
          <w:lang w:val="hr-HR" w:eastAsia="hr-HR" w:bidi="ar-SA"/>
        </w:rPr>
        <w:t>Prijava sadrži obvezatnu dokumentaciju kako slijedi: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Times New Roman" w:cs="Arial"/>
          <w:color w:val="000000" w:themeColor="text1"/>
          <w:kern w:val="0"/>
          <w:sz w:val="22"/>
          <w:szCs w:val="22"/>
          <w:lang w:val="hr-HR" w:eastAsia="hr-HR" w:bidi="ar-SA"/>
        </w:rPr>
        <w:t xml:space="preserve">- </w:t>
      </w:r>
      <w:r>
        <w:rPr>
          <w:rFonts w:cs="Arial"/>
          <w:color w:val="000000" w:themeColor="text1"/>
          <w:sz w:val="22"/>
          <w:szCs w:val="22"/>
        </w:rPr>
        <w:t xml:space="preserve"> popunjeni obrazac prijave (obrazac 1),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color w:val="000000" w:themeColor="text1"/>
          <w:sz w:val="22"/>
          <w:szCs w:val="22"/>
        </w:rPr>
        <w:t>- idejno rješenje sa grafičkim prikazom planiranog zahvata (Idejno rješenje mora sadržavati fotografije postojećeg stanja, nacrt postojećeg stanja, nacrt novo planiranog stanja, ukoliko postoji mogućnost 3D prikaz / vizualizaciju novo planiranog stanja i tehnički opis namjeravanog zahvata),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color w:val="000000" w:themeColor="text1"/>
          <w:sz w:val="22"/>
          <w:szCs w:val="22"/>
        </w:rPr>
        <w:t>- potvrda Porezne uprave o podmirenju obveza javnih davanja, ili drugi važeći jednakovrijedni dokument koje je izdalo nadležno tijelo, ne starija od 30 dana od dana prijave na Poziv,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color w:val="000000" w:themeColor="text1"/>
          <w:sz w:val="22"/>
          <w:szCs w:val="22"/>
        </w:rPr>
        <w:t>- ponudbeni troškovnik opreme, radova i usluga s naznačenim jediničnim cijenama i istaknutim PDV-om, s rekapitulacijom troškova, za svaku lokaciju provedbe Programa,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color w:val="000000" w:themeColor="text1"/>
          <w:sz w:val="22"/>
          <w:szCs w:val="22"/>
        </w:rPr>
        <w:t>-  popunjeni obrazac 2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color w:val="000000" w:themeColor="text1"/>
          <w:sz w:val="22"/>
          <w:szCs w:val="22"/>
        </w:rPr>
        <w:t>-  popunjeni obrazac 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color w:val="000000" w:themeColor="text1"/>
          <w:sz w:val="22"/>
          <w:szCs w:val="22"/>
        </w:rPr>
        <w:t>-  popunjeni obrazac 4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/>
          <w:b/>
          <w:sz w:val="22"/>
          <w:szCs w:val="22"/>
        </w:rPr>
        <w:t>KRITERIJI ZA DODJELU SUFINANCIRANJA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Nakon isteka roka, pristigle prijave dostavljaju se Povjerenstvu za obradu prijava.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Povjerenstvo obavlja sljedeće poslove: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-   provjerava da li je prijava pravodobna i potpuna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- stručno vrednovanje podnesenih prijava (usklađenost Programa sa Odlukom o uvjetima za postavljanje urbane opreme u starogradskoj jezgri i Istarskoj ulici (Službene novine Grada Buja-Buie 13/21),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-   utvrđuje prijedlog Liste.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Redoslijed Programa na prijedlogu Liste utvrđuje se na osnovi datuma podnošenja pravodobne i potpune prijave koja je u skladu sa odredbama Odluke o uvjetima za postavljanje urbane opreme u starogradskoj jezgri i Istarskoj ulici (Službene novine Grada Buja-Buie 13/21).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/>
          <w:b/>
          <w:sz w:val="22"/>
          <w:szCs w:val="22"/>
        </w:rPr>
        <w:t>POSTUPAK DODJELE SUFINANCIRANJA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Nakon utvrđenog prijedloga Liste, prema redoslijedu na prijedlogu Liste, pozivati će se podnositelji prijava radi sklapanja predugovora o sufinanciranju.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Ako se pojedini podnositelj prijave ne odazove pozivu u roku od petnaest dana od dana dostave poziva, smatrat će se da je odustao od provedbe Programa te će se pozvati sljedećeg po redoslijedu na prijedlogu Liste.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Na osnovi sklopljenih predugovora konačni redoslijed Programa i Listu utvrđuje Gradonačelnik na prijedlog Povjerenstva, najkasnije do 30. lipnja tekuće godine u kojoj je poziv objavljen.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Listu će objaviti na web stranici Grada.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Podnositelj prijave koji je uvršten na Listu će, nakon provedbe Programa, s Gradom sklopiti ugovor o sufinanciranju.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rFonts w:cs="Arial"/>
          <w:b w:val="false"/>
          <w:bCs w:val="false"/>
          <w:sz w:val="22"/>
          <w:szCs w:val="22"/>
        </w:rPr>
        <w:t>Korisnik je dužan dostaviti izvješće o izvršenju Programa, a najkasnije do 1. prosinca tekuće godine.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rFonts w:cs="Arial"/>
          <w:b w:val="false"/>
          <w:bCs w:val="false"/>
          <w:sz w:val="22"/>
          <w:szCs w:val="22"/>
        </w:rPr>
        <w:t>Izvješće sadrži: opis zahvata, ovjerenu privremenu ili okončanu situaciju, ili račun ili računovodstveni dokument jednake dokazne vrijednosti te dokaz o plaćanju računa (izvod iz transakcijskog računa ili drugi odgovarajući dokaz).</w:t>
      </w:r>
      <w:r>
        <w:rPr>
          <w:rFonts w:cs="Arial"/>
          <w:b/>
          <w:bCs w:val="false"/>
          <w:sz w:val="28"/>
          <w:szCs w:val="28"/>
        </w:rPr>
        <w:t xml:space="preserve"> </w:t>
      </w:r>
      <w:r>
        <w:rPr>
          <w:rFonts w:cs="Arial"/>
          <w:b w:val="false"/>
          <w:bCs w:val="false"/>
          <w:sz w:val="22"/>
          <w:szCs w:val="22"/>
        </w:rPr>
        <w:t>Izvješće se podnosi na propisanom obrascu.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rFonts w:cs="Arial"/>
          <w:b w:val="false"/>
          <w:bCs w:val="false"/>
          <w:sz w:val="22"/>
          <w:szCs w:val="22"/>
        </w:rPr>
        <w:t>Sufinanciranje Programa obavlja se na temelju zahtjeva Korisnika za isplatu sredstava, koji sadrži izvješće o izvršenju Programa.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rFonts w:cs="Arial"/>
          <w:b w:val="false"/>
          <w:bCs w:val="false"/>
          <w:sz w:val="22"/>
          <w:szCs w:val="22"/>
        </w:rPr>
        <w:t>Sredstva za sufinanciranje programa Grad će isplatiti Korisniku u roku od najkasnije 15 dana od dana prihvaćanja zahtjeva.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/>
          <w:b/>
          <w:sz w:val="22"/>
          <w:szCs w:val="22"/>
        </w:rPr>
        <w:t>OSTALO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Ovaj Javni poziv temelji se na odredbama Pravilnika o korištenju sredstava spomeničke rente i općih prihoda za provođenje Programa postavljanja urbane opreme (Službene novine Grada Buja-Buie 25/24).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>Sva pitanja vezana uz ovaj Javni poziv mogu se postaviti telefonom, elektroničkim putem ili osobnim kontaktom: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 xml:space="preserve">Grad Buje-Buie, Istarska 2, Buje – </w:t>
      </w:r>
      <w:r>
        <w:rPr>
          <w:rFonts w:cs="Arial"/>
          <w:sz w:val="22"/>
          <w:szCs w:val="22"/>
        </w:rPr>
        <w:t>Upravni odjel za prostorno uređenje, upravljanje gradskom imovinom i komunalne djelatnosti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 xml:space="preserve">Tel: 052/496-520, mail: </w:t>
      </w:r>
      <w:r>
        <w:rPr>
          <w:rStyle w:val="Internetskapoveznica"/>
          <w:rFonts w:cs="Arial"/>
          <w:sz w:val="22"/>
          <w:szCs w:val="22"/>
        </w:rPr>
        <w:t>d.lakoseljac@buje.hr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  <w:sz w:val="22"/>
          <w:szCs w:val="22"/>
          <w:u w:val="single"/>
        </w:rPr>
        <w:t xml:space="preserve">Kao pomoćno gradivo za pravilnu primjenu Pravilnika o korištenju sredstava spomeničke rente i općih prihoda za provođenje Programa postavljanja urbane opreme (Službene novine Grada Buja-Buie 25/24) </w:t>
      </w:r>
      <w:r>
        <w:rPr>
          <w:rFonts w:cs="Arial"/>
          <w:b/>
          <w:bCs/>
          <w:sz w:val="22"/>
          <w:szCs w:val="22"/>
          <w:u w:val="single"/>
        </w:rPr>
        <w:t>koristiti Elaborat urbane opreme</w:t>
      </w:r>
      <w:r>
        <w:rPr>
          <w:rFonts w:cs="Arial"/>
          <w:sz w:val="22"/>
          <w:szCs w:val="22"/>
          <w:u w:val="single"/>
        </w:rPr>
        <w:t xml:space="preserve"> koji je dostupan: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Style w:val="Internetskapoveznica"/>
          <w:rFonts w:cs="Arial"/>
          <w:sz w:val="22"/>
          <w:szCs w:val="22"/>
          <w:u w:val="none"/>
        </w:rPr>
        <w:t>https://buje.hr/odluka-o-uvjetima-za-postavljanje-urbane-opreme-u-starogradskoj-jezgri-i-istarskoj-ulici/</w:t>
      </w:r>
    </w:p>
    <w:p>
      <w:pPr>
        <w:pStyle w:val="Normal"/>
        <w:jc w:val="both"/>
        <w:rPr>
          <w:rStyle w:val="Internetskapoveznica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Style w:val="Internetskapoveznica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Style w:val="Internetskapoveznica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  <w:b/>
          <w:bCs/>
          <w:sz w:val="22"/>
          <w:szCs w:val="22"/>
          <w:u w:val="none"/>
        </w:rPr>
        <w:t>GRAD BUJE-BUIE</w:t>
      </w:r>
    </w:p>
    <w:p>
      <w:pPr>
        <w:pStyle w:val="Normal"/>
        <w:suppressAutoHyphens w:val="false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val="pl-PL" w:eastAsia="hr-HR"/>
        </w:rPr>
      </w:pPr>
      <w:r>
        <w:rPr>
          <w:b w:val="false"/>
          <w:bCs w:val="false"/>
          <w:i w:val="false"/>
          <w:iCs w:val="false"/>
          <w:sz w:val="24"/>
          <w:szCs w:val="24"/>
          <w:lang w:val="pl-PL" w:eastAsia="hr-HR"/>
        </w:rPr>
        <w:t xml:space="preserve">Upravni odjel za prostorno uređenje, </w:t>
      </w:r>
    </w:p>
    <w:p>
      <w:pPr>
        <w:pStyle w:val="Normal"/>
        <w:suppressAutoHyphens w:val="false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sz w:val="24"/>
          <w:szCs w:val="24"/>
          <w:lang w:val="pl-PL" w:eastAsia="hr-HR"/>
        </w:rPr>
        <w:t>upravljanje gradskom imovinom i</w:t>
      </w:r>
    </w:p>
    <w:p>
      <w:pPr>
        <w:pStyle w:val="Normal"/>
        <w:suppressAutoHyphens w:val="false"/>
        <w:jc w:val="center"/>
        <w:rPr>
          <w:rFonts w:ascii="Arial" w:hAnsi="Arial" w:cs="Arial"/>
        </w:rPr>
      </w:pPr>
      <w:r>
        <w:rPr>
          <w:rFonts w:cs="Arial"/>
          <w:b w:val="false"/>
          <w:bCs w:val="false"/>
          <w:i w:val="false"/>
          <w:iCs w:val="false"/>
          <w:sz w:val="22"/>
          <w:szCs w:val="22"/>
          <w:u w:val="none"/>
          <w:lang w:val="pl-PL" w:eastAsia="hr-HR"/>
        </w:rPr>
        <w:t>komunalne djelatnosti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  <w:sz w:val="22"/>
          <w:szCs w:val="22"/>
          <w:u w:val="none"/>
        </w:rPr>
        <w:t>Pročelnik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  <w:sz w:val="22"/>
          <w:szCs w:val="22"/>
          <w:u w:val="none"/>
        </w:rPr>
        <w:t>Elvis Glavičić</w:t>
      </w:r>
    </w:p>
    <w:sectPr>
      <w:type w:val="nextPage"/>
      <w:pgSz w:w="11906" w:h="16838"/>
      <w:pgMar w:left="1417" w:right="1417" w:header="0" w:top="1079" w:footer="0" w:bottom="125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RO_Bookman-Norm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d0a0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3">
    <w:name w:val="Heading 3"/>
    <w:basedOn w:val="Normal"/>
    <w:next w:val="Normal"/>
    <w:link w:val="Heading3Char"/>
    <w:qFormat/>
    <w:rsid w:val="00ca101d"/>
    <w:pPr>
      <w:keepNext w:val="true"/>
      <w:spacing w:before="240" w:after="60"/>
      <w:outlineLvl w:val="2"/>
    </w:pPr>
    <w:rPr>
      <w:rFonts w:ascii="CRO_Bookman-Normal" w:hAnsi="CRO_Bookman-Normal"/>
      <w:b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rsid w:val="000d0a0f"/>
    <w:rPr>
      <w:color w:val="0000FF"/>
      <w:u w:val="single"/>
    </w:rPr>
  </w:style>
  <w:style w:type="character" w:styleId="BalloonTextChar" w:customStyle="1">
    <w:name w:val="Balloon Text Char"/>
    <w:link w:val="BalloonText"/>
    <w:qFormat/>
    <w:rsid w:val="00120acf"/>
    <w:rPr>
      <w:rFonts w:ascii="Segoe UI" w:hAnsi="Segoe UI" w:cs="Segoe UI"/>
      <w:sz w:val="18"/>
      <w:szCs w:val="18"/>
    </w:rPr>
  </w:style>
  <w:style w:type="character" w:styleId="Zadanifontodlomka1" w:customStyle="1">
    <w:name w:val="Zadani font odlomka1"/>
    <w:qFormat/>
    <w:rsid w:val="00e47d5f"/>
    <w:rPr/>
  </w:style>
  <w:style w:type="character" w:styleId="Hiperveza1" w:customStyle="1">
    <w:name w:val="Hiperveza1"/>
    <w:qFormat/>
    <w:rsid w:val="003e412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b4161"/>
    <w:rPr>
      <w:color w:val="605E5C"/>
      <w:shd w:fill="E1DFDD" w:val="clear"/>
    </w:rPr>
  </w:style>
  <w:style w:type="character" w:styleId="Heading3Char" w:customStyle="1">
    <w:name w:val="Heading 3 Char"/>
    <w:basedOn w:val="DefaultParagraphFont"/>
    <w:link w:val="Heading3"/>
    <w:qFormat/>
    <w:rsid w:val="00ca101d"/>
    <w:rPr>
      <w:rFonts w:ascii="CRO_Bookman-Normal" w:hAnsi="CRO_Bookman-Normal"/>
      <w:b/>
      <w:sz w:val="24"/>
      <w:lang w:val="en-US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qFormat/>
    <w:rsid w:val="00120acf"/>
    <w:pPr/>
    <w:rPr>
      <w:rFonts w:ascii="Segoe UI" w:hAnsi="Segoe UI"/>
      <w:sz w:val="18"/>
      <w:szCs w:val="18"/>
      <w:lang w:val="x-none" w:eastAsia="x-none"/>
    </w:rPr>
  </w:style>
  <w:style w:type="paragraph" w:styleId="Odlomakpopisa1" w:customStyle="1">
    <w:name w:val="Odlomak popisa1"/>
    <w:basedOn w:val="Normal"/>
    <w:qFormat/>
    <w:rsid w:val="00e47d5f"/>
    <w:pPr>
      <w:ind w:left="720" w:hanging="0"/>
    </w:pPr>
    <w:rPr/>
  </w:style>
  <w:style w:type="paragraph" w:styleId="ListParagraph">
    <w:name w:val="List Paragraph"/>
    <w:basedOn w:val="Normal"/>
    <w:uiPriority w:val="34"/>
    <w:qFormat/>
    <w:rsid w:val="00f30db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LibreOffice/6.4.3.2$Windows_X86_64 LibreOffice_project/747b5d0ebf89f41c860ec2a39efd7cb15b54f2d8</Application>
  <Pages>4</Pages>
  <Words>1196</Words>
  <Characters>7478</Characters>
  <CharactersWithSpaces>8700</CharactersWithSpaces>
  <Paragraphs>87</Paragraphs>
  <Company>Grad Bjelovar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2024-11-20T12:11:00Z</dcterms:created>
  <dc:creator>djusta</dc:creator>
  <dc:description/>
  <dc:language>hr-HR</dc:language>
  <cp:lastModifiedBy/>
  <cp:lastPrinted>2026-01-29T13:14:41Z</cp:lastPrinted>
  <dcterms:modified xsi:type="dcterms:W3CDTF">2026-01-29T13:15:10Z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Grad Bjelovar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