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1F" w:rsidRDefault="00643D1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Izjava</w:t>
      </w:r>
    </w:p>
    <w:p w:rsidR="00643D1F" w:rsidRDefault="00643D1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o korištenim potporama male vrijednosti </w:t>
      </w:r>
    </w:p>
    <w:p w:rsidR="00643D1F" w:rsidRDefault="00643D1F">
      <w:pPr>
        <w:rPr>
          <w:rFonts w:ascii="Garamond" w:eastAsia="PMingLiU" w:hAnsi="Garamond"/>
          <w:sz w:val="20"/>
          <w:szCs w:val="20"/>
          <w:lang w:eastAsia="zh-TW"/>
        </w:rPr>
      </w:pPr>
    </w:p>
    <w:p w:rsidR="00643D1F" w:rsidRDefault="00643D1F">
      <w:pPr>
        <w:rPr>
          <w:rFonts w:ascii="Garamond" w:hAnsi="Garamond" w:cs="Calibri"/>
          <w:bCs/>
          <w:sz w:val="22"/>
          <w:szCs w:val="22"/>
          <w:lang w:eastAsia="en-US"/>
        </w:rPr>
      </w:pPr>
      <w:r>
        <w:rPr>
          <w:rFonts w:ascii="Garamond" w:eastAsia="PMingLiU" w:hAnsi="Garamond" w:cs="Arial"/>
          <w:b/>
          <w:sz w:val="20"/>
          <w:szCs w:val="20"/>
          <w:lang w:eastAsia="zh-TW"/>
        </w:rPr>
        <w:t>Potpora male vrijednosti</w:t>
      </w:r>
      <w:r>
        <w:rPr>
          <w:rFonts w:ascii="Garamond" w:eastAsia="PMingLiU" w:hAnsi="Garamond" w:cs="Arial"/>
          <w:sz w:val="20"/>
          <w:szCs w:val="20"/>
          <w:lang w:eastAsia="zh-TW"/>
        </w:rPr>
        <w:t xml:space="preserve"> </w:t>
      </w:r>
      <w:r w:rsidR="007A1BC1">
        <w:rPr>
          <w:rFonts w:ascii="Garamond" w:eastAsia="PMingLiU" w:hAnsi="Garamond" w:cs="Arial"/>
          <w:sz w:val="20"/>
          <w:szCs w:val="20"/>
          <w:lang w:eastAsia="zh-TW"/>
        </w:rPr>
        <w:t xml:space="preserve">ne smije biti veća od 300.000 EUR tijekom tri fiskalne godine </w:t>
      </w:r>
      <w:r w:rsidR="00DA66BA">
        <w:rPr>
          <w:rFonts w:ascii="Garamond" w:eastAsia="PMingLiU" w:hAnsi="Garamond" w:cs="Arial"/>
          <w:sz w:val="20"/>
          <w:szCs w:val="20"/>
          <w:lang w:eastAsia="zh-TW"/>
        </w:rPr>
        <w:t xml:space="preserve">sukladno </w:t>
      </w:r>
      <w:r w:rsidR="00DA66BA" w:rsidRPr="00DA66BA">
        <w:rPr>
          <w:rFonts w:ascii="Garamond" w:eastAsia="Calibri" w:hAnsi="Garamond"/>
          <w:sz w:val="20"/>
          <w:szCs w:val="20"/>
        </w:rPr>
        <w:t>pravilima</w:t>
      </w:r>
      <w:r w:rsidR="004E0A5A" w:rsidRPr="00DA66BA">
        <w:rPr>
          <w:rFonts w:ascii="Garamond" w:eastAsia="Calibri" w:hAnsi="Garamond"/>
          <w:sz w:val="20"/>
          <w:szCs w:val="20"/>
        </w:rPr>
        <w:t xml:space="preserve"> Uredbe komisije (EU)  2023/2831 od 13. prosinca 2023. godine o primjeni članaka 107. i 108. Ugovora o funkcioniranju Europske unije na </w:t>
      </w:r>
      <w:r w:rsidR="004E0A5A" w:rsidRPr="00DA66BA">
        <w:rPr>
          <w:rFonts w:ascii="Garamond" w:eastAsia="Calibri" w:hAnsi="Garamond"/>
          <w:i/>
          <w:sz w:val="20"/>
          <w:szCs w:val="20"/>
        </w:rPr>
        <w:t>de minimis</w:t>
      </w:r>
      <w:r w:rsidR="004E0A5A" w:rsidRPr="00DA66BA">
        <w:rPr>
          <w:rFonts w:ascii="Garamond" w:eastAsia="Calibri" w:hAnsi="Garamond"/>
          <w:sz w:val="20"/>
          <w:szCs w:val="20"/>
        </w:rPr>
        <w:t xml:space="preserve"> potpore (Službeni list Europske unije L 2023/2831 od 15. prosinca 2023. godine, u  daljem tekstu: Uredba Komisije (EU) 2023/2831</w:t>
      </w:r>
    </w:p>
    <w:p w:rsidR="00643D1F" w:rsidRDefault="00643D1F">
      <w:pPr>
        <w:rPr>
          <w:rFonts w:ascii="Garamond" w:eastAsia="PMingLiU" w:hAnsi="Garamond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/>
      </w:tblPr>
      <w:tblGrid>
        <w:gridCol w:w="2160"/>
        <w:gridCol w:w="11874"/>
      </w:tblGrid>
      <w:tr w:rsidR="00643D1F">
        <w:tc>
          <w:tcPr>
            <w:tcW w:w="2160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Podnositelj zahtjeva za dodjelu potpore:</w:t>
            </w: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Adresa: 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C51157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2023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62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C51157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2024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643D1F">
              <w:tc>
                <w:tcPr>
                  <w:tcW w:w="3681" w:type="dxa"/>
                  <w:vAlign w:val="center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C51157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2025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lastRenderedPageBreak/>
                    <w:t>(DA/NE)</w:t>
                  </w: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EC42C9" w:rsidP="00EC42C9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lastRenderedPageBreak/>
              <w:t xml:space="preserve">Iznos ukupno primljenih potpora 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€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</w:tbl>
    <w:p w:rsidR="004A3DAE" w:rsidRPr="00FE3DA3" w:rsidRDefault="004A3DAE" w:rsidP="004A3DAE">
      <w:pPr>
        <w:ind w:right="505"/>
        <w:contextualSpacing/>
        <w:rPr>
          <w:bCs/>
          <w:color w:val="000000"/>
        </w:rPr>
      </w:pPr>
      <w:r w:rsidRPr="00FE3DA3">
        <w:rPr>
          <w:b/>
          <w:bCs/>
          <w:color w:val="000000"/>
        </w:rPr>
        <w:t>II.  IZJAVA O POZNAVANJU PROPISA O DRŽAVNIM POTPORAMA</w:t>
      </w:r>
    </w:p>
    <w:p w:rsidR="004A3DAE" w:rsidRPr="00FE3DA3" w:rsidRDefault="004A3DAE" w:rsidP="004A3DAE">
      <w:pPr>
        <w:ind w:firstLine="709"/>
        <w:contextualSpacing/>
        <w:jc w:val="both"/>
      </w:pPr>
      <w:r w:rsidRPr="00FE3DA3">
        <w:t xml:space="preserve">Ovom izjavom pod materijalnom i kaznenom odgovornošću izjavljujem da sam upoznat/a s važećim propisima koji reguliraju područje državnih i potpora male vrijednosti </w:t>
      </w:r>
      <w:r w:rsidR="00DA66BA">
        <w:t>(Zakon</w:t>
      </w:r>
      <w:r w:rsidR="00DA66BA" w:rsidRPr="007F573B">
        <w:t xml:space="preserve"> o državnim potporama ("Narodne novine", broj 47/2014 i 69/2017)</w:t>
      </w:r>
      <w:r w:rsidRPr="00FE3DA3">
        <w:t>, odnosno da potpora male vri</w:t>
      </w:r>
      <w:r w:rsidR="00EC42C9">
        <w:t xml:space="preserve">jednosti ne smije biti veća od 300.000 EUR </w:t>
      </w:r>
      <w:r w:rsidRPr="00FE3DA3">
        <w:t>tijekom tri fiskalne godine (</w:t>
      </w:r>
      <w:r w:rsidR="00DA66BA">
        <w:rPr>
          <w:rFonts w:eastAsia="Calibri"/>
        </w:rPr>
        <w:t>Uredba</w:t>
      </w:r>
      <w:r w:rsidR="00DA66BA" w:rsidRPr="007F573B">
        <w:rPr>
          <w:rFonts w:eastAsia="Calibri"/>
        </w:rPr>
        <w:t xml:space="preserve"> komisije (EU)  2023/2831 od 13. prosinca 2023. godine o primjeni članaka 107. i 108. Ugovora o funkcioniranju Europske unije na </w:t>
      </w:r>
      <w:r w:rsidR="00DA66BA" w:rsidRPr="007F573B">
        <w:rPr>
          <w:rFonts w:eastAsia="Calibri"/>
          <w:i/>
        </w:rPr>
        <w:t>de minimis</w:t>
      </w:r>
      <w:r w:rsidR="00DA66BA" w:rsidRPr="007F573B">
        <w:rPr>
          <w:rFonts w:eastAsia="Calibri"/>
        </w:rPr>
        <w:t xml:space="preserve"> potpore (Službeni list Europske unije L 2023/283</w:t>
      </w:r>
      <w:r w:rsidR="00DA66BA">
        <w:rPr>
          <w:rFonts w:eastAsia="Calibri"/>
        </w:rPr>
        <w:t xml:space="preserve">1 od 15. prosinca 2023. godine, </w:t>
      </w:r>
      <w:r w:rsidR="00DA66BA" w:rsidRPr="007F573B">
        <w:rPr>
          <w:rFonts w:eastAsia="Calibri"/>
        </w:rPr>
        <w:t>Uredba Komisije (EU) 2023/2831)</w:t>
      </w:r>
      <w:r w:rsidRPr="00FE3DA3">
        <w:t xml:space="preserve">. </w:t>
      </w:r>
    </w:p>
    <w:p w:rsidR="004A3DAE" w:rsidRPr="00FE3DA3" w:rsidRDefault="004A3DAE" w:rsidP="004A3DAE">
      <w:pPr>
        <w:spacing w:after="100"/>
        <w:ind w:firstLine="709"/>
        <w:contextualSpacing/>
        <w:jc w:val="both"/>
      </w:pPr>
      <w:r w:rsidRPr="00FE3DA3"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Gradu </w:t>
      </w:r>
      <w:r>
        <w:t>Umagu</w:t>
      </w:r>
      <w:r w:rsidRPr="00FE3DA3">
        <w:t xml:space="preserve"> ukupan iznos potpore koja je oglašen nedopuštenim, zajedno sa zateznim kamatama propisanima zakonodavstvom o državnim potporama, i to od datuma korištenja iznosa oglašenog nedopuštenom potporom pa do datuma njegova povrata Gradu </w:t>
      </w:r>
      <w:r>
        <w:t>Umagu</w:t>
      </w:r>
      <w:r w:rsidRPr="00FE3DA3">
        <w:t xml:space="preserve">. </w:t>
      </w:r>
    </w:p>
    <w:p w:rsidR="004A3DAE" w:rsidRPr="00FE3DA3" w:rsidRDefault="004A3DAE" w:rsidP="004A3DAE">
      <w:pPr>
        <w:contextualSpacing/>
        <w:jc w:val="both"/>
      </w:pPr>
    </w:p>
    <w:p w:rsidR="004A3DAE" w:rsidRPr="00FE3DA3" w:rsidRDefault="004A3DAE" w:rsidP="004A3DAE">
      <w:pPr>
        <w:contextualSpacing/>
        <w:rPr>
          <w:b/>
        </w:rPr>
      </w:pPr>
      <w:r w:rsidRPr="00FE3DA3">
        <w:rPr>
          <w:b/>
        </w:rPr>
        <w:t>III.  IZJAVA O PODACIMA U PRIJAVI I KORIŠTENJU OSOBNIH PODATAKA</w:t>
      </w:r>
    </w:p>
    <w:p w:rsidR="004A3DAE" w:rsidRPr="00FE3DA3" w:rsidRDefault="004A3DAE" w:rsidP="004A3DAE">
      <w:pPr>
        <w:ind w:firstLine="709"/>
        <w:contextualSpacing/>
        <w:jc w:val="both"/>
      </w:pPr>
      <w:r w:rsidRPr="00FE3DA3"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:rsidR="004A3DAE" w:rsidRPr="00FE3DA3" w:rsidRDefault="004A3DAE" w:rsidP="004A3DAE">
      <w:pPr>
        <w:contextualSpacing/>
        <w:jc w:val="both"/>
      </w:pPr>
    </w:p>
    <w:p w:rsidR="004A3DAE" w:rsidRDefault="004A3DAE" w:rsidP="004A3DAE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9"/>
        <w:gridCol w:w="4739"/>
        <w:gridCol w:w="4740"/>
      </w:tblGrid>
      <w:tr w:rsidR="004A3DAE" w:rsidTr="00643D1F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M. P.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Calibri"/>
                <w:b/>
                <w:sz w:val="22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Ime i prezime te potpis vlasnika /osobe ovlaštene za zastupanje</w:t>
            </w:r>
          </w:p>
        </w:tc>
      </w:tr>
      <w:tr w:rsidR="004A3DAE" w:rsidTr="00643D1F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A3DAE" w:rsidTr="00643D1F">
        <w:tc>
          <w:tcPr>
            <w:tcW w:w="4739" w:type="dxa"/>
            <w:tcBorders>
              <w:top w:val="nil"/>
              <w:left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A3DAE" w:rsidRDefault="004A3DAE" w:rsidP="004A3DAE">
      <w:pPr>
        <w:rPr>
          <w:rFonts w:ascii="Garamond" w:hAnsi="Garamond" w:cs="Arial"/>
          <w:sz w:val="20"/>
          <w:szCs w:val="20"/>
        </w:rPr>
      </w:pPr>
    </w:p>
    <w:p w:rsidR="004A3DAE" w:rsidRPr="00FE3DA3" w:rsidRDefault="004A3DAE" w:rsidP="004A3DAE">
      <w:pPr>
        <w:contextualSpacing/>
      </w:pPr>
    </w:p>
    <w:p w:rsidR="00643D1F" w:rsidRDefault="00643D1F"/>
    <w:sectPr w:rsidR="00643D1F" w:rsidSect="00C3087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39" w:rsidRDefault="00D96239">
      <w:r>
        <w:separator/>
      </w:r>
    </w:p>
  </w:endnote>
  <w:endnote w:type="continuationSeparator" w:id="1">
    <w:p w:rsidR="00D96239" w:rsidRDefault="00D9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39" w:rsidRDefault="00D96239">
      <w:r>
        <w:separator/>
      </w:r>
    </w:p>
  </w:footnote>
  <w:footnote w:type="continuationSeparator" w:id="1">
    <w:p w:rsidR="00D96239" w:rsidRDefault="00D96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DAE"/>
    <w:rsid w:val="00216D0B"/>
    <w:rsid w:val="0041033E"/>
    <w:rsid w:val="004A3DAE"/>
    <w:rsid w:val="004E0A5A"/>
    <w:rsid w:val="00643D1F"/>
    <w:rsid w:val="007A1BC1"/>
    <w:rsid w:val="008545BE"/>
    <w:rsid w:val="00B7094D"/>
    <w:rsid w:val="00C3087A"/>
    <w:rsid w:val="00C50589"/>
    <w:rsid w:val="00C51157"/>
    <w:rsid w:val="00C94E18"/>
    <w:rsid w:val="00D96239"/>
    <w:rsid w:val="00DA66BA"/>
    <w:rsid w:val="00DF457E"/>
    <w:rsid w:val="00E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7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308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08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08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C3087A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C3087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087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3087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087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3087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3087A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C308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C30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C308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C3087A"/>
    <w:rPr>
      <w:i/>
      <w:iCs/>
    </w:rPr>
  </w:style>
  <w:style w:type="paragraph" w:customStyle="1" w:styleId="NoSpacing1">
    <w:name w:val="No Spacing1"/>
    <w:uiPriority w:val="1"/>
    <w:qFormat/>
    <w:rsid w:val="00C3087A"/>
    <w:pPr>
      <w:ind w:left="1077" w:hanging="357"/>
      <w:jc w:val="both"/>
    </w:pPr>
    <w:rPr>
      <w:sz w:val="24"/>
      <w:szCs w:val="24"/>
      <w:lang w:val="hr-HR" w:eastAsia="hr-H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C308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C3087A"/>
    <w:rPr>
      <w:b/>
      <w:bCs/>
      <w:i/>
      <w:iCs/>
      <w:color w:val="4F81BD"/>
      <w:sz w:val="24"/>
      <w:szCs w:val="24"/>
    </w:rPr>
  </w:style>
  <w:style w:type="character" w:customStyle="1" w:styleId="SubtleEmphasis1">
    <w:name w:val="Subtle Emphasis1"/>
    <w:uiPriority w:val="19"/>
    <w:qFormat/>
    <w:rsid w:val="00C3087A"/>
    <w:rPr>
      <w:i/>
      <w:iCs/>
      <w:color w:val="808080"/>
    </w:rPr>
  </w:style>
  <w:style w:type="character" w:customStyle="1" w:styleId="BookTitle1">
    <w:name w:val="Book Title1"/>
    <w:uiPriority w:val="33"/>
    <w:qFormat/>
    <w:rsid w:val="00C3087A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C3087A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87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087A"/>
  </w:style>
  <w:style w:type="paragraph" w:styleId="BlockText">
    <w:name w:val="Block Text"/>
    <w:basedOn w:val="Normal"/>
    <w:rsid w:val="00C3087A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C30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C30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087A"/>
  </w:style>
  <w:style w:type="character" w:styleId="FootnoteReference">
    <w:name w:val="footnote reference"/>
    <w:semiHidden/>
    <w:rsid w:val="00C3087A"/>
    <w:rPr>
      <w:vertAlign w:val="superscript"/>
    </w:rPr>
  </w:style>
  <w:style w:type="character" w:customStyle="1" w:styleId="Heading5Char">
    <w:name w:val="Heading 5 Char"/>
    <w:link w:val="Heading5"/>
    <w:rsid w:val="00C3087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3087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3087A"/>
    <w:rPr>
      <w:sz w:val="24"/>
      <w:szCs w:val="24"/>
    </w:rPr>
  </w:style>
  <w:style w:type="character" w:customStyle="1" w:styleId="Heading8Char">
    <w:name w:val="Heading 8 Char"/>
    <w:link w:val="Heading8"/>
    <w:rsid w:val="00C3087A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C3087A"/>
    <w:rPr>
      <w:rFonts w:ascii="Arial" w:hAnsi="Arial" w:cs="Arial"/>
      <w:sz w:val="22"/>
      <w:szCs w:val="22"/>
    </w:rPr>
  </w:style>
  <w:style w:type="paragraph" w:customStyle="1" w:styleId="T-98-2">
    <w:name w:val="T-9/8-2"/>
    <w:rsid w:val="00C3087A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Nada</cp:lastModifiedBy>
  <cp:revision>2</cp:revision>
  <cp:lastPrinted>2016-07-05T06:09:00Z</cp:lastPrinted>
  <dcterms:created xsi:type="dcterms:W3CDTF">2025-02-17T08:39:00Z</dcterms:created>
  <dcterms:modified xsi:type="dcterms:W3CDTF">2025-02-17T08:39:00Z</dcterms:modified>
</cp:coreProperties>
</file>