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8"/>
          <w:szCs w:val="28"/>
        </w:rPr>
      </w:pPr>
      <w:r>
        <w:rPr>
          <w:b/>
          <w:bCs/>
          <w:sz w:val="24"/>
          <w:szCs w:val="24"/>
        </w:rPr>
        <w:t>PRIJEDLOG</w:t>
      </w:r>
    </w:p>
    <w:p>
      <w:pPr>
        <w:pStyle w:val="Normal"/>
        <w:jc w:val="both"/>
        <w:rPr>
          <w:b/>
          <w:b/>
          <w:sz w:val="28"/>
          <w:szCs w:val="28"/>
        </w:rPr>
      </w:pPr>
      <w:r>
        <w:rPr>
          <w:b w:val="false"/>
          <w:bCs w:val="false"/>
          <w:sz w:val="24"/>
          <w:szCs w:val="24"/>
        </w:rPr>
        <w:t>Na temelju članka 116. st. 5. Zakona o zaštiti i očuvanju kulturnih dobara (NN 145/24) i čl. 50. Statuta Grada Buja-Buie ( „Službene novine Grada Buja-Buie“ broj 11/09, 05/11, 11/11, 03/13, 05/18, 04/21) Gradsko vijeće Grada Buja-Buie, na svojoj sjednici održanoj ______________ godine, donosi</w:t>
      </w:r>
    </w:p>
    <w:p>
      <w:pPr>
        <w:pStyle w:val="Normal"/>
        <w:rPr>
          <w:b/>
          <w:b/>
          <w:sz w:val="28"/>
          <w:szCs w:val="28"/>
        </w:rPr>
      </w:pPr>
      <w:r>
        <w:rPr>
          <w:b/>
          <w:sz w:val="28"/>
          <w:szCs w:val="28"/>
        </w:rPr>
      </w:r>
    </w:p>
    <w:p>
      <w:pPr>
        <w:pStyle w:val="Normal"/>
        <w:jc w:val="center"/>
        <w:rPr>
          <w:b/>
          <w:b/>
          <w:sz w:val="28"/>
          <w:szCs w:val="28"/>
        </w:rPr>
      </w:pPr>
      <w:r>
        <w:rPr>
          <w:rFonts w:eastAsia="Times New Roman" w:cs="Times New Roman"/>
          <w:b/>
          <w:bCs/>
          <w:color w:val="auto"/>
          <w:kern w:val="0"/>
          <w:sz w:val="24"/>
          <w:szCs w:val="24"/>
          <w:lang w:val="hr-HR" w:eastAsia="hr-HR" w:bidi="ar-SA"/>
        </w:rPr>
        <w:t>ODLUKU</w:t>
      </w:r>
    </w:p>
    <w:p>
      <w:pPr>
        <w:pStyle w:val="Normal"/>
        <w:jc w:val="center"/>
        <w:rPr>
          <w:b/>
          <w:b/>
          <w:sz w:val="28"/>
          <w:szCs w:val="28"/>
        </w:rPr>
      </w:pPr>
      <w:r>
        <w:rPr>
          <w:b/>
          <w:bCs/>
          <w:sz w:val="24"/>
          <w:szCs w:val="24"/>
        </w:rPr>
        <w:t xml:space="preserve">o </w:t>
      </w:r>
      <w:r>
        <w:rPr>
          <w:rFonts w:eastAsia="Times New Roman" w:cs="Times New Roman"/>
          <w:b/>
          <w:bCs/>
          <w:color w:val="auto"/>
          <w:kern w:val="0"/>
          <w:sz w:val="24"/>
          <w:szCs w:val="24"/>
          <w:lang w:val="hr-HR" w:eastAsia="hr-HR" w:bidi="ar-SA"/>
        </w:rPr>
        <w:t>visini spomeničke rente</w:t>
      </w:r>
    </w:p>
    <w:p>
      <w:pPr>
        <w:pStyle w:val="Normal"/>
        <w:rPr>
          <w:b/>
          <w:b/>
          <w:sz w:val="28"/>
          <w:szCs w:val="28"/>
        </w:rPr>
      </w:pPr>
      <w:r>
        <w:rPr>
          <w:b/>
          <w:sz w:val="28"/>
          <w:szCs w:val="28"/>
        </w:rPr>
      </w:r>
    </w:p>
    <w:p>
      <w:pPr>
        <w:pStyle w:val="Normal"/>
        <w:rPr>
          <w:b/>
          <w:b/>
          <w:sz w:val="28"/>
          <w:szCs w:val="28"/>
        </w:rPr>
      </w:pPr>
      <w:r>
        <w:rPr>
          <w:b/>
          <w:bCs/>
          <w:sz w:val="24"/>
          <w:szCs w:val="24"/>
        </w:rPr>
        <w:t>I. OPĆE ODREDBE</w:t>
      </w:r>
    </w:p>
    <w:p>
      <w:pPr>
        <w:pStyle w:val="Normal"/>
        <w:rPr>
          <w:b/>
          <w:b/>
          <w:sz w:val="28"/>
          <w:szCs w:val="28"/>
        </w:rPr>
      </w:pPr>
      <w:r>
        <w:rPr>
          <w:b/>
          <w:sz w:val="28"/>
          <w:szCs w:val="28"/>
        </w:rPr>
      </w:r>
    </w:p>
    <w:p>
      <w:pPr>
        <w:pStyle w:val="Normal"/>
        <w:jc w:val="center"/>
        <w:rPr>
          <w:b/>
          <w:b/>
          <w:sz w:val="28"/>
          <w:szCs w:val="28"/>
        </w:rPr>
      </w:pPr>
      <w:r>
        <w:rPr>
          <w:b/>
          <w:bCs/>
          <w:sz w:val="24"/>
          <w:szCs w:val="24"/>
        </w:rPr>
        <w:t>Članak 1.</w:t>
      </w:r>
    </w:p>
    <w:p>
      <w:pPr>
        <w:pStyle w:val="Normal"/>
        <w:jc w:val="both"/>
        <w:rPr>
          <w:b/>
          <w:b/>
          <w:sz w:val="28"/>
          <w:szCs w:val="28"/>
        </w:rPr>
      </w:pPr>
      <w:r>
        <w:rPr>
          <w:b w:val="false"/>
          <w:bCs w:val="false"/>
          <w:sz w:val="24"/>
          <w:szCs w:val="24"/>
        </w:rPr>
        <w:tab/>
      </w:r>
      <w:r>
        <w:rPr>
          <w:rFonts w:eastAsia="Times New Roman" w:cs="Times New Roman"/>
          <w:b w:val="false"/>
          <w:bCs w:val="false"/>
          <w:color w:val="auto"/>
          <w:kern w:val="0"/>
          <w:sz w:val="24"/>
          <w:szCs w:val="24"/>
          <w:lang w:val="hr-HR" w:eastAsia="hr-HR" w:bidi="ar-SA"/>
        </w:rPr>
        <w:t>Ovom Odlukom se propisuje visina spomeničke rente za fizičke i pravne osobe koje su obveznici poreza na dohodak ili poreza na dobit, a koje obavljaju gospodarsku djelatnost u nepokretnom kulturnom dobru ili na području kulturno-povijesne cjeline.</w:t>
      </w:r>
    </w:p>
    <w:p>
      <w:pPr>
        <w:pStyle w:val="Normal"/>
        <w:rPr>
          <w:b/>
          <w:b/>
          <w:sz w:val="28"/>
          <w:szCs w:val="28"/>
        </w:rPr>
      </w:pPr>
      <w:r>
        <w:rPr>
          <w:b/>
          <w:sz w:val="28"/>
          <w:szCs w:val="28"/>
        </w:rPr>
      </w:r>
    </w:p>
    <w:p>
      <w:pPr>
        <w:pStyle w:val="Normal"/>
        <w:jc w:val="center"/>
        <w:rPr>
          <w:b/>
          <w:b/>
          <w:sz w:val="28"/>
          <w:szCs w:val="28"/>
        </w:rPr>
      </w:pPr>
      <w:r>
        <w:rPr>
          <w:b/>
          <w:bCs/>
          <w:sz w:val="24"/>
          <w:szCs w:val="24"/>
        </w:rPr>
        <w:t>Članak 2.</w:t>
      </w:r>
    </w:p>
    <w:p>
      <w:pPr>
        <w:pStyle w:val="Normal"/>
        <w:jc w:val="both"/>
        <w:rPr>
          <w:b/>
          <w:b/>
          <w:sz w:val="28"/>
          <w:szCs w:val="28"/>
        </w:rPr>
      </w:pPr>
      <w:r>
        <w:rPr>
          <w:b w:val="false"/>
          <w:bCs w:val="false"/>
          <w:sz w:val="24"/>
          <w:szCs w:val="24"/>
        </w:rPr>
        <w:tab/>
        <w:t>Spomenička renta plaća se mjesečno u iznosu od 0,27 eura po četvornome metru korisne površine poslovnog prostora koji se nalazi u nepokretnom kulturnom dobru ili na području kulturno-povijesne cjeline.</w:t>
      </w:r>
    </w:p>
    <w:p>
      <w:pPr>
        <w:pStyle w:val="Normal"/>
        <w:jc w:val="both"/>
        <w:rPr>
          <w:b/>
          <w:b/>
          <w:sz w:val="28"/>
          <w:szCs w:val="28"/>
        </w:rPr>
      </w:pPr>
      <w:r>
        <w:rPr>
          <w:b w:val="false"/>
          <w:bCs w:val="false"/>
          <w:sz w:val="24"/>
          <w:szCs w:val="24"/>
        </w:rPr>
        <w:tab/>
        <w:t>Spomenička renta plaća se mjesečno za tekući mjesec, a dospijeva posljednjeg dana u mjesecu.</w:t>
      </w:r>
    </w:p>
    <w:p>
      <w:pPr>
        <w:pStyle w:val="Normal"/>
        <w:jc w:val="both"/>
        <w:rPr>
          <w:b/>
          <w:b/>
          <w:sz w:val="28"/>
          <w:szCs w:val="28"/>
        </w:rPr>
      </w:pPr>
      <w:r>
        <w:rPr>
          <w:b/>
          <w:sz w:val="28"/>
          <w:szCs w:val="28"/>
        </w:rPr>
      </w:r>
    </w:p>
    <w:p>
      <w:pPr>
        <w:pStyle w:val="Normal"/>
        <w:jc w:val="center"/>
        <w:rPr>
          <w:b/>
          <w:b/>
          <w:sz w:val="28"/>
          <w:szCs w:val="28"/>
        </w:rPr>
      </w:pPr>
      <w:r>
        <w:rPr>
          <w:b/>
          <w:sz w:val="24"/>
          <w:szCs w:val="24"/>
        </w:rPr>
        <w:t>Članak 3.</w:t>
      </w:r>
    </w:p>
    <w:p>
      <w:pPr>
        <w:pStyle w:val="Normal"/>
        <w:jc w:val="both"/>
        <w:rPr>
          <w:b/>
          <w:b/>
          <w:sz w:val="28"/>
          <w:szCs w:val="28"/>
        </w:rPr>
      </w:pPr>
      <w:r>
        <w:rPr>
          <w:b w:val="false"/>
          <w:bCs w:val="false"/>
          <w:sz w:val="24"/>
          <w:szCs w:val="24"/>
        </w:rPr>
        <w:tab/>
        <w:t xml:space="preserve">Obveznici spomeničke rente moraju nadležnom upravnom tijelu </w:t>
      </w:r>
      <w:r>
        <w:rPr>
          <w:rFonts w:eastAsia="Times New Roman" w:cs="Times New Roman"/>
          <w:b w:val="false"/>
          <w:bCs w:val="false"/>
          <w:color w:val="auto"/>
          <w:kern w:val="0"/>
          <w:sz w:val="24"/>
          <w:szCs w:val="24"/>
          <w:lang w:val="hr-HR" w:eastAsia="hr-HR" w:bidi="ar-SA"/>
        </w:rPr>
        <w:t>Grada Buja-Buie</w:t>
      </w:r>
      <w:r>
        <w:rPr>
          <w:b w:val="false"/>
          <w:bCs w:val="false"/>
          <w:sz w:val="24"/>
          <w:szCs w:val="24"/>
        </w:rPr>
        <w:t xml:space="preserve"> u čijem su djelokrugu poslovi komunalnoga gospodarstva, do 31. ožujka godine za koju se utvrđuje spomenička renta, dostaviti podatke o korisnoj površini poslovnih prostora koji se nalaze u nepokretnom kulturnom dobru ili na području kulturno-povijesne cjeline.</w:t>
      </w:r>
    </w:p>
    <w:p>
      <w:pPr>
        <w:pStyle w:val="Normal"/>
        <w:jc w:val="both"/>
        <w:rPr>
          <w:b/>
          <w:b/>
          <w:sz w:val="28"/>
          <w:szCs w:val="28"/>
        </w:rPr>
      </w:pPr>
      <w:r>
        <w:rPr>
          <w:b/>
          <w:sz w:val="28"/>
          <w:szCs w:val="28"/>
        </w:rPr>
      </w:r>
    </w:p>
    <w:p>
      <w:pPr>
        <w:pStyle w:val="Normal"/>
        <w:rPr>
          <w:b/>
          <w:b/>
          <w:sz w:val="28"/>
          <w:szCs w:val="28"/>
        </w:rPr>
      </w:pPr>
      <w:r>
        <w:rPr>
          <w:b/>
          <w:bCs/>
          <w:sz w:val="24"/>
          <w:szCs w:val="24"/>
        </w:rPr>
        <w:t>II. PRIJELAZNE I ZAVRŠNE ODREDBE</w:t>
      </w:r>
    </w:p>
    <w:p>
      <w:pPr>
        <w:pStyle w:val="Normal"/>
        <w:rPr>
          <w:b/>
          <w:b/>
          <w:sz w:val="28"/>
          <w:szCs w:val="28"/>
        </w:rPr>
      </w:pPr>
      <w:r>
        <w:rPr>
          <w:b/>
          <w:sz w:val="28"/>
          <w:szCs w:val="28"/>
        </w:rPr>
      </w:r>
    </w:p>
    <w:p>
      <w:pPr>
        <w:pStyle w:val="Normal"/>
        <w:jc w:val="center"/>
        <w:rPr>
          <w:b/>
          <w:b/>
          <w:sz w:val="28"/>
          <w:szCs w:val="28"/>
        </w:rPr>
      </w:pPr>
      <w:r>
        <w:rPr>
          <w:b/>
          <w:sz w:val="24"/>
          <w:szCs w:val="24"/>
        </w:rPr>
        <w:t>Članak 4.</w:t>
      </w:r>
    </w:p>
    <w:p>
      <w:pPr>
        <w:pStyle w:val="Normal"/>
        <w:jc w:val="both"/>
        <w:rPr>
          <w:b/>
          <w:b/>
          <w:sz w:val="28"/>
          <w:szCs w:val="28"/>
        </w:rPr>
      </w:pPr>
      <w:r>
        <w:rPr>
          <w:b w:val="false"/>
          <w:bCs w:val="false"/>
          <w:sz w:val="24"/>
          <w:szCs w:val="24"/>
        </w:rPr>
        <w:tab/>
        <w:t xml:space="preserve">Postupci koji su započeti prema odredbama </w:t>
      </w:r>
      <w:r>
        <w:rPr>
          <w:rFonts w:eastAsia="Times New Roman" w:cs="Times New Roman"/>
          <w:b w:val="false"/>
          <w:bCs w:val="false"/>
          <w:color w:val="auto"/>
          <w:kern w:val="0"/>
          <w:sz w:val="24"/>
          <w:szCs w:val="24"/>
          <w:lang w:val="hr-HR" w:eastAsia="hr-HR" w:bidi="ar-SA"/>
        </w:rPr>
        <w:t>Odluke o visini spomeničke rente (Službene novine Grada Buja-Buie 04/12)</w:t>
      </w:r>
      <w:r>
        <w:rPr>
          <w:b w:val="false"/>
          <w:bCs w:val="false"/>
          <w:sz w:val="24"/>
          <w:szCs w:val="24"/>
        </w:rPr>
        <w:t>, a nisu dovršeni do dana stupanja na snagu ove Odluke, dovršit će se prema odredbama te Odluke.</w:t>
      </w:r>
    </w:p>
    <w:p>
      <w:pPr>
        <w:pStyle w:val="Normal"/>
        <w:jc w:val="both"/>
        <w:rPr>
          <w:b/>
          <w:b/>
          <w:sz w:val="28"/>
          <w:szCs w:val="28"/>
        </w:rPr>
      </w:pPr>
      <w:r>
        <w:rPr>
          <w:b w:val="false"/>
          <w:bCs w:val="false"/>
          <w:sz w:val="24"/>
          <w:szCs w:val="24"/>
        </w:rPr>
        <w:tab/>
        <w:t>Na dan stupanja na snagu ove Odluke prestaje važiti Odluka o visini spomeničke rente (Službene novine Grada Buja-Buie 04/12).</w:t>
      </w:r>
    </w:p>
    <w:p>
      <w:pPr>
        <w:pStyle w:val="Normal"/>
        <w:jc w:val="center"/>
        <w:rPr>
          <w:b/>
          <w:b/>
          <w:sz w:val="28"/>
          <w:szCs w:val="28"/>
        </w:rPr>
      </w:pPr>
      <w:r>
        <w:rPr>
          <w:b/>
          <w:sz w:val="28"/>
          <w:szCs w:val="28"/>
        </w:rPr>
      </w:r>
    </w:p>
    <w:p>
      <w:pPr>
        <w:pStyle w:val="Normal"/>
        <w:jc w:val="center"/>
        <w:rPr>
          <w:b/>
          <w:b/>
          <w:sz w:val="28"/>
          <w:szCs w:val="28"/>
        </w:rPr>
      </w:pPr>
      <w:r>
        <w:rPr>
          <w:b/>
          <w:bCs/>
          <w:sz w:val="24"/>
          <w:szCs w:val="24"/>
        </w:rPr>
        <w:t>Članak 5.</w:t>
      </w:r>
    </w:p>
    <w:p>
      <w:pPr>
        <w:pStyle w:val="Normal"/>
        <w:rPr>
          <w:b/>
          <w:b/>
          <w:sz w:val="28"/>
          <w:szCs w:val="28"/>
        </w:rPr>
      </w:pPr>
      <w:r>
        <w:rPr>
          <w:b w:val="false"/>
          <w:bCs w:val="false"/>
          <w:sz w:val="24"/>
          <w:szCs w:val="24"/>
        </w:rPr>
        <w:tab/>
        <w:t xml:space="preserve">Ova Odluka stupa na snagu osmoga dana od dana objave u „Službenim novinama </w:t>
      </w:r>
      <w:r>
        <w:rPr>
          <w:rFonts w:eastAsia="Times New Roman" w:cs="Times New Roman"/>
          <w:b w:val="false"/>
          <w:bCs w:val="false"/>
          <w:color w:val="auto"/>
          <w:kern w:val="0"/>
          <w:sz w:val="24"/>
          <w:szCs w:val="24"/>
          <w:lang w:val="hr-HR" w:eastAsia="hr-HR" w:bidi="ar-SA"/>
        </w:rPr>
        <w:t>Grada Buja-Buie”</w:t>
      </w:r>
    </w:p>
    <w:p>
      <w:pPr>
        <w:pStyle w:val="Normal"/>
        <w:rPr>
          <w:b/>
          <w:b/>
          <w:sz w:val="28"/>
          <w:szCs w:val="28"/>
        </w:rPr>
      </w:pPr>
      <w:r>
        <w:rPr>
          <w:b/>
          <w:sz w:val="28"/>
          <w:szCs w:val="28"/>
        </w:rPr>
      </w:r>
    </w:p>
    <w:p>
      <w:pPr>
        <w:pStyle w:val="Normal"/>
        <w:spacing w:lineRule="auto" w:line="276" w:before="0" w:after="0"/>
        <w:jc w:val="both"/>
        <w:rPr>
          <w:rFonts w:ascii="Calibri" w:hAnsi="Calibri" w:eastAsia="Calibri" w:cs="Calibri"/>
        </w:rPr>
      </w:pPr>
      <w:r>
        <w:rPr>
          <w:rFonts w:eastAsia="Calibri" w:cs="Times New Roman"/>
          <w:sz w:val="24"/>
          <w:szCs w:val="24"/>
        </w:rPr>
        <w:t>KLASA:</w:t>
      </w:r>
      <w:r>
        <w:rPr>
          <w:rFonts w:eastAsia="Calibri" w:cs="Calibri" w:ascii="Calibri" w:hAnsi="Calibri"/>
          <w:sz w:val="24"/>
          <w:szCs w:val="24"/>
        </w:rPr>
        <w:t>410-01/25-01/01</w:t>
      </w:r>
    </w:p>
    <w:p>
      <w:pPr>
        <w:pStyle w:val="Normal"/>
        <w:spacing w:lineRule="auto" w:line="276" w:before="0" w:after="0"/>
        <w:jc w:val="both"/>
        <w:rPr>
          <w:rFonts w:ascii="Calibri" w:hAnsi="Calibri" w:eastAsia="Calibri" w:cs="Calibri"/>
        </w:rPr>
      </w:pPr>
      <w:r>
        <w:rPr>
          <w:rFonts w:eastAsia="Calibri" w:cs="Times New Roman"/>
          <w:sz w:val="24"/>
          <w:szCs w:val="24"/>
        </w:rPr>
        <w:t xml:space="preserve">URBROJ: </w:t>
      </w:r>
      <w:r>
        <w:rPr>
          <w:rFonts w:eastAsia="Calibri" w:cs="Calibri"/>
          <w:sz w:val="24"/>
          <w:szCs w:val="24"/>
        </w:rPr>
        <w:t>2163-2-05/02-25-1</w:t>
      </w:r>
    </w:p>
    <w:p>
      <w:pPr>
        <w:pStyle w:val="Normal"/>
        <w:spacing w:lineRule="auto" w:line="276" w:before="0" w:after="0"/>
        <w:jc w:val="both"/>
        <w:rPr>
          <w:rFonts w:ascii="Calibri" w:hAnsi="Calibri" w:eastAsia="Calibri" w:cs="Calibri"/>
        </w:rPr>
      </w:pPr>
      <w:r>
        <w:rPr>
          <w:rFonts w:eastAsia="Calibri" w:cs="Times New Roman"/>
          <w:sz w:val="24"/>
          <w:szCs w:val="24"/>
        </w:rPr>
        <w:t xml:space="preserve">Buje-Buie, </w:t>
      </w:r>
      <w:r>
        <w:rPr>
          <w:rFonts w:eastAsia="Calibri" w:cs="Calibri"/>
          <w:sz w:val="24"/>
          <w:szCs w:val="24"/>
        </w:rPr>
        <w:t>10.01.2025.</w:t>
      </w:r>
    </w:p>
    <w:p>
      <w:pPr>
        <w:pStyle w:val="Normal"/>
        <w:spacing w:lineRule="auto" w:line="276" w:before="0" w:after="0"/>
        <w:jc w:val="both"/>
        <w:rPr>
          <w:rFonts w:ascii="Calibri" w:hAnsi="Calibri" w:eastAsia="Calibri" w:cs="Calibri"/>
        </w:rPr>
      </w:pPr>
      <w:r>
        <w:rPr>
          <w:rFonts w:eastAsia="Calibri" w:cs="Calibri" w:ascii="Calibri" w:hAnsi="Calibri"/>
        </w:rPr>
      </w:r>
    </w:p>
    <w:p>
      <w:pPr>
        <w:pStyle w:val="Normal"/>
        <w:spacing w:lineRule="auto" w:line="276" w:before="0" w:after="0"/>
        <w:jc w:val="both"/>
        <w:rPr>
          <w:rFonts w:ascii="Calibri" w:hAnsi="Calibri" w:eastAsia="Calibri" w:cs="Calibri"/>
        </w:rPr>
      </w:pPr>
      <w:r>
        <w:rPr>
          <w:rFonts w:eastAsia="Calibri" w:cs="Calibri" w:ascii="Calibri" w:hAnsi="Calibri"/>
        </w:rPr>
      </w:r>
    </w:p>
    <w:p>
      <w:pPr>
        <w:pStyle w:val="Normal"/>
        <w:spacing w:lineRule="auto" w:line="240" w:before="0" w:after="0"/>
        <w:jc w:val="center"/>
        <w:rPr>
          <w:rFonts w:ascii="Times New Roman" w:hAnsi="Times New Roman" w:eastAsia="Calibri" w:cs="Times New Roman"/>
          <w:sz w:val="24"/>
          <w:szCs w:val="24"/>
        </w:rPr>
      </w:pPr>
      <w:r>
        <w:rPr>
          <w:rFonts w:eastAsia="Calibri" w:cs="Times New Roman"/>
          <w:sz w:val="23"/>
          <w:szCs w:val="23"/>
        </w:rPr>
        <w:t xml:space="preserve">GRADSKO VIJEĆE </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sz w:val="23"/>
          <w:szCs w:val="23"/>
        </w:rPr>
        <w:t xml:space="preserve">Predsjednik </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b w:val="false"/>
          <w:bCs w:val="false"/>
          <w:color w:val="000000"/>
          <w:sz w:val="23"/>
          <w:szCs w:val="23"/>
          <w:lang w:eastAsia="hr-HR"/>
        </w:rPr>
        <w:t>Franko Gergorić</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sz w:val="24"/>
          <w:szCs w:val="24"/>
        </w:rPr>
      </w:r>
    </w:p>
    <w:p>
      <w:pPr>
        <w:pStyle w:val="Normal"/>
        <w:spacing w:lineRule="auto" w:line="240" w:before="0" w:after="0"/>
        <w:ind w:firstLine="709"/>
        <w:rPr>
          <w:rFonts w:ascii="Times New Roman" w:hAnsi="Times New Roman" w:eastAsia="Times New Roman" w:cs="Times New Roman"/>
          <w:b/>
          <w:b/>
          <w:color w:val="000000"/>
          <w:sz w:val="24"/>
          <w:szCs w:val="24"/>
          <w:lang w:eastAsia="hr-HR"/>
        </w:rPr>
      </w:pPr>
      <w:r>
        <w:rPr>
          <w:rFonts w:eastAsia="Times New Roman" w:cs="Times New Roman"/>
          <w:b/>
          <w:color w:val="000000"/>
          <w:sz w:val="24"/>
          <w:szCs w:val="24"/>
          <w:lang w:eastAsia="hr-HR"/>
        </w:rPr>
      </w:r>
    </w:p>
    <w:p>
      <w:pPr>
        <w:pStyle w:val="Normal"/>
        <w:spacing w:lineRule="auto" w:line="240" w:before="0" w:after="0"/>
        <w:ind w:firstLine="709"/>
        <w:rPr>
          <w:rFonts w:ascii="Times New Roman" w:hAnsi="Times New Roman" w:eastAsia="Times New Roman" w:cs="Times New Roman"/>
          <w:b/>
          <w:b/>
          <w:color w:val="000000"/>
          <w:sz w:val="24"/>
          <w:szCs w:val="24"/>
          <w:lang w:eastAsia="hr-HR"/>
        </w:rPr>
      </w:pPr>
      <w:r>
        <w:rPr>
          <w:b/>
          <w:bCs/>
        </w:rPr>
        <w:t>OBRAZLOŽENJE</w:t>
      </w:r>
    </w:p>
    <w:p>
      <w:pPr>
        <w:pStyle w:val="Normal"/>
        <w:spacing w:lineRule="auto" w:line="240" w:before="0" w:after="0"/>
        <w:ind w:firstLine="709"/>
        <w:rPr>
          <w:rFonts w:ascii="Times New Roman" w:hAnsi="Times New Roman" w:eastAsia="Times New Roman" w:cs="Times New Roman"/>
          <w:b/>
          <w:b/>
          <w:color w:val="000000"/>
          <w:sz w:val="24"/>
          <w:szCs w:val="24"/>
          <w:lang w:eastAsia="hr-HR"/>
        </w:rPr>
      </w:pPr>
      <w:r>
        <w:rPr>
          <w:rFonts w:eastAsia="Times New Roman" w:cs="Times New Roman"/>
          <w:b/>
          <w:color w:val="000000"/>
          <w:sz w:val="24"/>
          <w:szCs w:val="24"/>
          <w:lang w:eastAsia="hr-HR"/>
        </w:rPr>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t xml:space="preserve">Dana 13.12.2024. </w:t>
      </w:r>
      <w:r>
        <w:rPr>
          <w:rFonts w:eastAsia="Times New Roman" w:cs="Times New Roman"/>
          <w:color w:val="auto"/>
          <w:kern w:val="0"/>
          <w:sz w:val="24"/>
          <w:szCs w:val="24"/>
          <w:lang w:val="hr-HR" w:eastAsia="hr-HR" w:bidi="ar-SA"/>
        </w:rPr>
        <w:t>objavljen je u Narodnim novinama novi Zakon o zaštiti i očuvanju kulturnih dobara (NN 145/24). Člankom 116. spomenutog Zakona propisano je da fizičke i pravne osobe koje su obveznici poreza na dohodak ili poreza na dobit, a koje obavljaju gospodarsku djelatnost u nepokretnom kulturnom dobru ili na području kulturno-povijesne cjeline, obveznici su spomeničke rente. Fizičke i pravne osobe koje u svom sastavu imaju poslovne jedinice (svako stalno mjesto obavljanja gospodarske djelatnosti) koje obavljaju gospodarsku djelatnost u nepokretnom kulturnom dobru ili na području kulturno-povijesne cjeline, obveznici su spomeničke rente za svaku poslovnu jedinicu. Osnovica spomeničke rente korisna je površina poslovnog prostora koji se nalazi u nepokretnom kulturnom dobru ili na području kulturno-povijesne cjeline. Spomenička renta plaća se mjesečno od 0,13 do 0,53 eura po četvornome metru korisne površine poslovnog prostora koji se nalazi u nepokretnom kulturnom dobru ili na području kulturno-povijesne cjeline. Visinu spomeničke rente propisuje svojom odlukom Grad Zagreb, grad ili općina. Obveznici spomeničke rente moraju nadležnom upravnom tijelu jedinice lokalne i područne (regionalne) samouprave u čijem su djelokrugu poslovi komunalnoga gospodarstva, do 31. ožujka godine za koju se utvrđuje spomenička renta, dostaviti podatke o korisnoj površini poslovnih prostora koji se nalaze u nepokretnom kulturnom dobru ili na području kulturno-povijesne cjeline. Spomenička renta plaća se mjesečno u iznosu i roku utvrđenom rješenjem o utvrđivanju spomeničke rente koje donosi upravno tijelo jedinica lokalne samouprave nadležno za poslove komunalnoga gospodarstva odnosno upravno tijelo Grada Zagreba nadležno za poslove komunalnoga gospodarstva, koje se donosi za svaku godinu.</w:t>
      </w:r>
    </w:p>
    <w:p>
      <w:pPr>
        <w:pStyle w:val="Normal"/>
        <w:spacing w:lineRule="auto" w:line="240" w:before="0" w:after="0"/>
        <w:ind w:firstLine="709"/>
        <w:jc w:val="both"/>
        <w:rPr>
          <w:rFonts w:ascii="Times New Roman" w:hAnsi="Times New Roman" w:eastAsia="Times New Roman" w:cs="Times New Roman"/>
          <w:b/>
          <w:b/>
          <w:color w:val="000000"/>
          <w:sz w:val="24"/>
          <w:szCs w:val="24"/>
          <w:lang w:eastAsia="hr-HR"/>
        </w:rPr>
      </w:pPr>
      <w:r>
        <w:rPr>
          <w:rFonts w:eastAsia="Times New Roman" w:cs="Times New Roman"/>
          <w:b/>
          <w:color w:val="000000"/>
          <w:sz w:val="24"/>
          <w:szCs w:val="24"/>
          <w:lang w:eastAsia="hr-HR"/>
        </w:rPr>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t>Cijela je starogradska jezgra grada Buje-Buie zaštićeni spomenik kulture Rješenjem Ministarstva kulture Republike Hrvatske kl.: UP-I-612-08/06-06/0179; Ur.br.: 532-04-01-1/4-06-2 od 23. ožujka 2006. godine. Sukladno navedenom i sukladno odredbama predložene odluke utvrđivati će se obveza spomeničke rente svim fizičkim i pravnim osobama koje su obveznici poreza na dohodak ili poreza na dobit, a koje obavljaju gospodarsku djelatnost unutar starogradska jezgra grada Buje-Buie.</w:t>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rFonts w:eastAsia="Times New Roman" w:cs="Times New Roman"/>
          <w:b/>
          <w:color w:val="000000"/>
          <w:sz w:val="24"/>
          <w:szCs w:val="24"/>
          <w:lang w:eastAsia="hr-HR"/>
        </w:rPr>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t>Izuzeti od obveze su sukladno odredbi čl. 116. st. 9. Zakona o zaštiti i očuvanju kulturnih dobara (NN 145/24) korisnik koncesije na kulturnom dobru te fizičke i pravne osobe koje obavljaju prerađivačku ili proizvodnu djelatnost kao pretežitu djelatnost.</w:t>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rFonts w:eastAsia="Times New Roman" w:cs="Times New Roman"/>
          <w:b/>
          <w:color w:val="000000"/>
          <w:sz w:val="24"/>
          <w:szCs w:val="24"/>
          <w:lang w:eastAsia="hr-HR"/>
        </w:rPr>
      </w:r>
    </w:p>
    <w:p>
      <w:pPr>
        <w:pStyle w:val="Normal"/>
        <w:spacing w:lineRule="auto" w:line="240" w:before="0" w:after="0"/>
        <w:ind w:hanging="0"/>
        <w:jc w:val="both"/>
        <w:rPr>
          <w:b/>
          <w:b/>
          <w:sz w:val="28"/>
          <w:szCs w:val="28"/>
        </w:rPr>
      </w:pPr>
      <w:r>
        <w:rPr>
          <w:rFonts w:eastAsia="Times New Roman" w:cs="Times New Roman"/>
          <w:b w:val="false"/>
          <w:bCs w:val="false"/>
          <w:color w:val="000000"/>
          <w:sz w:val="24"/>
          <w:szCs w:val="24"/>
          <w:lang w:eastAsia="hr-HR"/>
        </w:rPr>
        <w:t xml:space="preserve">Postupci koji su započeti prema odredbama </w:t>
      </w:r>
      <w:r>
        <w:rPr>
          <w:rFonts w:eastAsia="Times New Roman" w:cs="Times New Roman"/>
          <w:b w:val="false"/>
          <w:bCs w:val="false"/>
          <w:color w:val="auto"/>
          <w:kern w:val="0"/>
          <w:sz w:val="24"/>
          <w:szCs w:val="24"/>
          <w:lang w:val="hr-HR" w:eastAsia="hr-HR" w:bidi="ar-SA"/>
        </w:rPr>
        <w:t>Odluke o visini spomeničke rente (Službene novine Grada Buja-Buie 04/12)</w:t>
      </w:r>
      <w:r>
        <w:rPr>
          <w:rFonts w:eastAsia="Times New Roman" w:cs="Times New Roman"/>
          <w:b w:val="false"/>
          <w:bCs w:val="false"/>
          <w:color w:val="000000"/>
          <w:sz w:val="24"/>
          <w:szCs w:val="24"/>
          <w:lang w:eastAsia="hr-HR"/>
        </w:rPr>
        <w:t>, a nisu dovršeni do dana stupanja na snagu ove Odluke, dovršit će se prema odredbama te Odluke.</w:t>
      </w:r>
    </w:p>
    <w:p>
      <w:pPr>
        <w:pStyle w:val="Normal"/>
        <w:spacing w:lineRule="auto" w:line="240" w:before="0" w:after="0"/>
        <w:ind w:hanging="0"/>
        <w:jc w:val="both"/>
        <w:rPr>
          <w:b/>
          <w:b/>
          <w:sz w:val="28"/>
          <w:szCs w:val="28"/>
        </w:rPr>
      </w:pPr>
      <w:r>
        <w:rPr>
          <w:b/>
          <w:sz w:val="28"/>
          <w:szCs w:val="28"/>
        </w:rPr>
      </w:r>
    </w:p>
    <w:p>
      <w:pPr>
        <w:pStyle w:val="Normal"/>
        <w:spacing w:lineRule="auto" w:line="240" w:before="0" w:after="0"/>
        <w:ind w:hanging="0"/>
        <w:jc w:val="both"/>
        <w:rPr>
          <w:b/>
          <w:b/>
          <w:sz w:val="28"/>
          <w:szCs w:val="28"/>
        </w:rPr>
      </w:pPr>
      <w:r>
        <w:rPr>
          <w:rFonts w:eastAsia="Times New Roman" w:cs="Times New Roman"/>
          <w:b w:val="false"/>
          <w:bCs w:val="false"/>
          <w:color w:val="000000"/>
          <w:sz w:val="24"/>
          <w:szCs w:val="24"/>
          <w:lang w:eastAsia="hr-HR"/>
        </w:rPr>
        <w:t>Stupanjem na snagu ove predložene Odluke prestati će važiti Odluka o visini spomeničke rente (Službene novine Grada Buja-Buie 04/12).</w:t>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rFonts w:eastAsia="Times New Roman" w:cs="Times New Roman"/>
          <w:b/>
          <w:color w:val="000000"/>
          <w:sz w:val="24"/>
          <w:szCs w:val="24"/>
          <w:lang w:eastAsia="hr-HR"/>
        </w:rPr>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rFonts w:eastAsia="Times New Roman" w:cs="Times New Roman"/>
          <w:b w:val="false"/>
          <w:bCs w:val="false"/>
          <w:color w:val="000000"/>
          <w:sz w:val="24"/>
          <w:szCs w:val="24"/>
          <w:lang w:eastAsia="hr-HR"/>
        </w:rPr>
        <w:t>Novi Zakon o zaštiti i očuvanju kulturnih dobara (NN 145/24) propisuje visoke kazne za obveznike koji ne dostavi podatke o korisnoj površini poslovnog prostora u svrhu utvrđivanja spomeničke rente ili ih ne dostavi u propisanom roku i ne uplati spomeničku rentu u slučajevima propisanim člankom 116. ovoga Zakona ili je ne uplati u propisanom roku.</w:t>
      </w:r>
    </w:p>
    <w:p>
      <w:pPr>
        <w:pStyle w:val="Normal"/>
        <w:spacing w:lineRule="auto" w:line="240" w:before="0" w:after="0"/>
        <w:ind w:hanging="0"/>
        <w:jc w:val="both"/>
        <w:rPr>
          <w:rFonts w:ascii="Times New Roman" w:hAnsi="Times New Roman" w:eastAsia="Times New Roman" w:cs="Times New Roman"/>
          <w:b/>
          <w:b/>
          <w:color w:val="000000"/>
          <w:sz w:val="24"/>
          <w:szCs w:val="24"/>
          <w:lang w:eastAsia="hr-HR"/>
        </w:rPr>
      </w:pPr>
      <w:r>
        <w:rPr/>
      </w:r>
    </w:p>
    <w:sectPr>
      <w:headerReference w:type="default" r:id="rId2"/>
      <w:footerReference w:type="default" r:id="rId3"/>
      <w:type w:val="nextPage"/>
      <w:pgSz w:w="11906" w:h="16838"/>
      <w:pgMar w:left="993" w:right="851" w:header="709" w:top="820" w:footer="578" w:bottom="124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jc w:val="right"/>
      <w:rPr>
        <w:b/>
        <w:b/>
        <w:bCs/>
      </w:rPr>
    </w:pPr>
    <w:r>
      <w:rPr>
        <w:b/>
        <w:bCs/>
      </w:rPr>
    </w:r>
  </w:p>
  <w:p>
    <w:pPr>
      <w:pStyle w:val="Podnoj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tabs>
        <w:tab w:val="clear" w:pos="4536"/>
        <w:tab w:val="clear" w:pos="9072"/>
        <w:tab w:val="right" w:pos="9923" w:leader="none"/>
      </w:tabs>
      <w:jc w:val="center"/>
      <w:rPr/>
    </w:pPr>
    <w:r>
      <w:rPr>
        <w:b/>
      </w:rPr>
      <w:tab/>
      <w:tab/>
      <w:tab/>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6cc7"/>
    <w:pPr>
      <w:widowControl/>
      <w:suppressAutoHyphens w:val="true"/>
      <w:bidi w:val="0"/>
      <w:spacing w:before="0" w:after="0"/>
      <w:jc w:val="left"/>
    </w:pPr>
    <w:rPr>
      <w:rFonts w:ascii="Times New Roman" w:hAnsi="Times New Roman" w:eastAsia="Times New Roman" w:cs="Times New Roman"/>
      <w:color w:val="auto"/>
      <w:kern w:val="0"/>
      <w:sz w:val="24"/>
      <w:szCs w:val="24"/>
      <w:lang w:val="hr-HR" w:eastAsia="hr-HR"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d6cc7"/>
    <w:rPr>
      <w:rFonts w:ascii="Times New Roman" w:hAnsi="Times New Roman" w:eastAsia="Times New Roman" w:cs="Times New Roman"/>
      <w:sz w:val="24"/>
      <w:szCs w:val="24"/>
      <w:lang w:eastAsia="hr-HR"/>
    </w:rPr>
  </w:style>
  <w:style w:type="character" w:styleId="FooterChar" w:customStyle="1">
    <w:name w:val="Footer Char"/>
    <w:basedOn w:val="DefaultParagraphFont"/>
    <w:link w:val="Footer"/>
    <w:uiPriority w:val="99"/>
    <w:qFormat/>
    <w:rsid w:val="00ad6cc7"/>
    <w:rPr>
      <w:rFonts w:ascii="Times New Roman" w:hAnsi="Times New Roman" w:eastAsia="Times New Roman" w:cs="Times New Roman"/>
      <w:sz w:val="24"/>
      <w:szCs w:val="24"/>
      <w:lang w:eastAsia="hr-HR"/>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Normal"/>
    <w:link w:val="HeaderChar"/>
    <w:uiPriority w:val="99"/>
    <w:rsid w:val="00ad6cc7"/>
    <w:pPr>
      <w:tabs>
        <w:tab w:val="clear" w:pos="708"/>
        <w:tab w:val="center" w:pos="4536" w:leader="none"/>
        <w:tab w:val="right" w:pos="9072" w:leader="none"/>
      </w:tabs>
    </w:pPr>
    <w:rPr/>
  </w:style>
  <w:style w:type="paragraph" w:styleId="Podnoje">
    <w:name w:val="Footer"/>
    <w:basedOn w:val="Normal"/>
    <w:link w:val="FooterChar"/>
    <w:uiPriority w:val="99"/>
    <w:rsid w:val="00ad6cc7"/>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LibreOffice/6.4.3.2$Windows_X86_64 LibreOffice_project/747b5d0ebf89f41c860ec2a39efd7cb15b54f2d8</Application>
  <Pages>2</Pages>
  <Words>722</Words>
  <Characters>4379</Characters>
  <CharactersWithSpaces>5082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2023-05-16T09:41:00Z</dcterms:created>
  <dc:creator>Lili Mekterović-Ružić</dc:creator>
  <dc:description/>
  <dc:language>hr-HR</dc:language>
  <cp:lastModifiedBy/>
  <cp:lastPrinted>2023-05-12T07:06:00Z</cp:lastPrinted>
  <dcterms:modified xsi:type="dcterms:W3CDTF">2025-01-10T09:58:20Z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