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8E00B" w14:textId="77777777" w:rsidR="001E3C55" w:rsidRDefault="001E3C55" w:rsidP="00A0011C">
      <w:pPr>
        <w:pStyle w:val="Uvuenotijeloteksta"/>
        <w:widowControl w:val="0"/>
        <w:tabs>
          <w:tab w:val="clear" w:pos="426"/>
          <w:tab w:val="clear" w:pos="851"/>
          <w:tab w:val="clear" w:pos="1276"/>
          <w:tab w:val="clear" w:pos="1701"/>
        </w:tabs>
        <w:ind w:firstLine="708"/>
        <w:rPr>
          <w:rFonts w:ascii="Arial" w:hAnsi="Arial" w:cs="Arial"/>
          <w:szCs w:val="22"/>
        </w:rPr>
      </w:pPr>
      <w:bookmarkStart w:id="0" w:name="_Hlk166761647"/>
    </w:p>
    <w:p w14:paraId="6577B74C" w14:textId="77777777" w:rsidR="001E3C55" w:rsidRPr="003D3824" w:rsidRDefault="001E3C55" w:rsidP="00A0011C">
      <w:pPr>
        <w:pStyle w:val="Uvuenotijeloteksta"/>
        <w:widowControl w:val="0"/>
        <w:tabs>
          <w:tab w:val="clear" w:pos="426"/>
          <w:tab w:val="clear" w:pos="851"/>
          <w:tab w:val="clear" w:pos="1276"/>
          <w:tab w:val="clear" w:pos="1701"/>
        </w:tabs>
        <w:ind w:firstLine="708"/>
        <w:rPr>
          <w:rFonts w:ascii="Arial" w:hAnsi="Arial" w:cs="Arial"/>
          <w:szCs w:val="22"/>
        </w:rPr>
      </w:pPr>
    </w:p>
    <w:p w14:paraId="3CBFCC61" w14:textId="01FED303" w:rsidR="00A0011C" w:rsidRPr="00982B02" w:rsidRDefault="00A0011C" w:rsidP="00A0011C">
      <w:pPr>
        <w:pStyle w:val="Uvuenotijeloteksta"/>
        <w:widowControl w:val="0"/>
        <w:tabs>
          <w:tab w:val="clear" w:pos="426"/>
          <w:tab w:val="clear" w:pos="851"/>
          <w:tab w:val="clear" w:pos="1276"/>
          <w:tab w:val="clear" w:pos="1701"/>
        </w:tabs>
        <w:ind w:firstLine="708"/>
        <w:rPr>
          <w:sz w:val="24"/>
          <w:szCs w:val="24"/>
        </w:rPr>
      </w:pPr>
      <w:r w:rsidRPr="00982B02">
        <w:rPr>
          <w:sz w:val="24"/>
          <w:szCs w:val="24"/>
        </w:rPr>
        <w:t xml:space="preserve">Na temelju članka </w:t>
      </w:r>
      <w:r w:rsidR="00C046B2" w:rsidRPr="00982B02">
        <w:rPr>
          <w:sz w:val="24"/>
          <w:szCs w:val="24"/>
        </w:rPr>
        <w:t>71 i 74</w:t>
      </w:r>
      <w:r w:rsidRPr="00982B02">
        <w:rPr>
          <w:sz w:val="24"/>
          <w:szCs w:val="24"/>
        </w:rPr>
        <w:t xml:space="preserve">. Zakona o komunalnom gospodarstvu </w:t>
      </w:r>
      <w:r w:rsidR="008826C8" w:rsidRPr="00982B02">
        <w:rPr>
          <w:sz w:val="24"/>
          <w:szCs w:val="24"/>
        </w:rPr>
        <w:t xml:space="preserve">("Narodne novine" br. </w:t>
      </w:r>
      <w:r w:rsidR="00C046B2" w:rsidRPr="00982B02">
        <w:rPr>
          <w:sz w:val="24"/>
          <w:szCs w:val="24"/>
        </w:rPr>
        <w:t>68/18</w:t>
      </w:r>
      <w:r w:rsidR="00745FD7">
        <w:rPr>
          <w:sz w:val="24"/>
          <w:szCs w:val="24"/>
        </w:rPr>
        <w:t>, 110/18, 32/20</w:t>
      </w:r>
      <w:r w:rsidR="008826C8" w:rsidRPr="00982B02">
        <w:rPr>
          <w:sz w:val="24"/>
          <w:szCs w:val="24"/>
        </w:rPr>
        <w:t>)</w:t>
      </w:r>
      <w:r w:rsidRPr="00982B02">
        <w:rPr>
          <w:sz w:val="24"/>
          <w:szCs w:val="24"/>
        </w:rPr>
        <w:t xml:space="preserve"> i članka 4</w:t>
      </w:r>
      <w:r w:rsidR="00AF48F1" w:rsidRPr="00982B02">
        <w:rPr>
          <w:sz w:val="24"/>
          <w:szCs w:val="24"/>
        </w:rPr>
        <w:t>9</w:t>
      </w:r>
      <w:r w:rsidRPr="00982B02">
        <w:rPr>
          <w:sz w:val="24"/>
          <w:szCs w:val="24"/>
        </w:rPr>
        <w:t xml:space="preserve">. </w:t>
      </w:r>
      <w:r w:rsidR="00745FD7" w:rsidRPr="00745FD7">
        <w:rPr>
          <w:sz w:val="24"/>
          <w:szCs w:val="24"/>
        </w:rPr>
        <w:t>. Statuta Grada Buja-Buie („Službene novine Grada Buja-Buie“ broj 11/09, 05/11,11/11,03/13,05/18)</w:t>
      </w:r>
      <w:r w:rsidRPr="00982B02">
        <w:rPr>
          <w:sz w:val="24"/>
          <w:szCs w:val="24"/>
        </w:rPr>
        <w:t>, Gradsko vijeće G</w:t>
      </w:r>
      <w:r w:rsidR="003411AD" w:rsidRPr="00982B02">
        <w:rPr>
          <w:sz w:val="24"/>
          <w:szCs w:val="24"/>
        </w:rPr>
        <w:t>rada Buja</w:t>
      </w:r>
      <w:r w:rsidR="008C3DD4">
        <w:rPr>
          <w:sz w:val="24"/>
          <w:szCs w:val="24"/>
        </w:rPr>
        <w:t>-Buie</w:t>
      </w:r>
      <w:r w:rsidR="003411AD" w:rsidRPr="00982B02">
        <w:rPr>
          <w:sz w:val="24"/>
          <w:szCs w:val="24"/>
        </w:rPr>
        <w:t xml:space="preserve">, na sjednici održanoj </w:t>
      </w:r>
      <w:r w:rsidR="004A36D2">
        <w:rPr>
          <w:sz w:val="24"/>
          <w:szCs w:val="24"/>
        </w:rPr>
        <w:t>15.05.2024</w:t>
      </w:r>
      <w:r w:rsidR="00E8712D">
        <w:rPr>
          <w:sz w:val="24"/>
          <w:szCs w:val="24"/>
        </w:rPr>
        <w:t>.</w:t>
      </w:r>
      <w:r w:rsidRPr="00982B02">
        <w:rPr>
          <w:sz w:val="24"/>
          <w:szCs w:val="24"/>
        </w:rPr>
        <w:t>, usvoj</w:t>
      </w:r>
      <w:r w:rsidR="00C6109D" w:rsidRPr="00982B02">
        <w:rPr>
          <w:sz w:val="24"/>
          <w:szCs w:val="24"/>
        </w:rPr>
        <w:t>i</w:t>
      </w:r>
      <w:r w:rsidRPr="00982B02">
        <w:rPr>
          <w:sz w:val="24"/>
          <w:szCs w:val="24"/>
        </w:rPr>
        <w:t>lo je</w:t>
      </w:r>
      <w:r w:rsidR="00B405CC" w:rsidRPr="00982B02">
        <w:rPr>
          <w:sz w:val="24"/>
          <w:szCs w:val="24"/>
        </w:rPr>
        <w:t>,</w:t>
      </w:r>
      <w:r w:rsidRPr="00982B02">
        <w:rPr>
          <w:sz w:val="24"/>
          <w:szCs w:val="24"/>
        </w:rPr>
        <w:t xml:space="preserve"> </w:t>
      </w:r>
    </w:p>
    <w:p w14:paraId="2510830D" w14:textId="77777777" w:rsidR="00A0011C" w:rsidRPr="00982B02" w:rsidRDefault="00A0011C" w:rsidP="00B405CC">
      <w:pPr>
        <w:pStyle w:val="Uvuenotijeloteksta"/>
        <w:widowControl w:val="0"/>
        <w:tabs>
          <w:tab w:val="clear" w:pos="426"/>
          <w:tab w:val="clear" w:pos="851"/>
          <w:tab w:val="clear" w:pos="1276"/>
          <w:tab w:val="clear" w:pos="1701"/>
        </w:tabs>
        <w:rPr>
          <w:sz w:val="24"/>
          <w:szCs w:val="24"/>
        </w:rPr>
      </w:pPr>
    </w:p>
    <w:p w14:paraId="05804D16" w14:textId="77777777" w:rsidR="00DA4B30" w:rsidRPr="00982B02" w:rsidRDefault="00DA4B30" w:rsidP="00A0011C">
      <w:pPr>
        <w:pStyle w:val="Uvuenotijeloteksta"/>
        <w:widowControl w:val="0"/>
        <w:tabs>
          <w:tab w:val="clear" w:pos="426"/>
          <w:tab w:val="clear" w:pos="851"/>
          <w:tab w:val="clear" w:pos="1276"/>
          <w:tab w:val="clear" w:pos="1701"/>
        </w:tabs>
        <w:ind w:firstLine="708"/>
        <w:rPr>
          <w:sz w:val="24"/>
          <w:szCs w:val="24"/>
        </w:rPr>
      </w:pPr>
    </w:p>
    <w:p w14:paraId="261A03C9" w14:textId="77777777" w:rsidR="00372696" w:rsidRPr="00982B02" w:rsidRDefault="00372696" w:rsidP="00A0011C">
      <w:pPr>
        <w:pStyle w:val="Uvuenotijeloteksta"/>
        <w:widowControl w:val="0"/>
        <w:tabs>
          <w:tab w:val="clear" w:pos="426"/>
          <w:tab w:val="clear" w:pos="851"/>
          <w:tab w:val="clear" w:pos="1276"/>
          <w:tab w:val="clear" w:pos="1701"/>
        </w:tabs>
        <w:ind w:firstLine="708"/>
        <w:rPr>
          <w:sz w:val="24"/>
          <w:szCs w:val="24"/>
        </w:rPr>
      </w:pPr>
    </w:p>
    <w:p w14:paraId="4F0FF1BD" w14:textId="77777777" w:rsidR="00B405CC" w:rsidRPr="00982B02" w:rsidRDefault="00B405CC" w:rsidP="00A0011C">
      <w:pPr>
        <w:pStyle w:val="Uvuenotijeloteksta"/>
        <w:widowControl w:val="0"/>
        <w:tabs>
          <w:tab w:val="clear" w:pos="426"/>
          <w:tab w:val="clear" w:pos="851"/>
          <w:tab w:val="clear" w:pos="1276"/>
          <w:tab w:val="clear" w:pos="1701"/>
        </w:tabs>
        <w:ind w:firstLine="708"/>
        <w:rPr>
          <w:sz w:val="24"/>
          <w:szCs w:val="24"/>
        </w:rPr>
      </w:pPr>
    </w:p>
    <w:p w14:paraId="31B9B095" w14:textId="74518B07" w:rsidR="00A0011C" w:rsidRPr="00982B02" w:rsidRDefault="00A0011C" w:rsidP="00A0011C">
      <w:pPr>
        <w:pStyle w:val="Uvuenotijeloteksta"/>
        <w:widowControl w:val="0"/>
        <w:tabs>
          <w:tab w:val="clear" w:pos="426"/>
          <w:tab w:val="clear" w:pos="851"/>
          <w:tab w:val="clear" w:pos="1276"/>
          <w:tab w:val="clear" w:pos="1701"/>
        </w:tabs>
        <w:ind w:firstLine="708"/>
        <w:jc w:val="center"/>
        <w:rPr>
          <w:b/>
          <w:sz w:val="24"/>
          <w:szCs w:val="24"/>
        </w:rPr>
      </w:pPr>
      <w:r w:rsidRPr="00982B02">
        <w:rPr>
          <w:b/>
          <w:sz w:val="24"/>
          <w:szCs w:val="24"/>
        </w:rPr>
        <w:t>I</w:t>
      </w:r>
      <w:r w:rsidR="00DA4B30" w:rsidRPr="00982B02">
        <w:rPr>
          <w:b/>
          <w:sz w:val="24"/>
          <w:szCs w:val="24"/>
        </w:rPr>
        <w:t xml:space="preserve"> </w:t>
      </w:r>
      <w:r w:rsidRPr="00982B02">
        <w:rPr>
          <w:b/>
          <w:sz w:val="24"/>
          <w:szCs w:val="24"/>
        </w:rPr>
        <w:t>Z</w:t>
      </w:r>
      <w:r w:rsidR="00DA4B30" w:rsidRPr="00982B02">
        <w:rPr>
          <w:b/>
          <w:sz w:val="24"/>
          <w:szCs w:val="24"/>
        </w:rPr>
        <w:t xml:space="preserve"> </w:t>
      </w:r>
      <w:r w:rsidRPr="00982B02">
        <w:rPr>
          <w:b/>
          <w:sz w:val="24"/>
          <w:szCs w:val="24"/>
        </w:rPr>
        <w:t>V</w:t>
      </w:r>
      <w:r w:rsidR="00DA4B30" w:rsidRPr="00982B02">
        <w:rPr>
          <w:b/>
          <w:sz w:val="24"/>
          <w:szCs w:val="24"/>
        </w:rPr>
        <w:t xml:space="preserve"> </w:t>
      </w:r>
      <w:r w:rsidRPr="00982B02">
        <w:rPr>
          <w:b/>
          <w:sz w:val="24"/>
          <w:szCs w:val="24"/>
        </w:rPr>
        <w:t>J</w:t>
      </w:r>
      <w:r w:rsidR="00DA4B30" w:rsidRPr="00982B02">
        <w:rPr>
          <w:b/>
          <w:sz w:val="24"/>
          <w:szCs w:val="24"/>
        </w:rPr>
        <w:t xml:space="preserve"> </w:t>
      </w:r>
      <w:r w:rsidRPr="00982B02">
        <w:rPr>
          <w:b/>
          <w:sz w:val="24"/>
          <w:szCs w:val="24"/>
        </w:rPr>
        <w:t>E</w:t>
      </w:r>
      <w:r w:rsidR="00DA4B30" w:rsidRPr="00982B02">
        <w:rPr>
          <w:b/>
          <w:sz w:val="24"/>
          <w:szCs w:val="24"/>
        </w:rPr>
        <w:t xml:space="preserve"> </w:t>
      </w:r>
      <w:r w:rsidR="0088706E" w:rsidRPr="00982B02">
        <w:rPr>
          <w:b/>
          <w:sz w:val="24"/>
          <w:szCs w:val="24"/>
        </w:rPr>
        <w:t>Š</w:t>
      </w:r>
      <w:r w:rsidR="00DA4B30" w:rsidRPr="00982B02">
        <w:rPr>
          <w:b/>
          <w:sz w:val="24"/>
          <w:szCs w:val="24"/>
        </w:rPr>
        <w:t xml:space="preserve"> </w:t>
      </w:r>
      <w:r w:rsidRPr="00982B02">
        <w:rPr>
          <w:b/>
          <w:sz w:val="24"/>
          <w:szCs w:val="24"/>
        </w:rPr>
        <w:t>Ć</w:t>
      </w:r>
      <w:r w:rsidR="008078F9">
        <w:rPr>
          <w:b/>
          <w:sz w:val="24"/>
          <w:szCs w:val="24"/>
        </w:rPr>
        <w:t xml:space="preserve"> </w:t>
      </w:r>
      <w:r w:rsidRPr="00982B02">
        <w:rPr>
          <w:b/>
          <w:sz w:val="24"/>
          <w:szCs w:val="24"/>
        </w:rPr>
        <w:t>E</w:t>
      </w:r>
    </w:p>
    <w:p w14:paraId="3BB82490" w14:textId="77777777" w:rsidR="00B405CC" w:rsidRPr="00982B02" w:rsidRDefault="00B405CC" w:rsidP="00A0011C">
      <w:pPr>
        <w:pStyle w:val="Uvuenotijeloteksta"/>
        <w:widowControl w:val="0"/>
        <w:tabs>
          <w:tab w:val="clear" w:pos="426"/>
          <w:tab w:val="clear" w:pos="851"/>
          <w:tab w:val="clear" w:pos="1276"/>
          <w:tab w:val="clear" w:pos="1701"/>
        </w:tabs>
        <w:ind w:firstLine="708"/>
        <w:jc w:val="center"/>
        <w:rPr>
          <w:b/>
          <w:sz w:val="24"/>
          <w:szCs w:val="24"/>
        </w:rPr>
      </w:pPr>
    </w:p>
    <w:p w14:paraId="225F7963" w14:textId="5C0C0CBE" w:rsidR="00A0011C" w:rsidRPr="00982B02" w:rsidRDefault="00A0011C" w:rsidP="00A0011C">
      <w:pPr>
        <w:pStyle w:val="Uvuenotijeloteksta"/>
        <w:widowControl w:val="0"/>
        <w:tabs>
          <w:tab w:val="clear" w:pos="426"/>
          <w:tab w:val="clear" w:pos="851"/>
          <w:tab w:val="clear" w:pos="1276"/>
          <w:tab w:val="clear" w:pos="1701"/>
        </w:tabs>
        <w:ind w:firstLine="708"/>
        <w:jc w:val="center"/>
        <w:rPr>
          <w:b/>
          <w:sz w:val="24"/>
          <w:szCs w:val="24"/>
        </w:rPr>
      </w:pPr>
      <w:r w:rsidRPr="00982B02">
        <w:rPr>
          <w:b/>
          <w:sz w:val="24"/>
          <w:szCs w:val="24"/>
        </w:rPr>
        <w:t xml:space="preserve">o ostvarenju Programa </w:t>
      </w:r>
      <w:r w:rsidR="00B03291" w:rsidRPr="00982B02">
        <w:rPr>
          <w:b/>
          <w:sz w:val="24"/>
          <w:szCs w:val="24"/>
        </w:rPr>
        <w:t xml:space="preserve">gradnje </w:t>
      </w:r>
      <w:r w:rsidRPr="00982B02">
        <w:rPr>
          <w:b/>
          <w:sz w:val="24"/>
          <w:szCs w:val="24"/>
        </w:rPr>
        <w:t xml:space="preserve"> komunalne</w:t>
      </w:r>
    </w:p>
    <w:p w14:paraId="43C092F9" w14:textId="594F53CB" w:rsidR="00A0011C" w:rsidRPr="00982B02" w:rsidRDefault="00A0011C" w:rsidP="00A0011C">
      <w:pPr>
        <w:pStyle w:val="Uvuenotijeloteksta"/>
        <w:widowControl w:val="0"/>
        <w:tabs>
          <w:tab w:val="clear" w:pos="426"/>
          <w:tab w:val="clear" w:pos="851"/>
          <w:tab w:val="clear" w:pos="1276"/>
          <w:tab w:val="clear" w:pos="1701"/>
        </w:tabs>
        <w:ind w:firstLine="708"/>
        <w:jc w:val="center"/>
        <w:rPr>
          <w:b/>
          <w:sz w:val="24"/>
          <w:szCs w:val="24"/>
        </w:rPr>
      </w:pPr>
      <w:r w:rsidRPr="00982B02">
        <w:rPr>
          <w:b/>
          <w:sz w:val="24"/>
          <w:szCs w:val="24"/>
        </w:rPr>
        <w:t xml:space="preserve">infrastrukture za </w:t>
      </w:r>
      <w:r w:rsidR="00514845">
        <w:rPr>
          <w:b/>
          <w:sz w:val="24"/>
          <w:szCs w:val="24"/>
        </w:rPr>
        <w:t>202</w:t>
      </w:r>
      <w:r w:rsidR="00CF3C36">
        <w:rPr>
          <w:b/>
          <w:sz w:val="24"/>
          <w:szCs w:val="24"/>
        </w:rPr>
        <w:t>3</w:t>
      </w:r>
      <w:r w:rsidRPr="00982B02">
        <w:rPr>
          <w:b/>
          <w:sz w:val="24"/>
          <w:szCs w:val="24"/>
        </w:rPr>
        <w:t>. godinu</w:t>
      </w:r>
    </w:p>
    <w:p w14:paraId="4DD32349" w14:textId="77777777" w:rsidR="00A0011C" w:rsidRPr="00982B02" w:rsidRDefault="00A0011C" w:rsidP="00A0011C">
      <w:pPr>
        <w:pStyle w:val="Uvuenotijeloteksta"/>
        <w:widowControl w:val="0"/>
        <w:tabs>
          <w:tab w:val="clear" w:pos="426"/>
          <w:tab w:val="clear" w:pos="851"/>
          <w:tab w:val="clear" w:pos="1276"/>
          <w:tab w:val="clear" w:pos="1701"/>
        </w:tabs>
        <w:ind w:firstLine="708"/>
        <w:jc w:val="center"/>
        <w:rPr>
          <w:sz w:val="24"/>
          <w:szCs w:val="24"/>
        </w:rPr>
      </w:pPr>
    </w:p>
    <w:p w14:paraId="37FD96A4" w14:textId="77777777" w:rsidR="00BE2C23" w:rsidRPr="00982B02" w:rsidRDefault="00BE2C23" w:rsidP="00A0011C">
      <w:pPr>
        <w:pStyle w:val="Uvuenotijeloteksta"/>
        <w:widowControl w:val="0"/>
        <w:tabs>
          <w:tab w:val="clear" w:pos="426"/>
          <w:tab w:val="clear" w:pos="851"/>
          <w:tab w:val="clear" w:pos="1276"/>
          <w:tab w:val="clear" w:pos="1701"/>
        </w:tabs>
        <w:ind w:firstLine="708"/>
        <w:jc w:val="center"/>
        <w:rPr>
          <w:sz w:val="24"/>
          <w:szCs w:val="24"/>
        </w:rPr>
      </w:pPr>
    </w:p>
    <w:p w14:paraId="1688D35E" w14:textId="77777777" w:rsidR="00BE2C23" w:rsidRPr="00982B02" w:rsidRDefault="00BE2C23" w:rsidP="00A0011C">
      <w:pPr>
        <w:pStyle w:val="Uvuenotijeloteksta"/>
        <w:widowControl w:val="0"/>
        <w:tabs>
          <w:tab w:val="clear" w:pos="426"/>
          <w:tab w:val="clear" w:pos="851"/>
          <w:tab w:val="clear" w:pos="1276"/>
          <w:tab w:val="clear" w:pos="1701"/>
        </w:tabs>
        <w:ind w:firstLine="708"/>
        <w:jc w:val="center"/>
        <w:rPr>
          <w:sz w:val="24"/>
          <w:szCs w:val="24"/>
        </w:rPr>
      </w:pPr>
    </w:p>
    <w:p w14:paraId="1A21830F" w14:textId="3DBA1005" w:rsidR="00DA4B30" w:rsidRPr="00982B02" w:rsidRDefault="00BE2C23" w:rsidP="00553862">
      <w:pPr>
        <w:pStyle w:val="Uvuenotijeloteksta"/>
        <w:widowControl w:val="0"/>
        <w:tabs>
          <w:tab w:val="clear" w:pos="426"/>
          <w:tab w:val="clear" w:pos="851"/>
          <w:tab w:val="clear" w:pos="1276"/>
          <w:tab w:val="clear" w:pos="1701"/>
        </w:tabs>
        <w:ind w:firstLine="708"/>
        <w:rPr>
          <w:sz w:val="24"/>
          <w:szCs w:val="24"/>
        </w:rPr>
      </w:pPr>
      <w:r w:rsidRPr="002F23AF">
        <w:rPr>
          <w:sz w:val="24"/>
          <w:szCs w:val="24"/>
        </w:rPr>
        <w:t>I.</w:t>
      </w:r>
      <w:r w:rsidRPr="00982B02">
        <w:rPr>
          <w:sz w:val="24"/>
          <w:szCs w:val="24"/>
        </w:rPr>
        <w:t xml:space="preserve"> </w:t>
      </w:r>
      <w:r w:rsidR="000B38D5" w:rsidRPr="00982B02">
        <w:rPr>
          <w:sz w:val="24"/>
          <w:szCs w:val="24"/>
        </w:rPr>
        <w:t xml:space="preserve"> </w:t>
      </w:r>
      <w:r w:rsidR="00372696" w:rsidRPr="00982B02">
        <w:rPr>
          <w:sz w:val="24"/>
          <w:szCs w:val="24"/>
        </w:rPr>
        <w:t>Godišnj</w:t>
      </w:r>
      <w:r w:rsidR="00B135D0">
        <w:rPr>
          <w:sz w:val="24"/>
          <w:szCs w:val="24"/>
        </w:rPr>
        <w:t>i</w:t>
      </w:r>
      <w:r w:rsidR="00A51D53" w:rsidRPr="00982B02">
        <w:rPr>
          <w:sz w:val="24"/>
          <w:szCs w:val="24"/>
        </w:rPr>
        <w:t xml:space="preserve"> </w:t>
      </w:r>
      <w:r w:rsidR="00372696" w:rsidRPr="00982B02">
        <w:rPr>
          <w:sz w:val="24"/>
          <w:szCs w:val="24"/>
        </w:rPr>
        <w:t>P</w:t>
      </w:r>
      <w:r w:rsidR="000B38D5" w:rsidRPr="00982B02">
        <w:rPr>
          <w:sz w:val="24"/>
          <w:szCs w:val="24"/>
        </w:rPr>
        <w:t xml:space="preserve">rogram </w:t>
      </w:r>
      <w:r w:rsidR="00B135D0" w:rsidRPr="00982B02">
        <w:rPr>
          <w:sz w:val="24"/>
          <w:szCs w:val="24"/>
        </w:rPr>
        <w:t xml:space="preserve">gradnje </w:t>
      </w:r>
      <w:r w:rsidR="000B38D5" w:rsidRPr="00982B02">
        <w:rPr>
          <w:sz w:val="24"/>
          <w:szCs w:val="24"/>
        </w:rPr>
        <w:t xml:space="preserve">komunalne infrastrukture </w:t>
      </w:r>
      <w:r w:rsidR="00A51D53" w:rsidRPr="00982B02">
        <w:rPr>
          <w:sz w:val="24"/>
          <w:szCs w:val="24"/>
        </w:rPr>
        <w:t>za</w:t>
      </w:r>
      <w:r w:rsidR="000B38D5" w:rsidRPr="00982B02">
        <w:rPr>
          <w:sz w:val="24"/>
          <w:szCs w:val="24"/>
        </w:rPr>
        <w:t xml:space="preserve"> 20</w:t>
      </w:r>
      <w:r w:rsidR="00745FD7">
        <w:rPr>
          <w:sz w:val="24"/>
          <w:szCs w:val="24"/>
        </w:rPr>
        <w:t>2</w:t>
      </w:r>
      <w:r w:rsidR="00B21496">
        <w:rPr>
          <w:sz w:val="24"/>
          <w:szCs w:val="24"/>
        </w:rPr>
        <w:t>3</w:t>
      </w:r>
      <w:r w:rsidR="000B38D5" w:rsidRPr="00982B02">
        <w:rPr>
          <w:sz w:val="24"/>
          <w:szCs w:val="24"/>
        </w:rPr>
        <w:t>. godin</w:t>
      </w:r>
      <w:r w:rsidR="00A51D53" w:rsidRPr="00982B02">
        <w:rPr>
          <w:sz w:val="24"/>
          <w:szCs w:val="24"/>
        </w:rPr>
        <w:t>u</w:t>
      </w:r>
      <w:r w:rsidR="000B38D5" w:rsidRPr="00982B02">
        <w:rPr>
          <w:sz w:val="24"/>
          <w:szCs w:val="24"/>
        </w:rPr>
        <w:t xml:space="preserve"> </w:t>
      </w:r>
      <w:r w:rsidR="00A51D53" w:rsidRPr="00982B02">
        <w:rPr>
          <w:sz w:val="24"/>
          <w:szCs w:val="24"/>
        </w:rPr>
        <w:t xml:space="preserve">na području </w:t>
      </w:r>
      <w:r w:rsidR="000B38D5" w:rsidRPr="00982B02">
        <w:rPr>
          <w:sz w:val="24"/>
          <w:szCs w:val="24"/>
        </w:rPr>
        <w:t>Grad</w:t>
      </w:r>
      <w:r w:rsidR="00A51D53" w:rsidRPr="00982B02">
        <w:rPr>
          <w:sz w:val="24"/>
          <w:szCs w:val="24"/>
        </w:rPr>
        <w:t>a</w:t>
      </w:r>
      <w:r w:rsidR="000B38D5" w:rsidRPr="00982B02">
        <w:rPr>
          <w:sz w:val="24"/>
          <w:szCs w:val="24"/>
        </w:rPr>
        <w:t xml:space="preserve"> Buje donijelo je Gradsko vijeće Grada Buje na sjednici održanoj </w:t>
      </w:r>
      <w:r w:rsidR="009C7EED" w:rsidRPr="00982B02">
        <w:rPr>
          <w:sz w:val="24"/>
          <w:szCs w:val="24"/>
        </w:rPr>
        <w:t xml:space="preserve"> </w:t>
      </w:r>
      <w:r w:rsidR="00514845">
        <w:rPr>
          <w:sz w:val="24"/>
          <w:szCs w:val="24"/>
        </w:rPr>
        <w:t>0</w:t>
      </w:r>
      <w:r w:rsidR="00B21496">
        <w:rPr>
          <w:sz w:val="24"/>
          <w:szCs w:val="24"/>
        </w:rPr>
        <w:t>7</w:t>
      </w:r>
      <w:r w:rsidR="00B545E3">
        <w:rPr>
          <w:sz w:val="24"/>
          <w:szCs w:val="24"/>
        </w:rPr>
        <w:t xml:space="preserve">. </w:t>
      </w:r>
      <w:r w:rsidR="00514845">
        <w:rPr>
          <w:sz w:val="24"/>
          <w:szCs w:val="24"/>
        </w:rPr>
        <w:t>prosinca</w:t>
      </w:r>
      <w:r w:rsidR="00B545E3">
        <w:rPr>
          <w:sz w:val="24"/>
          <w:szCs w:val="24"/>
        </w:rPr>
        <w:t>, 202</w:t>
      </w:r>
      <w:r w:rsidR="00B21496">
        <w:rPr>
          <w:sz w:val="24"/>
          <w:szCs w:val="24"/>
        </w:rPr>
        <w:t>2</w:t>
      </w:r>
      <w:r w:rsidR="00E5268F" w:rsidRPr="00982B02">
        <w:rPr>
          <w:sz w:val="24"/>
          <w:szCs w:val="24"/>
        </w:rPr>
        <w:t xml:space="preserve">. godine (Službene novine Grada Buja, broj </w:t>
      </w:r>
      <w:r w:rsidR="00514845">
        <w:rPr>
          <w:sz w:val="24"/>
          <w:szCs w:val="24"/>
        </w:rPr>
        <w:t>1</w:t>
      </w:r>
      <w:r w:rsidR="00B21496">
        <w:rPr>
          <w:sz w:val="24"/>
          <w:szCs w:val="24"/>
        </w:rPr>
        <w:t>6</w:t>
      </w:r>
      <w:r w:rsidR="00514845">
        <w:rPr>
          <w:sz w:val="24"/>
          <w:szCs w:val="24"/>
        </w:rPr>
        <w:t>/2</w:t>
      </w:r>
      <w:r w:rsidR="00B21496">
        <w:rPr>
          <w:sz w:val="24"/>
          <w:szCs w:val="24"/>
        </w:rPr>
        <w:t>2</w:t>
      </w:r>
      <w:r w:rsidR="00E5268F" w:rsidRPr="00982B02">
        <w:rPr>
          <w:sz w:val="24"/>
          <w:szCs w:val="24"/>
        </w:rPr>
        <w:t xml:space="preserve">), </w:t>
      </w:r>
      <w:r w:rsidR="006D38CC">
        <w:rPr>
          <w:sz w:val="24"/>
          <w:szCs w:val="24"/>
        </w:rPr>
        <w:t>a</w:t>
      </w:r>
      <w:r w:rsidR="007525FF">
        <w:rPr>
          <w:sz w:val="24"/>
          <w:szCs w:val="24"/>
        </w:rPr>
        <w:t xml:space="preserve"> zadnje </w:t>
      </w:r>
      <w:r w:rsidR="00E5268F" w:rsidRPr="00982B02">
        <w:rPr>
          <w:sz w:val="24"/>
          <w:szCs w:val="24"/>
        </w:rPr>
        <w:t xml:space="preserve"> Izmjene i dopune Programa donijete su na sjednici </w:t>
      </w:r>
      <w:r w:rsidR="009507AC">
        <w:rPr>
          <w:sz w:val="24"/>
          <w:szCs w:val="24"/>
        </w:rPr>
        <w:t>2</w:t>
      </w:r>
      <w:r w:rsidR="00B21496">
        <w:rPr>
          <w:sz w:val="24"/>
          <w:szCs w:val="24"/>
        </w:rPr>
        <w:t>2</w:t>
      </w:r>
      <w:r w:rsidR="002F0D43" w:rsidRPr="00982B02">
        <w:rPr>
          <w:sz w:val="24"/>
          <w:szCs w:val="24"/>
        </w:rPr>
        <w:t xml:space="preserve">. </w:t>
      </w:r>
      <w:r w:rsidR="009507AC">
        <w:rPr>
          <w:sz w:val="24"/>
          <w:szCs w:val="24"/>
        </w:rPr>
        <w:t>prosinca</w:t>
      </w:r>
      <w:r w:rsidR="00E5268F" w:rsidRPr="00982B02">
        <w:rPr>
          <w:sz w:val="24"/>
          <w:szCs w:val="24"/>
        </w:rPr>
        <w:t>, 20</w:t>
      </w:r>
      <w:r w:rsidR="009507AC">
        <w:rPr>
          <w:sz w:val="24"/>
          <w:szCs w:val="24"/>
        </w:rPr>
        <w:t>2</w:t>
      </w:r>
      <w:r w:rsidR="00B21496">
        <w:rPr>
          <w:sz w:val="24"/>
          <w:szCs w:val="24"/>
        </w:rPr>
        <w:t>3</w:t>
      </w:r>
      <w:r w:rsidR="00E5268F" w:rsidRPr="00982B02">
        <w:rPr>
          <w:sz w:val="24"/>
          <w:szCs w:val="24"/>
        </w:rPr>
        <w:t xml:space="preserve">. godine (Službene novine Grada Buja, broj </w:t>
      </w:r>
      <w:r w:rsidR="00B21496">
        <w:rPr>
          <w:sz w:val="24"/>
          <w:szCs w:val="24"/>
        </w:rPr>
        <w:t>22</w:t>
      </w:r>
      <w:r w:rsidR="00514845">
        <w:rPr>
          <w:sz w:val="24"/>
          <w:szCs w:val="24"/>
        </w:rPr>
        <w:t>/2</w:t>
      </w:r>
      <w:r w:rsidR="00B21496">
        <w:rPr>
          <w:sz w:val="24"/>
          <w:szCs w:val="24"/>
        </w:rPr>
        <w:t>3</w:t>
      </w:r>
      <w:r w:rsidR="00E5268F" w:rsidRPr="00982B02">
        <w:rPr>
          <w:sz w:val="24"/>
          <w:szCs w:val="24"/>
        </w:rPr>
        <w:t>)</w:t>
      </w:r>
      <w:r w:rsidR="00ED63B9" w:rsidRPr="00982B02">
        <w:rPr>
          <w:sz w:val="24"/>
          <w:szCs w:val="24"/>
        </w:rPr>
        <w:t xml:space="preserve"> </w:t>
      </w:r>
    </w:p>
    <w:p w14:paraId="2945DB9B" w14:textId="65E0091D" w:rsidR="00ED63B9" w:rsidRPr="00982B02" w:rsidRDefault="00ED63B9" w:rsidP="00ED63B9">
      <w:pPr>
        <w:pStyle w:val="Uvuenotijeloteksta"/>
        <w:widowControl w:val="0"/>
        <w:tabs>
          <w:tab w:val="clear" w:pos="426"/>
          <w:tab w:val="clear" w:pos="851"/>
          <w:tab w:val="clear" w:pos="1276"/>
          <w:tab w:val="clear" w:pos="1701"/>
        </w:tabs>
        <w:ind w:firstLine="708"/>
        <w:rPr>
          <w:sz w:val="24"/>
          <w:szCs w:val="24"/>
        </w:rPr>
      </w:pPr>
      <w:r w:rsidRPr="00982B02">
        <w:rPr>
          <w:sz w:val="24"/>
          <w:szCs w:val="24"/>
        </w:rPr>
        <w:t>II</w:t>
      </w:r>
      <w:r w:rsidR="006A3258" w:rsidRPr="00982B02">
        <w:rPr>
          <w:sz w:val="24"/>
          <w:szCs w:val="24"/>
        </w:rPr>
        <w:t>. R</w:t>
      </w:r>
      <w:r w:rsidRPr="00982B02">
        <w:rPr>
          <w:sz w:val="24"/>
          <w:szCs w:val="24"/>
        </w:rPr>
        <w:t>ealizacij</w:t>
      </w:r>
      <w:r w:rsidR="004C00EA" w:rsidRPr="00982B02">
        <w:rPr>
          <w:sz w:val="24"/>
          <w:szCs w:val="24"/>
        </w:rPr>
        <w:t>a</w:t>
      </w:r>
      <w:r w:rsidRPr="00982B02">
        <w:rPr>
          <w:sz w:val="24"/>
          <w:szCs w:val="24"/>
        </w:rPr>
        <w:t xml:space="preserve"> Programa gradnje</w:t>
      </w:r>
      <w:r w:rsidR="006A3258" w:rsidRPr="00982B02">
        <w:rPr>
          <w:sz w:val="24"/>
          <w:szCs w:val="24"/>
        </w:rPr>
        <w:t xml:space="preserve"> planirana</w:t>
      </w:r>
      <w:r w:rsidRPr="00982B02">
        <w:rPr>
          <w:sz w:val="24"/>
          <w:szCs w:val="24"/>
        </w:rPr>
        <w:t xml:space="preserve"> </w:t>
      </w:r>
      <w:r w:rsidR="006A3258" w:rsidRPr="00982B02">
        <w:rPr>
          <w:sz w:val="24"/>
          <w:szCs w:val="24"/>
        </w:rPr>
        <w:t>je</w:t>
      </w:r>
      <w:r w:rsidRPr="00982B02">
        <w:rPr>
          <w:sz w:val="24"/>
          <w:szCs w:val="24"/>
        </w:rPr>
        <w:t xml:space="preserve"> u Proračunu i Izmjenama Proračuna Grada Buja za 20</w:t>
      </w:r>
      <w:r w:rsidR="009507AC">
        <w:rPr>
          <w:sz w:val="24"/>
          <w:szCs w:val="24"/>
        </w:rPr>
        <w:t>2</w:t>
      </w:r>
      <w:r w:rsidR="00B21496">
        <w:rPr>
          <w:sz w:val="24"/>
          <w:szCs w:val="24"/>
        </w:rPr>
        <w:t>3</w:t>
      </w:r>
      <w:r w:rsidRPr="00982B02">
        <w:rPr>
          <w:sz w:val="24"/>
          <w:szCs w:val="24"/>
        </w:rPr>
        <w:t xml:space="preserve">. godinu u visini od </w:t>
      </w:r>
      <w:r w:rsidR="00F56202">
        <w:rPr>
          <w:bCs/>
          <w:color w:val="000000"/>
          <w:sz w:val="24"/>
          <w:szCs w:val="24"/>
          <w:lang w:eastAsia="hr-HR"/>
        </w:rPr>
        <w:t>642.139,24 €</w:t>
      </w:r>
      <w:r w:rsidRPr="00982B02">
        <w:rPr>
          <w:sz w:val="24"/>
          <w:szCs w:val="24"/>
        </w:rPr>
        <w:t xml:space="preserve"> i to po osnovi komunalnog doprinosa </w:t>
      </w:r>
      <w:r w:rsidR="002F76F5">
        <w:rPr>
          <w:bCs/>
          <w:color w:val="000000"/>
          <w:sz w:val="24"/>
          <w:szCs w:val="24"/>
          <w:lang w:eastAsia="hr-HR"/>
        </w:rPr>
        <w:t>601.940,79 €</w:t>
      </w:r>
      <w:r w:rsidR="00B21496">
        <w:rPr>
          <w:bCs/>
          <w:color w:val="000000"/>
          <w:sz w:val="24"/>
          <w:szCs w:val="24"/>
          <w:lang w:eastAsia="hr-HR"/>
        </w:rPr>
        <w:t xml:space="preserve"> </w:t>
      </w:r>
      <w:r w:rsidR="007525FF" w:rsidRPr="00982B02">
        <w:rPr>
          <w:sz w:val="24"/>
          <w:szCs w:val="24"/>
        </w:rPr>
        <w:t xml:space="preserve"> </w:t>
      </w:r>
      <w:r w:rsidRPr="00982B02">
        <w:rPr>
          <w:sz w:val="24"/>
          <w:szCs w:val="24"/>
        </w:rPr>
        <w:t xml:space="preserve"> te ostalih proračunskih prihoda dok su rashodi za izvršenje programa iznosili </w:t>
      </w:r>
      <w:r w:rsidR="00F56202">
        <w:rPr>
          <w:bCs/>
          <w:color w:val="000000"/>
          <w:sz w:val="24"/>
          <w:szCs w:val="24"/>
          <w:lang w:eastAsia="hr-HR"/>
        </w:rPr>
        <w:t>557.369,02 €</w:t>
      </w:r>
      <w:r w:rsidRPr="00982B02">
        <w:rPr>
          <w:sz w:val="24"/>
          <w:szCs w:val="24"/>
        </w:rPr>
        <w:t>.</w:t>
      </w:r>
    </w:p>
    <w:p w14:paraId="7806809A" w14:textId="32B56086" w:rsidR="00334839" w:rsidRPr="00982B02" w:rsidRDefault="00ED63B9" w:rsidP="000B38D5">
      <w:pPr>
        <w:pStyle w:val="Uvuenotijeloteksta"/>
        <w:widowControl w:val="0"/>
        <w:tabs>
          <w:tab w:val="clear" w:pos="426"/>
          <w:tab w:val="clear" w:pos="851"/>
          <w:tab w:val="clear" w:pos="1276"/>
          <w:tab w:val="clear" w:pos="1701"/>
        </w:tabs>
        <w:ind w:firstLine="708"/>
        <w:rPr>
          <w:sz w:val="24"/>
          <w:szCs w:val="24"/>
        </w:rPr>
      </w:pPr>
      <w:r w:rsidRPr="00982B02">
        <w:rPr>
          <w:sz w:val="24"/>
          <w:szCs w:val="24"/>
        </w:rPr>
        <w:t>I</w:t>
      </w:r>
      <w:r w:rsidR="00B135D0">
        <w:rPr>
          <w:sz w:val="24"/>
          <w:szCs w:val="24"/>
        </w:rPr>
        <w:t>II</w:t>
      </w:r>
      <w:r w:rsidR="00BE2C23" w:rsidRPr="00982B02">
        <w:rPr>
          <w:sz w:val="24"/>
          <w:szCs w:val="24"/>
        </w:rPr>
        <w:t xml:space="preserve">. </w:t>
      </w:r>
      <w:r w:rsidR="00334839" w:rsidRPr="00982B02">
        <w:rPr>
          <w:sz w:val="24"/>
          <w:szCs w:val="24"/>
        </w:rPr>
        <w:t xml:space="preserve"> Pregled realiziranih </w:t>
      </w:r>
      <w:r w:rsidR="006A3258" w:rsidRPr="00982B02">
        <w:rPr>
          <w:sz w:val="24"/>
          <w:szCs w:val="24"/>
        </w:rPr>
        <w:t>pojedinačnih</w:t>
      </w:r>
      <w:r w:rsidR="00334839" w:rsidRPr="00982B02">
        <w:rPr>
          <w:sz w:val="24"/>
          <w:szCs w:val="24"/>
        </w:rPr>
        <w:t xml:space="preserve"> stav</w:t>
      </w:r>
      <w:r w:rsidR="006A3258" w:rsidRPr="00982B02">
        <w:rPr>
          <w:sz w:val="24"/>
          <w:szCs w:val="24"/>
        </w:rPr>
        <w:t>aka</w:t>
      </w:r>
      <w:r w:rsidR="00334839" w:rsidRPr="00982B02">
        <w:rPr>
          <w:sz w:val="24"/>
          <w:szCs w:val="24"/>
        </w:rPr>
        <w:t xml:space="preserve"> daje se u Tabeli u prilogu.</w:t>
      </w:r>
    </w:p>
    <w:p w14:paraId="2C809619" w14:textId="77777777" w:rsidR="00334839" w:rsidRPr="00982B02" w:rsidRDefault="00334839" w:rsidP="000B38D5">
      <w:pPr>
        <w:pStyle w:val="Uvuenotijeloteksta"/>
        <w:widowControl w:val="0"/>
        <w:tabs>
          <w:tab w:val="clear" w:pos="426"/>
          <w:tab w:val="clear" w:pos="851"/>
          <w:tab w:val="clear" w:pos="1276"/>
          <w:tab w:val="clear" w:pos="1701"/>
        </w:tabs>
        <w:ind w:firstLine="708"/>
        <w:rPr>
          <w:sz w:val="24"/>
          <w:szCs w:val="24"/>
        </w:rPr>
      </w:pPr>
    </w:p>
    <w:p w14:paraId="5C0B0430" w14:textId="0B8617FF" w:rsidR="008F285E" w:rsidRPr="00982B02" w:rsidRDefault="008F285E" w:rsidP="008F285E">
      <w:pPr>
        <w:pStyle w:val="Uvuenotijeloteksta"/>
        <w:widowControl w:val="0"/>
        <w:tabs>
          <w:tab w:val="clear" w:pos="426"/>
          <w:tab w:val="clear" w:pos="851"/>
          <w:tab w:val="clear" w:pos="1276"/>
          <w:tab w:val="clear" w:pos="1701"/>
        </w:tabs>
        <w:rPr>
          <w:sz w:val="24"/>
          <w:szCs w:val="24"/>
        </w:rPr>
      </w:pPr>
      <w:r w:rsidRPr="00982B02">
        <w:rPr>
          <w:sz w:val="24"/>
          <w:szCs w:val="24"/>
        </w:rPr>
        <w:t xml:space="preserve">Klasa: </w:t>
      </w:r>
      <w:r w:rsidR="00C946C3">
        <w:rPr>
          <w:sz w:val="24"/>
          <w:szCs w:val="24"/>
        </w:rPr>
        <w:t>363-0</w:t>
      </w:r>
      <w:r w:rsidR="00C338A1">
        <w:rPr>
          <w:sz w:val="24"/>
          <w:szCs w:val="24"/>
        </w:rPr>
        <w:t>1</w:t>
      </w:r>
      <w:r w:rsidR="00C946C3">
        <w:rPr>
          <w:sz w:val="24"/>
          <w:szCs w:val="24"/>
        </w:rPr>
        <w:t>/2</w:t>
      </w:r>
      <w:r w:rsidR="00F56202">
        <w:rPr>
          <w:sz w:val="24"/>
          <w:szCs w:val="24"/>
        </w:rPr>
        <w:t>4</w:t>
      </w:r>
      <w:r w:rsidR="00C946C3">
        <w:rPr>
          <w:sz w:val="24"/>
          <w:szCs w:val="24"/>
        </w:rPr>
        <w:t>-01</w:t>
      </w:r>
      <w:r w:rsidR="002F76F5">
        <w:rPr>
          <w:sz w:val="24"/>
          <w:szCs w:val="24"/>
        </w:rPr>
        <w:t>/24</w:t>
      </w:r>
    </w:p>
    <w:p w14:paraId="2DAC8DBD" w14:textId="0D40B66A" w:rsidR="008826C8" w:rsidRPr="00982B02" w:rsidRDefault="008F285E" w:rsidP="008F285E">
      <w:pPr>
        <w:pStyle w:val="Uvuenotijeloteksta"/>
        <w:widowControl w:val="0"/>
        <w:tabs>
          <w:tab w:val="clear" w:pos="426"/>
          <w:tab w:val="clear" w:pos="851"/>
          <w:tab w:val="clear" w:pos="1276"/>
          <w:tab w:val="clear" w:pos="1701"/>
        </w:tabs>
        <w:rPr>
          <w:sz w:val="24"/>
          <w:szCs w:val="24"/>
        </w:rPr>
      </w:pPr>
      <w:r w:rsidRPr="00982B02">
        <w:rPr>
          <w:sz w:val="24"/>
          <w:szCs w:val="24"/>
        </w:rPr>
        <w:t>Ur</w:t>
      </w:r>
      <w:r w:rsidR="00082521">
        <w:rPr>
          <w:sz w:val="24"/>
          <w:szCs w:val="24"/>
        </w:rPr>
        <w:t>.</w:t>
      </w:r>
      <w:r w:rsidRPr="00982B02">
        <w:rPr>
          <w:sz w:val="24"/>
          <w:szCs w:val="24"/>
        </w:rPr>
        <w:t xml:space="preserve">broj:  </w:t>
      </w:r>
      <w:r w:rsidR="00C338A1" w:rsidRPr="00EB6999">
        <w:rPr>
          <w:sz w:val="24"/>
          <w:szCs w:val="24"/>
          <w:lang w:val="en-GB" w:eastAsia="ar-SA"/>
        </w:rPr>
        <w:t>2163-2-</w:t>
      </w:r>
      <w:r w:rsidR="00C338A1" w:rsidRPr="00EB6999">
        <w:rPr>
          <w:sz w:val="24"/>
          <w:szCs w:val="24"/>
          <w:lang w:val="pl-PL" w:eastAsia="ar-SA"/>
        </w:rPr>
        <w:t>0</w:t>
      </w:r>
      <w:r w:rsidR="00AC4EEA">
        <w:rPr>
          <w:sz w:val="24"/>
          <w:szCs w:val="24"/>
          <w:lang w:val="pl-PL" w:eastAsia="ar-SA"/>
        </w:rPr>
        <w:t>2</w:t>
      </w:r>
      <w:r w:rsidR="00C338A1" w:rsidRPr="00EB6999">
        <w:rPr>
          <w:sz w:val="24"/>
          <w:szCs w:val="24"/>
          <w:lang w:val="pl-PL" w:eastAsia="ar-SA"/>
        </w:rPr>
        <w:t>-1</w:t>
      </w:r>
      <w:r w:rsidRPr="00982B02">
        <w:rPr>
          <w:sz w:val="24"/>
          <w:szCs w:val="24"/>
        </w:rPr>
        <w:t>-</w:t>
      </w:r>
      <w:r w:rsidR="00C946C3">
        <w:rPr>
          <w:sz w:val="24"/>
          <w:szCs w:val="24"/>
        </w:rPr>
        <w:t>2</w:t>
      </w:r>
      <w:r w:rsidR="001A30CB">
        <w:rPr>
          <w:sz w:val="24"/>
          <w:szCs w:val="24"/>
        </w:rPr>
        <w:t>4</w:t>
      </w:r>
      <w:r w:rsidRPr="00982B02">
        <w:rPr>
          <w:sz w:val="24"/>
          <w:szCs w:val="24"/>
        </w:rPr>
        <w:t>-</w:t>
      </w:r>
      <w:r w:rsidR="00AC4EEA">
        <w:rPr>
          <w:sz w:val="24"/>
          <w:szCs w:val="24"/>
        </w:rPr>
        <w:t>02</w:t>
      </w:r>
    </w:p>
    <w:p w14:paraId="4FC65F81" w14:textId="5CBF53CF" w:rsidR="008F285E" w:rsidRPr="00982B02" w:rsidRDefault="008F285E" w:rsidP="008F285E">
      <w:pPr>
        <w:pStyle w:val="Uvuenotijeloteksta"/>
        <w:widowControl w:val="0"/>
        <w:tabs>
          <w:tab w:val="clear" w:pos="426"/>
          <w:tab w:val="clear" w:pos="851"/>
          <w:tab w:val="clear" w:pos="1276"/>
          <w:tab w:val="clear" w:pos="1701"/>
        </w:tabs>
        <w:rPr>
          <w:sz w:val="24"/>
          <w:szCs w:val="24"/>
        </w:rPr>
      </w:pPr>
      <w:r w:rsidRPr="00982B02">
        <w:rPr>
          <w:sz w:val="24"/>
          <w:szCs w:val="24"/>
        </w:rPr>
        <w:t xml:space="preserve">Buje, </w:t>
      </w:r>
      <w:r w:rsidR="00783AD4" w:rsidRPr="00982B02">
        <w:rPr>
          <w:sz w:val="24"/>
          <w:szCs w:val="24"/>
        </w:rPr>
        <w:t xml:space="preserve"> </w:t>
      </w:r>
      <w:r w:rsidR="004A36D2">
        <w:rPr>
          <w:sz w:val="24"/>
          <w:szCs w:val="24"/>
        </w:rPr>
        <w:t>15.05</w:t>
      </w:r>
      <w:r w:rsidR="002F76F5">
        <w:rPr>
          <w:sz w:val="24"/>
          <w:szCs w:val="24"/>
        </w:rPr>
        <w:t>.2024</w:t>
      </w:r>
      <w:r w:rsidR="00B31069" w:rsidRPr="00982B02">
        <w:rPr>
          <w:sz w:val="24"/>
          <w:szCs w:val="24"/>
        </w:rPr>
        <w:t>.</w:t>
      </w:r>
    </w:p>
    <w:p w14:paraId="084ABB86" w14:textId="77777777" w:rsidR="007B1AFB" w:rsidRPr="00982B02" w:rsidRDefault="007B1AFB" w:rsidP="007B1AFB">
      <w:pPr>
        <w:pStyle w:val="Uvuenotijeloteksta"/>
        <w:widowControl w:val="0"/>
        <w:tabs>
          <w:tab w:val="clear" w:pos="426"/>
          <w:tab w:val="clear" w:pos="851"/>
          <w:tab w:val="clear" w:pos="1276"/>
          <w:tab w:val="clear" w:pos="1701"/>
        </w:tabs>
        <w:rPr>
          <w:sz w:val="24"/>
          <w:szCs w:val="24"/>
        </w:rPr>
      </w:pPr>
    </w:p>
    <w:p w14:paraId="3608A71F" w14:textId="77777777" w:rsidR="007B1AFB" w:rsidRPr="00982B02" w:rsidRDefault="007B1AFB" w:rsidP="007B1AFB">
      <w:pPr>
        <w:pStyle w:val="Uvuenotijeloteksta"/>
        <w:widowControl w:val="0"/>
        <w:tabs>
          <w:tab w:val="clear" w:pos="426"/>
          <w:tab w:val="clear" w:pos="851"/>
          <w:tab w:val="clear" w:pos="1276"/>
          <w:tab w:val="clear" w:pos="1701"/>
        </w:tabs>
        <w:rPr>
          <w:sz w:val="24"/>
          <w:szCs w:val="24"/>
        </w:rPr>
      </w:pPr>
    </w:p>
    <w:p w14:paraId="050026E2" w14:textId="77777777" w:rsidR="00A0011C" w:rsidRPr="00982B02" w:rsidRDefault="00A0011C" w:rsidP="00F76E1F">
      <w:pPr>
        <w:widowControl w:val="0"/>
        <w:jc w:val="center"/>
        <w:rPr>
          <w:b/>
          <w:sz w:val="24"/>
          <w:szCs w:val="24"/>
        </w:rPr>
      </w:pPr>
    </w:p>
    <w:p w14:paraId="71E05EAD" w14:textId="77777777" w:rsidR="0011728B" w:rsidRPr="00982B02" w:rsidRDefault="0011728B" w:rsidP="00F76E1F">
      <w:pPr>
        <w:pStyle w:val="Uvuenotijeloteksta"/>
        <w:widowControl w:val="0"/>
        <w:tabs>
          <w:tab w:val="clear" w:pos="426"/>
          <w:tab w:val="clear" w:pos="851"/>
          <w:tab w:val="clear" w:pos="1276"/>
          <w:tab w:val="clear" w:pos="1701"/>
        </w:tabs>
        <w:jc w:val="center"/>
        <w:rPr>
          <w:b/>
          <w:sz w:val="24"/>
          <w:szCs w:val="24"/>
        </w:rPr>
      </w:pPr>
    </w:p>
    <w:p w14:paraId="479D03FD" w14:textId="77777777" w:rsidR="0011728B" w:rsidRPr="00982B02" w:rsidRDefault="0011728B" w:rsidP="00F76E1F">
      <w:pPr>
        <w:pStyle w:val="Uvuenotijeloteksta"/>
        <w:widowControl w:val="0"/>
        <w:tabs>
          <w:tab w:val="clear" w:pos="426"/>
          <w:tab w:val="clear" w:pos="851"/>
          <w:tab w:val="clear" w:pos="1276"/>
          <w:tab w:val="clear" w:pos="1701"/>
        </w:tabs>
        <w:jc w:val="center"/>
        <w:rPr>
          <w:b/>
          <w:sz w:val="24"/>
          <w:szCs w:val="24"/>
        </w:rPr>
      </w:pPr>
      <w:r w:rsidRPr="00982B02">
        <w:rPr>
          <w:b/>
          <w:sz w:val="24"/>
          <w:szCs w:val="24"/>
        </w:rPr>
        <w:t>GRADSKO VIJEĆE GRADA BUJA</w:t>
      </w:r>
    </w:p>
    <w:p w14:paraId="6DAEE589" w14:textId="77777777" w:rsidR="0011728B" w:rsidRPr="00982B02" w:rsidRDefault="0011728B" w:rsidP="00F76E1F">
      <w:pPr>
        <w:pStyle w:val="Uvuenotijeloteksta"/>
        <w:widowControl w:val="0"/>
        <w:tabs>
          <w:tab w:val="clear" w:pos="426"/>
          <w:tab w:val="clear" w:pos="851"/>
          <w:tab w:val="clear" w:pos="1276"/>
          <w:tab w:val="clear" w:pos="1701"/>
        </w:tabs>
        <w:ind w:firstLine="708"/>
        <w:jc w:val="center"/>
        <w:rPr>
          <w:b/>
          <w:sz w:val="24"/>
          <w:szCs w:val="24"/>
        </w:rPr>
      </w:pPr>
    </w:p>
    <w:p w14:paraId="69A8B6CC" w14:textId="534E72F4" w:rsidR="0011728B" w:rsidRPr="00982B02" w:rsidRDefault="006817C7" w:rsidP="00F76E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3972EF" w:rsidRPr="00982B02">
        <w:rPr>
          <w:b/>
          <w:sz w:val="24"/>
          <w:szCs w:val="24"/>
        </w:rPr>
        <w:t>redsjednik</w:t>
      </w:r>
      <w:r w:rsidR="0011728B" w:rsidRPr="00982B02">
        <w:rPr>
          <w:b/>
          <w:sz w:val="24"/>
          <w:szCs w:val="24"/>
        </w:rPr>
        <w:t xml:space="preserve"> gradskog vijeća</w:t>
      </w:r>
    </w:p>
    <w:p w14:paraId="08799E08" w14:textId="77777777" w:rsidR="0011728B" w:rsidRPr="00982B02" w:rsidRDefault="0011728B" w:rsidP="00F76E1F">
      <w:pPr>
        <w:jc w:val="center"/>
        <w:rPr>
          <w:b/>
          <w:sz w:val="24"/>
          <w:szCs w:val="24"/>
        </w:rPr>
      </w:pPr>
    </w:p>
    <w:p w14:paraId="3CB05E4A" w14:textId="0C05ED19" w:rsidR="0011728B" w:rsidRPr="00982B02" w:rsidRDefault="00CF3C36" w:rsidP="00F76E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Franko Gergorić</w:t>
      </w:r>
      <w:r w:rsidR="00F208CB">
        <w:rPr>
          <w:b/>
          <w:sz w:val="24"/>
          <w:szCs w:val="24"/>
        </w:rPr>
        <w:t>, v.r.</w:t>
      </w:r>
    </w:p>
    <w:p w14:paraId="551E1E5D" w14:textId="77777777" w:rsidR="00A0011C" w:rsidRPr="00982B02" w:rsidRDefault="00A0011C">
      <w:pPr>
        <w:rPr>
          <w:sz w:val="24"/>
          <w:szCs w:val="24"/>
        </w:rPr>
      </w:pPr>
    </w:p>
    <w:p w14:paraId="7F7FBBAF" w14:textId="77777777" w:rsidR="00FB000E" w:rsidRPr="003D3824" w:rsidRDefault="00FB000E">
      <w:pPr>
        <w:rPr>
          <w:rFonts w:ascii="Arial" w:hAnsi="Arial" w:cs="Arial"/>
          <w:sz w:val="22"/>
          <w:szCs w:val="22"/>
        </w:rPr>
      </w:pPr>
    </w:p>
    <w:p w14:paraId="625029F9" w14:textId="77777777" w:rsidR="00FB000E" w:rsidRPr="003D3824" w:rsidRDefault="00FB000E">
      <w:pPr>
        <w:rPr>
          <w:rFonts w:ascii="Arial" w:hAnsi="Arial" w:cs="Arial"/>
          <w:sz w:val="22"/>
          <w:szCs w:val="22"/>
        </w:rPr>
      </w:pPr>
    </w:p>
    <w:p w14:paraId="386729F9" w14:textId="77777777" w:rsidR="00FB000E" w:rsidRPr="003D3824" w:rsidRDefault="00FB000E">
      <w:pPr>
        <w:rPr>
          <w:rFonts w:ascii="Arial" w:hAnsi="Arial" w:cs="Arial"/>
          <w:sz w:val="22"/>
          <w:szCs w:val="22"/>
        </w:rPr>
      </w:pPr>
    </w:p>
    <w:p w14:paraId="68C1FA3D" w14:textId="77777777" w:rsidR="00FB000E" w:rsidRPr="003D3824" w:rsidRDefault="00FB000E">
      <w:pPr>
        <w:rPr>
          <w:rFonts w:ascii="Arial" w:hAnsi="Arial" w:cs="Arial"/>
          <w:sz w:val="22"/>
          <w:szCs w:val="22"/>
        </w:rPr>
      </w:pPr>
    </w:p>
    <w:p w14:paraId="74A9EC9E" w14:textId="77777777" w:rsidR="00FB000E" w:rsidRDefault="00FB000E">
      <w:pPr>
        <w:rPr>
          <w:rFonts w:ascii="Arial" w:hAnsi="Arial" w:cs="Arial"/>
          <w:sz w:val="22"/>
          <w:szCs w:val="22"/>
        </w:rPr>
      </w:pPr>
    </w:p>
    <w:p w14:paraId="32A22B41" w14:textId="77777777" w:rsidR="00B135D0" w:rsidRDefault="00B135D0">
      <w:pPr>
        <w:rPr>
          <w:rFonts w:ascii="Arial" w:hAnsi="Arial" w:cs="Arial"/>
          <w:sz w:val="22"/>
          <w:szCs w:val="22"/>
        </w:rPr>
      </w:pPr>
    </w:p>
    <w:p w14:paraId="5D3D0CE6" w14:textId="77777777" w:rsidR="00B135D0" w:rsidRDefault="00B135D0">
      <w:pPr>
        <w:rPr>
          <w:rFonts w:ascii="Arial" w:hAnsi="Arial" w:cs="Arial"/>
          <w:sz w:val="22"/>
          <w:szCs w:val="22"/>
        </w:rPr>
      </w:pPr>
    </w:p>
    <w:p w14:paraId="3B92D392" w14:textId="77777777" w:rsidR="00B135D0" w:rsidRDefault="00B135D0">
      <w:pPr>
        <w:rPr>
          <w:rFonts w:ascii="Arial" w:hAnsi="Arial" w:cs="Arial"/>
          <w:sz w:val="22"/>
          <w:szCs w:val="22"/>
        </w:rPr>
      </w:pPr>
    </w:p>
    <w:p w14:paraId="384B7CD7" w14:textId="77777777" w:rsidR="00B135D0" w:rsidRDefault="00B135D0">
      <w:pPr>
        <w:rPr>
          <w:rFonts w:ascii="Arial" w:hAnsi="Arial" w:cs="Arial"/>
          <w:sz w:val="22"/>
          <w:szCs w:val="22"/>
        </w:rPr>
      </w:pPr>
    </w:p>
    <w:p w14:paraId="1D201C00" w14:textId="77777777" w:rsidR="00B135D0" w:rsidRPr="003D3824" w:rsidRDefault="00B135D0">
      <w:pPr>
        <w:rPr>
          <w:rFonts w:ascii="Arial" w:hAnsi="Arial" w:cs="Arial"/>
          <w:sz w:val="22"/>
          <w:szCs w:val="22"/>
        </w:rPr>
      </w:pPr>
    </w:p>
    <w:p w14:paraId="35E77045" w14:textId="77777777" w:rsidR="002A3618" w:rsidRPr="003D3824" w:rsidRDefault="002A3618">
      <w:pPr>
        <w:rPr>
          <w:rFonts w:ascii="Arial" w:hAnsi="Arial" w:cs="Arial"/>
          <w:sz w:val="22"/>
          <w:szCs w:val="22"/>
        </w:rPr>
      </w:pPr>
    </w:p>
    <w:p w14:paraId="0ACADF1C" w14:textId="77777777" w:rsidR="002A3618" w:rsidRPr="003D3824" w:rsidRDefault="002A3618">
      <w:pPr>
        <w:rPr>
          <w:rFonts w:ascii="Arial" w:hAnsi="Arial" w:cs="Arial"/>
          <w:sz w:val="22"/>
          <w:szCs w:val="22"/>
        </w:rPr>
      </w:pPr>
    </w:p>
    <w:p w14:paraId="497ED2B8" w14:textId="77777777" w:rsidR="00B135D0" w:rsidRDefault="00DF62D4" w:rsidP="00F46EDA">
      <w:pPr>
        <w:rPr>
          <w:sz w:val="24"/>
          <w:szCs w:val="24"/>
        </w:rPr>
      </w:pPr>
      <w:r w:rsidRPr="00FF341C">
        <w:rPr>
          <w:sz w:val="24"/>
          <w:szCs w:val="24"/>
        </w:rPr>
        <w:t xml:space="preserve"> </w:t>
      </w:r>
    </w:p>
    <w:p w14:paraId="23DDF90F" w14:textId="239C97F8" w:rsidR="00F46EDA" w:rsidRPr="00FF341C" w:rsidRDefault="00DF62D4" w:rsidP="00F46EDA">
      <w:pPr>
        <w:rPr>
          <w:sz w:val="24"/>
          <w:szCs w:val="24"/>
        </w:rPr>
      </w:pPr>
      <w:r w:rsidRPr="00FF341C">
        <w:rPr>
          <w:sz w:val="24"/>
          <w:szCs w:val="24"/>
        </w:rPr>
        <w:lastRenderedPageBreak/>
        <w:t xml:space="preserve">        </w:t>
      </w:r>
      <w:r w:rsidR="00F46EDA" w:rsidRPr="00FF341C">
        <w:rPr>
          <w:sz w:val="24"/>
          <w:szCs w:val="24"/>
        </w:rPr>
        <w:t xml:space="preserve">   </w:t>
      </w:r>
      <w:r w:rsidR="00F46EDA" w:rsidRPr="00FF341C">
        <w:rPr>
          <w:noProof/>
          <w:sz w:val="24"/>
          <w:szCs w:val="24"/>
          <w:lang w:eastAsia="hr-HR"/>
        </w:rPr>
        <w:drawing>
          <wp:inline distT="0" distB="0" distL="0" distR="0" wp14:anchorId="1212A678" wp14:editId="70891040">
            <wp:extent cx="487680" cy="624840"/>
            <wp:effectExtent l="19050" t="0" r="7620" b="0"/>
            <wp:docPr id="1" name="Picture 1" descr="rh_grb (Prav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_grb (Pravi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A87DA8" w14:textId="77777777" w:rsidR="00F46EDA" w:rsidRPr="00FF341C" w:rsidRDefault="00F46EDA" w:rsidP="00F46EDA">
      <w:pPr>
        <w:autoSpaceDE w:val="0"/>
        <w:autoSpaceDN w:val="0"/>
        <w:adjustRightInd w:val="0"/>
        <w:rPr>
          <w:sz w:val="24"/>
          <w:szCs w:val="24"/>
        </w:rPr>
      </w:pPr>
      <w:r w:rsidRPr="00FF341C">
        <w:rPr>
          <w:sz w:val="24"/>
          <w:szCs w:val="24"/>
        </w:rPr>
        <w:t>R E P U B L I K A   H R V A T S K A</w:t>
      </w:r>
    </w:p>
    <w:p w14:paraId="7BE95B43" w14:textId="77777777" w:rsidR="00F46EDA" w:rsidRPr="00FF341C" w:rsidRDefault="00F46EDA" w:rsidP="00F46EDA">
      <w:pPr>
        <w:autoSpaceDE w:val="0"/>
        <w:autoSpaceDN w:val="0"/>
        <w:adjustRightInd w:val="0"/>
        <w:rPr>
          <w:sz w:val="24"/>
          <w:szCs w:val="24"/>
        </w:rPr>
      </w:pPr>
      <w:r w:rsidRPr="00FF341C">
        <w:rPr>
          <w:sz w:val="24"/>
          <w:szCs w:val="24"/>
        </w:rPr>
        <w:t>ISTARSKA ŽUPANIJA</w:t>
      </w:r>
    </w:p>
    <w:p w14:paraId="425F1340" w14:textId="77777777" w:rsidR="00F46EDA" w:rsidRPr="00FF341C" w:rsidRDefault="00F46EDA" w:rsidP="00F46EDA">
      <w:pPr>
        <w:autoSpaceDE w:val="0"/>
        <w:autoSpaceDN w:val="0"/>
        <w:adjustRightInd w:val="0"/>
        <w:rPr>
          <w:sz w:val="24"/>
          <w:szCs w:val="24"/>
        </w:rPr>
      </w:pPr>
      <w:r w:rsidRPr="00FF341C">
        <w:rPr>
          <w:sz w:val="24"/>
          <w:szCs w:val="24"/>
        </w:rPr>
        <w:t>GRAD BUJE</w:t>
      </w:r>
    </w:p>
    <w:p w14:paraId="5472461B" w14:textId="77777777" w:rsidR="00F46EDA" w:rsidRPr="00FF341C" w:rsidRDefault="00F46EDA" w:rsidP="00F46EDA">
      <w:pPr>
        <w:autoSpaceDE w:val="0"/>
        <w:autoSpaceDN w:val="0"/>
        <w:adjustRightInd w:val="0"/>
        <w:rPr>
          <w:sz w:val="24"/>
          <w:szCs w:val="24"/>
        </w:rPr>
      </w:pPr>
      <w:r w:rsidRPr="00FF341C">
        <w:rPr>
          <w:sz w:val="24"/>
          <w:szCs w:val="24"/>
        </w:rPr>
        <w:t xml:space="preserve">Upravni odjel za komunalne djelatnosti </w:t>
      </w:r>
    </w:p>
    <w:p w14:paraId="3EF85B11" w14:textId="77777777" w:rsidR="00F46EDA" w:rsidRPr="00FF341C" w:rsidRDefault="00F46EDA" w:rsidP="00F46EDA">
      <w:pPr>
        <w:autoSpaceDE w:val="0"/>
        <w:autoSpaceDN w:val="0"/>
        <w:adjustRightInd w:val="0"/>
        <w:rPr>
          <w:sz w:val="24"/>
          <w:szCs w:val="24"/>
        </w:rPr>
      </w:pPr>
      <w:r w:rsidRPr="00FF341C">
        <w:rPr>
          <w:sz w:val="24"/>
          <w:szCs w:val="24"/>
        </w:rPr>
        <w:t xml:space="preserve">               </w:t>
      </w:r>
      <w:r w:rsidRPr="00FF341C">
        <w:rPr>
          <w:noProof/>
          <w:sz w:val="24"/>
          <w:szCs w:val="24"/>
          <w:lang w:eastAsia="hr-HR"/>
        </w:rPr>
        <w:drawing>
          <wp:inline distT="0" distB="0" distL="0" distR="0" wp14:anchorId="55414C1A" wp14:editId="45116E2B">
            <wp:extent cx="403860" cy="487680"/>
            <wp:effectExtent l="19050" t="0" r="0" b="0"/>
            <wp:docPr id="2" name="Picture 2" descr="grb Grada Bu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Grada Buj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CA6C2C" w14:textId="77777777" w:rsidR="00F46EDA" w:rsidRPr="00FF341C" w:rsidRDefault="00F46EDA" w:rsidP="00F46EDA">
      <w:pPr>
        <w:autoSpaceDE w:val="0"/>
        <w:autoSpaceDN w:val="0"/>
        <w:adjustRightInd w:val="0"/>
        <w:rPr>
          <w:sz w:val="24"/>
          <w:szCs w:val="24"/>
        </w:rPr>
      </w:pPr>
      <w:r w:rsidRPr="00FF341C">
        <w:rPr>
          <w:sz w:val="24"/>
          <w:szCs w:val="24"/>
        </w:rPr>
        <w:t>R E P U B B L I C A   D I   C R O A Z I A</w:t>
      </w:r>
    </w:p>
    <w:p w14:paraId="68A4BB62" w14:textId="77777777" w:rsidR="00F46EDA" w:rsidRPr="00FF341C" w:rsidRDefault="00F46EDA" w:rsidP="00F46EDA">
      <w:pPr>
        <w:autoSpaceDE w:val="0"/>
        <w:autoSpaceDN w:val="0"/>
        <w:adjustRightInd w:val="0"/>
        <w:rPr>
          <w:sz w:val="24"/>
          <w:szCs w:val="24"/>
        </w:rPr>
      </w:pPr>
      <w:r w:rsidRPr="00FF341C">
        <w:rPr>
          <w:sz w:val="24"/>
          <w:szCs w:val="24"/>
        </w:rPr>
        <w:t>REGIONE ISTRIANA</w:t>
      </w:r>
    </w:p>
    <w:p w14:paraId="12B591EB" w14:textId="77777777" w:rsidR="00F46EDA" w:rsidRPr="00FF341C" w:rsidRDefault="00F46EDA" w:rsidP="00F46EDA">
      <w:pPr>
        <w:autoSpaceDE w:val="0"/>
        <w:autoSpaceDN w:val="0"/>
        <w:adjustRightInd w:val="0"/>
        <w:rPr>
          <w:sz w:val="24"/>
          <w:szCs w:val="24"/>
        </w:rPr>
      </w:pPr>
      <w:r w:rsidRPr="00FF341C">
        <w:rPr>
          <w:sz w:val="24"/>
          <w:szCs w:val="24"/>
        </w:rPr>
        <w:t>CITTA' DI BUIE</w:t>
      </w:r>
    </w:p>
    <w:p w14:paraId="5AABACC0" w14:textId="77777777" w:rsidR="00F46EDA" w:rsidRPr="00FF341C" w:rsidRDefault="00F46EDA" w:rsidP="00F46EDA">
      <w:pPr>
        <w:autoSpaceDE w:val="0"/>
        <w:autoSpaceDN w:val="0"/>
        <w:adjustRightInd w:val="0"/>
        <w:rPr>
          <w:sz w:val="24"/>
          <w:szCs w:val="24"/>
        </w:rPr>
      </w:pPr>
      <w:r w:rsidRPr="00FF341C">
        <w:rPr>
          <w:sz w:val="24"/>
          <w:szCs w:val="24"/>
        </w:rPr>
        <w:t>Asessorato ai servizi comunali</w:t>
      </w:r>
    </w:p>
    <w:p w14:paraId="070F2D6D" w14:textId="77777777" w:rsidR="00F92349" w:rsidRPr="00FF341C" w:rsidRDefault="00F92349" w:rsidP="00F46EDA">
      <w:pPr>
        <w:autoSpaceDE w:val="0"/>
        <w:autoSpaceDN w:val="0"/>
        <w:adjustRightInd w:val="0"/>
        <w:rPr>
          <w:sz w:val="24"/>
          <w:szCs w:val="24"/>
        </w:rPr>
      </w:pPr>
    </w:p>
    <w:p w14:paraId="6C4E62BF" w14:textId="77777777" w:rsidR="00F92349" w:rsidRPr="00FF341C" w:rsidRDefault="00F92349" w:rsidP="00F46EDA">
      <w:pPr>
        <w:autoSpaceDE w:val="0"/>
        <w:autoSpaceDN w:val="0"/>
        <w:adjustRightInd w:val="0"/>
        <w:rPr>
          <w:sz w:val="24"/>
          <w:szCs w:val="24"/>
        </w:rPr>
      </w:pPr>
    </w:p>
    <w:p w14:paraId="2BBEFC0B" w14:textId="77777777" w:rsidR="00272A18" w:rsidRDefault="00272A18">
      <w:pPr>
        <w:rPr>
          <w:sz w:val="24"/>
          <w:szCs w:val="24"/>
        </w:rPr>
      </w:pPr>
    </w:p>
    <w:p w14:paraId="4D042562" w14:textId="77777777" w:rsidR="00B135D0" w:rsidRDefault="00B135D0">
      <w:pPr>
        <w:rPr>
          <w:sz w:val="24"/>
          <w:szCs w:val="24"/>
        </w:rPr>
      </w:pPr>
    </w:p>
    <w:p w14:paraId="2BDBA02D" w14:textId="77777777" w:rsidR="00B135D0" w:rsidRPr="00FF341C" w:rsidRDefault="00B135D0">
      <w:pPr>
        <w:rPr>
          <w:sz w:val="24"/>
          <w:szCs w:val="24"/>
        </w:rPr>
      </w:pPr>
    </w:p>
    <w:p w14:paraId="58D80AF0" w14:textId="4236571F" w:rsidR="00F92349" w:rsidRDefault="00F92349" w:rsidP="004F18FB">
      <w:pPr>
        <w:pStyle w:val="Odlomakpopisa"/>
        <w:autoSpaceDE w:val="0"/>
        <w:autoSpaceDN w:val="0"/>
        <w:adjustRightInd w:val="0"/>
        <w:ind w:left="1080"/>
        <w:rPr>
          <w:b/>
          <w:sz w:val="24"/>
          <w:szCs w:val="24"/>
          <w:u w:val="single"/>
        </w:rPr>
      </w:pPr>
      <w:r w:rsidRPr="005E4039">
        <w:rPr>
          <w:b/>
          <w:sz w:val="24"/>
          <w:szCs w:val="24"/>
          <w:u w:val="single"/>
        </w:rPr>
        <w:t>GRADNJA KOMUNALNE INFRASTRUKTURE</w:t>
      </w:r>
    </w:p>
    <w:p w14:paraId="7D839D58" w14:textId="77777777" w:rsidR="00B135D0" w:rsidRDefault="00B135D0" w:rsidP="00B135D0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14:paraId="2B978BE4" w14:textId="77777777" w:rsidR="00B135D0" w:rsidRPr="00B135D0" w:rsidRDefault="00B135D0" w:rsidP="00B135D0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14:paraId="2742540D" w14:textId="77777777" w:rsidR="00B21496" w:rsidRPr="00B21496" w:rsidRDefault="00B21496" w:rsidP="00B21496">
      <w:pPr>
        <w:autoSpaceDE w:val="0"/>
        <w:autoSpaceDN w:val="0"/>
        <w:adjustRightInd w:val="0"/>
        <w:ind w:left="360"/>
        <w:rPr>
          <w:b/>
          <w:sz w:val="24"/>
          <w:szCs w:val="24"/>
          <w:u w:val="single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524"/>
        <w:gridCol w:w="1417"/>
        <w:gridCol w:w="1583"/>
        <w:gridCol w:w="1134"/>
      </w:tblGrid>
      <w:tr w:rsidR="00B21496" w:rsidRPr="005E4039" w14:paraId="60C3277D" w14:textId="77777777" w:rsidTr="00B21496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hideMark/>
          </w:tcPr>
          <w:p w14:paraId="18032496" w14:textId="77777777" w:rsidR="00B21496" w:rsidRPr="005E4039" w:rsidRDefault="00B21496" w:rsidP="00B21496">
            <w:pPr>
              <w:ind w:firstLineChars="100" w:firstLine="201"/>
              <w:rPr>
                <w:rFonts w:ascii="Arial" w:hAnsi="Arial" w:cs="Arial"/>
                <w:b/>
                <w:bCs/>
                <w:lang w:eastAsia="hr-HR"/>
              </w:rPr>
            </w:pPr>
            <w:r w:rsidRPr="005E4039">
              <w:rPr>
                <w:rFonts w:ascii="Arial" w:hAnsi="Arial" w:cs="Arial"/>
                <w:b/>
                <w:bCs/>
                <w:lang w:eastAsia="hr-HR"/>
              </w:rPr>
              <w:t>VRSTA RASHODA/IZDATAKA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noWrap/>
            <w:hideMark/>
          </w:tcPr>
          <w:p w14:paraId="4B9F48A3" w14:textId="77777777" w:rsidR="00B21496" w:rsidRPr="005E4039" w:rsidRDefault="00B21496" w:rsidP="0001585D">
            <w:p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b/>
                <w:bCs/>
                <w:color w:val="000000"/>
                <w:lang w:eastAsia="hr-HR"/>
              </w:rPr>
              <w:t>PLANIRANO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noWrap/>
            <w:hideMark/>
          </w:tcPr>
          <w:p w14:paraId="38B26D42" w14:textId="77777777" w:rsidR="00B21496" w:rsidRPr="005E4039" w:rsidRDefault="00B21496" w:rsidP="0001585D">
            <w:p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b/>
                <w:bCs/>
                <w:color w:val="000000"/>
                <w:lang w:eastAsia="hr-HR"/>
              </w:rPr>
              <w:t>REALIZIRANO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noWrap/>
            <w:hideMark/>
          </w:tcPr>
          <w:p w14:paraId="301640DD" w14:textId="77777777" w:rsidR="00B21496" w:rsidRPr="005E4039" w:rsidRDefault="00B21496" w:rsidP="0001585D">
            <w:p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b/>
                <w:bCs/>
                <w:color w:val="000000"/>
                <w:lang w:eastAsia="hr-HR"/>
              </w:rPr>
              <w:t>INDEKS</w:t>
            </w:r>
          </w:p>
        </w:tc>
      </w:tr>
      <w:tr w:rsidR="005E4039" w:rsidRPr="005E4039" w14:paraId="4BB19638" w14:textId="77777777" w:rsidTr="005E4039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hideMark/>
          </w:tcPr>
          <w:p w14:paraId="4EFFE835" w14:textId="77777777" w:rsidR="005E4039" w:rsidRPr="005E4039" w:rsidRDefault="005E4039" w:rsidP="005E4039">
            <w:pPr>
              <w:ind w:firstLineChars="100" w:firstLine="201"/>
              <w:rPr>
                <w:rFonts w:ascii="Arial" w:hAnsi="Arial" w:cs="Arial"/>
                <w:b/>
                <w:bCs/>
                <w:lang w:eastAsia="hr-HR"/>
              </w:rPr>
            </w:pPr>
            <w:r w:rsidRPr="005E4039">
              <w:rPr>
                <w:rFonts w:ascii="Arial" w:hAnsi="Arial" w:cs="Arial"/>
                <w:b/>
                <w:bCs/>
                <w:lang w:eastAsia="hr-HR"/>
              </w:rPr>
              <w:t>GRADNJA KOMUNALNE INFRASTRUKTURE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noWrap/>
            <w:hideMark/>
          </w:tcPr>
          <w:p w14:paraId="4A7C1737" w14:textId="77777777" w:rsidR="005E4039" w:rsidRPr="005E4039" w:rsidRDefault="005E4039" w:rsidP="005E4039">
            <w:p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b/>
                <w:bCs/>
                <w:color w:val="000000"/>
                <w:lang w:eastAsia="hr-HR"/>
              </w:rPr>
              <w:t>642.139,24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noWrap/>
            <w:hideMark/>
          </w:tcPr>
          <w:p w14:paraId="15936A48" w14:textId="77777777" w:rsidR="005E4039" w:rsidRPr="005E4039" w:rsidRDefault="005E4039" w:rsidP="005E4039">
            <w:p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b/>
                <w:bCs/>
                <w:color w:val="000000"/>
                <w:lang w:eastAsia="hr-HR"/>
              </w:rPr>
              <w:t>557.369,02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noWrap/>
            <w:hideMark/>
          </w:tcPr>
          <w:p w14:paraId="536102B4" w14:textId="77777777" w:rsidR="005E4039" w:rsidRPr="005E4039" w:rsidRDefault="005E4039" w:rsidP="005E4039">
            <w:p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b/>
                <w:bCs/>
                <w:color w:val="000000"/>
                <w:lang w:eastAsia="hr-HR"/>
              </w:rPr>
              <w:t>86,80</w:t>
            </w:r>
          </w:p>
        </w:tc>
      </w:tr>
      <w:tr w:rsidR="005E4039" w:rsidRPr="005E4039" w14:paraId="2BC2CF4A" w14:textId="77777777" w:rsidTr="005E4039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FF"/>
            <w:hideMark/>
          </w:tcPr>
          <w:p w14:paraId="76DCD295" w14:textId="77777777" w:rsidR="005E4039" w:rsidRPr="005E4039" w:rsidRDefault="005E4039" w:rsidP="005E4039">
            <w:pPr>
              <w:ind w:firstLineChars="100" w:firstLine="201"/>
              <w:rPr>
                <w:rFonts w:ascii="Arial" w:hAnsi="Arial" w:cs="Arial"/>
                <w:b/>
                <w:bCs/>
                <w:lang w:eastAsia="hr-HR"/>
              </w:rPr>
            </w:pPr>
            <w:r w:rsidRPr="005E4039">
              <w:rPr>
                <w:rFonts w:ascii="Arial" w:hAnsi="Arial" w:cs="Arial"/>
                <w:b/>
                <w:bCs/>
                <w:lang w:eastAsia="hr-HR"/>
              </w:rPr>
              <w:t>NERAZVRSTANE CESTE - UREĐENI DIJELOVI GRAĐEVINSKOG PODRUČJA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FF"/>
            <w:noWrap/>
            <w:hideMark/>
          </w:tcPr>
          <w:p w14:paraId="1087A215" w14:textId="77777777" w:rsidR="005E4039" w:rsidRPr="005E4039" w:rsidRDefault="005E4039" w:rsidP="005E4039">
            <w:p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b/>
                <w:bCs/>
                <w:color w:val="000000"/>
                <w:lang w:eastAsia="hr-HR"/>
              </w:rPr>
              <w:t>117.616,89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FF"/>
            <w:noWrap/>
            <w:hideMark/>
          </w:tcPr>
          <w:p w14:paraId="3E61AE29" w14:textId="77777777" w:rsidR="005E4039" w:rsidRPr="005E4039" w:rsidRDefault="005E4039" w:rsidP="005E4039">
            <w:p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b/>
                <w:bCs/>
                <w:color w:val="000000"/>
                <w:lang w:eastAsia="hr-HR"/>
              </w:rPr>
              <w:t>117.616,89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FF"/>
            <w:noWrap/>
            <w:hideMark/>
          </w:tcPr>
          <w:p w14:paraId="44632D04" w14:textId="77777777" w:rsidR="005E4039" w:rsidRPr="005E4039" w:rsidRDefault="005E4039" w:rsidP="005E4039">
            <w:p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b/>
                <w:bCs/>
                <w:color w:val="000000"/>
                <w:lang w:eastAsia="hr-HR"/>
              </w:rPr>
              <w:t>100,00</w:t>
            </w:r>
          </w:p>
        </w:tc>
      </w:tr>
      <w:tr w:rsidR="005E4039" w:rsidRPr="005E4039" w14:paraId="12F50897" w14:textId="77777777" w:rsidTr="005E4039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25BE" w14:textId="77777777" w:rsidR="005E4039" w:rsidRPr="005E4039" w:rsidRDefault="005E4039" w:rsidP="005E4039">
            <w:pPr>
              <w:ind w:firstLineChars="100" w:firstLine="200"/>
              <w:rPr>
                <w:rFonts w:ascii="Arial" w:hAnsi="Arial" w:cs="Arial"/>
                <w:lang w:eastAsia="hr-HR"/>
              </w:rPr>
            </w:pPr>
            <w:r w:rsidRPr="005E4039">
              <w:rPr>
                <w:rFonts w:ascii="Arial" w:hAnsi="Arial" w:cs="Arial"/>
                <w:lang w:eastAsia="hr-HR"/>
              </w:rPr>
              <w:t>Spoj Klesarske ulice na D200 (ulica V. Gortana)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FDE64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52.134,04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35940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52.134,04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3CB8E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100,00</w:t>
            </w:r>
          </w:p>
        </w:tc>
      </w:tr>
      <w:tr w:rsidR="005E4039" w:rsidRPr="005E4039" w14:paraId="12B59316" w14:textId="77777777" w:rsidTr="005E4039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4206" w14:textId="77777777" w:rsidR="005E4039" w:rsidRPr="005E4039" w:rsidRDefault="005E4039" w:rsidP="005E4039">
            <w:pPr>
              <w:ind w:firstLineChars="100" w:firstLine="200"/>
              <w:rPr>
                <w:rFonts w:ascii="Arial" w:hAnsi="Arial" w:cs="Arial"/>
                <w:lang w:eastAsia="hr-HR"/>
              </w:rPr>
            </w:pPr>
            <w:r w:rsidRPr="005E4039">
              <w:rPr>
                <w:rFonts w:ascii="Arial" w:hAnsi="Arial" w:cs="Arial"/>
                <w:lang w:eastAsia="hr-HR"/>
              </w:rPr>
              <w:t>Spoj Klesarske ulice na D200 (ulica Digitronska)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CD0B8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65.482,85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01C4D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65.482,85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AA0C0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100,00</w:t>
            </w:r>
          </w:p>
        </w:tc>
      </w:tr>
      <w:tr w:rsidR="005E4039" w:rsidRPr="005E4039" w14:paraId="2C114571" w14:textId="77777777" w:rsidTr="005E4039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FF"/>
            <w:hideMark/>
          </w:tcPr>
          <w:p w14:paraId="5AD86259" w14:textId="77777777" w:rsidR="005E4039" w:rsidRPr="005E4039" w:rsidRDefault="005E4039" w:rsidP="005E4039">
            <w:pPr>
              <w:ind w:firstLineChars="100" w:firstLine="201"/>
              <w:rPr>
                <w:rFonts w:ascii="Arial" w:hAnsi="Arial" w:cs="Arial"/>
                <w:b/>
                <w:bCs/>
                <w:lang w:eastAsia="hr-HR"/>
              </w:rPr>
            </w:pPr>
            <w:r w:rsidRPr="005E4039">
              <w:rPr>
                <w:rFonts w:ascii="Arial" w:hAnsi="Arial" w:cs="Arial"/>
                <w:b/>
                <w:bCs/>
                <w:lang w:eastAsia="hr-HR"/>
              </w:rPr>
              <w:t>JAVNA RASVJETA - UREĐENI DIJELOVI GRAĐEVINSKOG PODRUČJA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FF"/>
            <w:noWrap/>
            <w:hideMark/>
          </w:tcPr>
          <w:p w14:paraId="3A41CDE1" w14:textId="77777777" w:rsidR="005E4039" w:rsidRPr="005E4039" w:rsidRDefault="005E4039" w:rsidP="005E4039">
            <w:p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b/>
                <w:bCs/>
                <w:color w:val="000000"/>
                <w:lang w:eastAsia="hr-HR"/>
              </w:rPr>
              <w:t>58.726,66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FF"/>
            <w:noWrap/>
            <w:hideMark/>
          </w:tcPr>
          <w:p w14:paraId="0984154C" w14:textId="77777777" w:rsidR="005E4039" w:rsidRPr="005E4039" w:rsidRDefault="005E4039" w:rsidP="005E4039">
            <w:p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b/>
                <w:bCs/>
                <w:color w:val="000000"/>
                <w:lang w:eastAsia="hr-HR"/>
              </w:rPr>
              <w:t>55.388,64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FF"/>
            <w:noWrap/>
            <w:hideMark/>
          </w:tcPr>
          <w:p w14:paraId="2B31AEF2" w14:textId="77777777" w:rsidR="005E4039" w:rsidRPr="005E4039" w:rsidRDefault="005E4039" w:rsidP="005E4039">
            <w:p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b/>
                <w:bCs/>
                <w:color w:val="000000"/>
                <w:lang w:eastAsia="hr-HR"/>
              </w:rPr>
              <w:t>94,32</w:t>
            </w:r>
          </w:p>
        </w:tc>
      </w:tr>
      <w:tr w:rsidR="005E4039" w:rsidRPr="005E4039" w14:paraId="4CCA4F8D" w14:textId="77777777" w:rsidTr="005E4039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DD7D" w14:textId="77777777" w:rsidR="005E4039" w:rsidRPr="005E4039" w:rsidRDefault="005E4039" w:rsidP="005E4039">
            <w:pPr>
              <w:ind w:firstLineChars="100" w:firstLine="200"/>
              <w:rPr>
                <w:rFonts w:ascii="Arial" w:hAnsi="Arial" w:cs="Arial"/>
                <w:lang w:eastAsia="hr-HR"/>
              </w:rPr>
            </w:pPr>
            <w:r w:rsidRPr="005E4039">
              <w:rPr>
                <w:rFonts w:ascii="Arial" w:hAnsi="Arial" w:cs="Arial"/>
                <w:lang w:eastAsia="hr-HR"/>
              </w:rPr>
              <w:t>Dogradnja javne rasvjete - Buroli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ACB4B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18.088,06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5CFA4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18.088,06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BA6CA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100,00</w:t>
            </w:r>
          </w:p>
        </w:tc>
      </w:tr>
      <w:tr w:rsidR="005E4039" w:rsidRPr="005E4039" w14:paraId="54876FD3" w14:textId="77777777" w:rsidTr="005E4039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A898" w14:textId="77777777" w:rsidR="005E4039" w:rsidRPr="005E4039" w:rsidRDefault="005E4039" w:rsidP="005E4039">
            <w:pPr>
              <w:ind w:firstLineChars="100" w:firstLine="200"/>
              <w:rPr>
                <w:rFonts w:ascii="Arial" w:hAnsi="Arial" w:cs="Arial"/>
                <w:lang w:eastAsia="hr-HR"/>
              </w:rPr>
            </w:pPr>
            <w:r w:rsidRPr="005E4039">
              <w:rPr>
                <w:rFonts w:ascii="Arial" w:hAnsi="Arial" w:cs="Arial"/>
                <w:lang w:eastAsia="hr-HR"/>
              </w:rPr>
              <w:t>Usluga nadzora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296EE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4.937,50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4D56C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C431D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</w:tr>
      <w:tr w:rsidR="005E4039" w:rsidRPr="005E4039" w14:paraId="76C183C8" w14:textId="77777777" w:rsidTr="005E4039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C5A5" w14:textId="77777777" w:rsidR="005E4039" w:rsidRPr="005E4039" w:rsidRDefault="005E4039" w:rsidP="005E4039">
            <w:pPr>
              <w:ind w:firstLineChars="100" w:firstLine="200"/>
              <w:rPr>
                <w:rFonts w:ascii="Arial" w:hAnsi="Arial" w:cs="Arial"/>
                <w:lang w:eastAsia="hr-HR"/>
              </w:rPr>
            </w:pPr>
            <w:r w:rsidRPr="005E4039">
              <w:rPr>
                <w:rFonts w:ascii="Arial" w:hAnsi="Arial" w:cs="Arial"/>
                <w:lang w:eastAsia="hr-HR"/>
              </w:rPr>
              <w:t>Proširenje javne rasvjete - Bibali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03C88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29.303,18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F1555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29.303,18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2353F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100,00</w:t>
            </w:r>
          </w:p>
        </w:tc>
      </w:tr>
      <w:tr w:rsidR="005E4039" w:rsidRPr="005E4039" w14:paraId="17819E03" w14:textId="77777777" w:rsidTr="005E4039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7DF3" w14:textId="77777777" w:rsidR="005E4039" w:rsidRPr="005E4039" w:rsidRDefault="005E4039" w:rsidP="005E4039">
            <w:pPr>
              <w:ind w:firstLineChars="100" w:firstLine="200"/>
              <w:rPr>
                <w:rFonts w:ascii="Arial" w:hAnsi="Arial" w:cs="Arial"/>
                <w:lang w:eastAsia="hr-HR"/>
              </w:rPr>
            </w:pPr>
            <w:r w:rsidRPr="005E4039">
              <w:rPr>
                <w:rFonts w:ascii="Arial" w:hAnsi="Arial" w:cs="Arial"/>
                <w:lang w:eastAsia="hr-HR"/>
              </w:rPr>
              <w:t>Dogradnja javne rasvjete - igralište Centar za inkluziju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1BB81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6.397,92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310D0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7.997,40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8EA4E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125,00</w:t>
            </w:r>
          </w:p>
        </w:tc>
      </w:tr>
      <w:tr w:rsidR="005E4039" w:rsidRPr="005E4039" w14:paraId="4C87B1A3" w14:textId="77777777" w:rsidTr="005E4039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FF"/>
            <w:hideMark/>
          </w:tcPr>
          <w:p w14:paraId="62978D50" w14:textId="77777777" w:rsidR="005E4039" w:rsidRPr="005E4039" w:rsidRDefault="005E4039" w:rsidP="005E4039">
            <w:pPr>
              <w:ind w:firstLineChars="100" w:firstLine="201"/>
              <w:rPr>
                <w:rFonts w:ascii="Arial" w:hAnsi="Arial" w:cs="Arial"/>
                <w:b/>
                <w:bCs/>
                <w:lang w:eastAsia="hr-HR"/>
              </w:rPr>
            </w:pPr>
            <w:r w:rsidRPr="005E4039">
              <w:rPr>
                <w:rFonts w:ascii="Arial" w:hAnsi="Arial" w:cs="Arial"/>
                <w:b/>
                <w:bCs/>
                <w:lang w:eastAsia="hr-HR"/>
              </w:rPr>
              <w:t>GROBLJA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FF"/>
            <w:noWrap/>
            <w:hideMark/>
          </w:tcPr>
          <w:p w14:paraId="6B15270D" w14:textId="77777777" w:rsidR="005E4039" w:rsidRPr="005E4039" w:rsidRDefault="005E4039" w:rsidP="005E4039">
            <w:p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b/>
                <w:bCs/>
                <w:color w:val="000000"/>
                <w:lang w:eastAsia="hr-HR"/>
              </w:rPr>
              <w:t>80.283,96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FF"/>
            <w:noWrap/>
            <w:hideMark/>
          </w:tcPr>
          <w:p w14:paraId="25881AA1" w14:textId="77777777" w:rsidR="005E4039" w:rsidRPr="005E4039" w:rsidRDefault="005E4039" w:rsidP="005E4039">
            <w:p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b/>
                <w:bCs/>
                <w:color w:val="000000"/>
                <w:lang w:eastAsia="hr-HR"/>
              </w:rPr>
              <w:t>80.283,96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FF"/>
            <w:noWrap/>
            <w:hideMark/>
          </w:tcPr>
          <w:p w14:paraId="71726488" w14:textId="77777777" w:rsidR="005E4039" w:rsidRPr="005E4039" w:rsidRDefault="005E4039" w:rsidP="005E4039">
            <w:p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b/>
                <w:bCs/>
                <w:color w:val="000000"/>
                <w:lang w:eastAsia="hr-HR"/>
              </w:rPr>
              <w:t>100,00</w:t>
            </w:r>
          </w:p>
        </w:tc>
      </w:tr>
      <w:tr w:rsidR="005E4039" w:rsidRPr="005E4039" w14:paraId="7C7B7B1F" w14:textId="77777777" w:rsidTr="005E4039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9A5A" w14:textId="77777777" w:rsidR="005E4039" w:rsidRPr="005E4039" w:rsidRDefault="005E4039" w:rsidP="005E4039">
            <w:pPr>
              <w:rPr>
                <w:rFonts w:ascii="Arial" w:hAnsi="Arial" w:cs="Arial"/>
                <w:lang w:eastAsia="hr-HR"/>
              </w:rPr>
            </w:pPr>
            <w:r w:rsidRPr="005E4039">
              <w:rPr>
                <w:rFonts w:ascii="Arial" w:hAnsi="Arial" w:cs="Arial"/>
                <w:lang w:eastAsia="hr-HR"/>
              </w:rPr>
              <w:t>Proširenje mjesnog groblja Marušići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23E5" w14:textId="77777777" w:rsidR="005E4039" w:rsidRPr="005E4039" w:rsidRDefault="005E4039" w:rsidP="005E4039">
            <w:pPr>
              <w:rPr>
                <w:rFonts w:ascii="Arial" w:hAnsi="Arial" w:cs="Arial"/>
                <w:lang w:eastAsia="hr-HR"/>
              </w:rPr>
            </w:pPr>
            <w:r w:rsidRPr="005E4039">
              <w:rPr>
                <w:rFonts w:ascii="Arial" w:hAnsi="Arial" w:cs="Arial"/>
                <w:lang w:eastAsia="hr-HR"/>
              </w:rPr>
              <w:t>80.283,96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E0AF" w14:textId="77777777" w:rsidR="005E4039" w:rsidRPr="005E4039" w:rsidRDefault="005E4039" w:rsidP="005E4039">
            <w:pPr>
              <w:rPr>
                <w:rFonts w:ascii="Arial" w:hAnsi="Arial" w:cs="Arial"/>
                <w:lang w:eastAsia="hr-HR"/>
              </w:rPr>
            </w:pPr>
            <w:r w:rsidRPr="005E4039">
              <w:rPr>
                <w:rFonts w:ascii="Arial" w:hAnsi="Arial" w:cs="Arial"/>
                <w:lang w:eastAsia="hr-HR"/>
              </w:rPr>
              <w:t>80.283,96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60E7" w14:textId="77777777" w:rsidR="005E4039" w:rsidRPr="005E4039" w:rsidRDefault="005E4039" w:rsidP="005E4039">
            <w:pPr>
              <w:rPr>
                <w:rFonts w:ascii="Arial" w:hAnsi="Arial" w:cs="Arial"/>
                <w:lang w:eastAsia="hr-HR"/>
              </w:rPr>
            </w:pPr>
            <w:r w:rsidRPr="005E4039">
              <w:rPr>
                <w:rFonts w:ascii="Arial" w:hAnsi="Arial" w:cs="Arial"/>
                <w:lang w:eastAsia="hr-HR"/>
              </w:rPr>
              <w:t>100,00</w:t>
            </w:r>
          </w:p>
        </w:tc>
      </w:tr>
      <w:tr w:rsidR="005E4039" w:rsidRPr="005E4039" w14:paraId="1E532F05" w14:textId="77777777" w:rsidTr="005E4039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FF"/>
            <w:hideMark/>
          </w:tcPr>
          <w:p w14:paraId="282F422F" w14:textId="77777777" w:rsidR="005E4039" w:rsidRPr="005E4039" w:rsidRDefault="005E4039" w:rsidP="005E4039">
            <w:pPr>
              <w:ind w:firstLineChars="100" w:firstLine="201"/>
              <w:rPr>
                <w:rFonts w:ascii="Arial" w:hAnsi="Arial" w:cs="Arial"/>
                <w:b/>
                <w:bCs/>
                <w:lang w:eastAsia="hr-HR"/>
              </w:rPr>
            </w:pPr>
            <w:r w:rsidRPr="005E4039">
              <w:rPr>
                <w:rFonts w:ascii="Arial" w:hAnsi="Arial" w:cs="Arial"/>
                <w:b/>
                <w:bCs/>
                <w:lang w:eastAsia="hr-HR"/>
              </w:rPr>
              <w:t>PLANSKA DOKUMENTACIJA I OSTALO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FF"/>
            <w:noWrap/>
            <w:hideMark/>
          </w:tcPr>
          <w:p w14:paraId="380ACA89" w14:textId="77777777" w:rsidR="005E4039" w:rsidRPr="005E4039" w:rsidRDefault="005E4039" w:rsidP="005E4039">
            <w:p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b/>
                <w:bCs/>
                <w:color w:val="000000"/>
                <w:lang w:eastAsia="hr-HR"/>
              </w:rPr>
              <w:t>24.996,70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FF"/>
            <w:noWrap/>
            <w:hideMark/>
          </w:tcPr>
          <w:p w14:paraId="1108ABDC" w14:textId="77777777" w:rsidR="005E4039" w:rsidRPr="005E4039" w:rsidRDefault="005E4039" w:rsidP="005E4039">
            <w:p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b/>
                <w:bCs/>
                <w:color w:val="000000"/>
                <w:lang w:eastAsia="hr-HR"/>
              </w:rPr>
              <w:t>24.996,70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FF"/>
            <w:noWrap/>
            <w:hideMark/>
          </w:tcPr>
          <w:p w14:paraId="14B5D258" w14:textId="77777777" w:rsidR="005E4039" w:rsidRPr="005E4039" w:rsidRDefault="005E4039" w:rsidP="005E4039">
            <w:p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b/>
                <w:bCs/>
                <w:color w:val="000000"/>
                <w:lang w:eastAsia="hr-HR"/>
              </w:rPr>
              <w:t>100,00</w:t>
            </w:r>
          </w:p>
        </w:tc>
      </w:tr>
      <w:tr w:rsidR="005E4039" w:rsidRPr="005E4039" w14:paraId="28291083" w14:textId="77777777" w:rsidTr="005E4039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9D5E" w14:textId="77777777" w:rsidR="005E4039" w:rsidRPr="005E4039" w:rsidRDefault="005E4039" w:rsidP="005E4039">
            <w:pPr>
              <w:ind w:firstLineChars="100" w:firstLine="200"/>
              <w:rPr>
                <w:rFonts w:ascii="Arial" w:hAnsi="Arial" w:cs="Arial"/>
                <w:lang w:eastAsia="hr-HR"/>
              </w:rPr>
            </w:pPr>
            <w:r w:rsidRPr="005E4039">
              <w:rPr>
                <w:rFonts w:ascii="Arial" w:hAnsi="Arial" w:cs="Arial"/>
                <w:lang w:eastAsia="hr-HR"/>
              </w:rPr>
              <w:t>ATLAS 14 - sustav za upravljanje prostornim i ne prostornim bazama podataka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51516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8.143,25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6C33B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8.143,25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CB141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100,00</w:t>
            </w:r>
          </w:p>
        </w:tc>
      </w:tr>
      <w:tr w:rsidR="005E4039" w:rsidRPr="005E4039" w14:paraId="1F5728C1" w14:textId="77777777" w:rsidTr="005E4039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3BD8" w14:textId="77777777" w:rsidR="005E4039" w:rsidRPr="005E4039" w:rsidRDefault="005E4039" w:rsidP="005E4039">
            <w:pPr>
              <w:ind w:firstLineChars="100" w:firstLine="200"/>
              <w:rPr>
                <w:rFonts w:ascii="Arial" w:hAnsi="Arial" w:cs="Arial"/>
                <w:lang w:eastAsia="hr-HR"/>
              </w:rPr>
            </w:pPr>
            <w:r w:rsidRPr="005E4039">
              <w:rPr>
                <w:rFonts w:ascii="Arial" w:hAnsi="Arial" w:cs="Arial"/>
                <w:lang w:eastAsia="hr-HR"/>
              </w:rPr>
              <w:t>ATLAS 14 - sustav za upravljanje prostornim i ne prostornim bazama podataka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3A789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3.179,66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EF2FC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3.179,66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C7A93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100,00</w:t>
            </w:r>
          </w:p>
        </w:tc>
      </w:tr>
      <w:tr w:rsidR="005E4039" w:rsidRPr="005E4039" w14:paraId="5338A043" w14:textId="77777777" w:rsidTr="005E4039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354C" w14:textId="77777777" w:rsidR="005E4039" w:rsidRPr="005E4039" w:rsidRDefault="005E4039" w:rsidP="005E4039">
            <w:pPr>
              <w:rPr>
                <w:rFonts w:ascii="Arial" w:hAnsi="Arial" w:cs="Arial"/>
                <w:lang w:eastAsia="hr-HR"/>
              </w:rPr>
            </w:pPr>
            <w:r w:rsidRPr="005E4039">
              <w:rPr>
                <w:rFonts w:ascii="Arial" w:hAnsi="Arial" w:cs="Arial"/>
                <w:lang w:eastAsia="hr-HR"/>
              </w:rPr>
              <w:t>Povrat komunalnog doprinosa iz prethodnih godina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A5DC" w14:textId="77777777" w:rsidR="005E4039" w:rsidRPr="005E4039" w:rsidRDefault="005E4039" w:rsidP="005E4039">
            <w:pPr>
              <w:rPr>
                <w:rFonts w:ascii="Arial" w:hAnsi="Arial" w:cs="Arial"/>
                <w:lang w:eastAsia="hr-HR"/>
              </w:rPr>
            </w:pPr>
            <w:r w:rsidRPr="005E4039">
              <w:rPr>
                <w:rFonts w:ascii="Arial" w:hAnsi="Arial" w:cs="Arial"/>
                <w:lang w:eastAsia="hr-HR"/>
              </w:rPr>
              <w:t>13.673,79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CF7F" w14:textId="77777777" w:rsidR="005E4039" w:rsidRPr="005E4039" w:rsidRDefault="005E4039" w:rsidP="005E4039">
            <w:pPr>
              <w:rPr>
                <w:rFonts w:ascii="Arial" w:hAnsi="Arial" w:cs="Arial"/>
                <w:lang w:eastAsia="hr-HR"/>
              </w:rPr>
            </w:pPr>
            <w:r w:rsidRPr="005E4039">
              <w:rPr>
                <w:rFonts w:ascii="Arial" w:hAnsi="Arial" w:cs="Arial"/>
                <w:lang w:eastAsia="hr-HR"/>
              </w:rPr>
              <w:t>13.673,79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02E9B" w14:textId="77777777" w:rsidR="005E4039" w:rsidRPr="005E4039" w:rsidRDefault="005E4039" w:rsidP="005E4039">
            <w:pPr>
              <w:rPr>
                <w:rFonts w:ascii="Arial" w:hAnsi="Arial" w:cs="Arial"/>
                <w:lang w:eastAsia="hr-HR"/>
              </w:rPr>
            </w:pPr>
            <w:r w:rsidRPr="005E4039">
              <w:rPr>
                <w:rFonts w:ascii="Arial" w:hAnsi="Arial" w:cs="Arial"/>
                <w:lang w:eastAsia="hr-HR"/>
              </w:rPr>
              <w:t>100,00</w:t>
            </w:r>
          </w:p>
        </w:tc>
      </w:tr>
      <w:tr w:rsidR="005E4039" w:rsidRPr="005E4039" w14:paraId="066F17BD" w14:textId="77777777" w:rsidTr="005E4039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FF"/>
            <w:hideMark/>
          </w:tcPr>
          <w:p w14:paraId="3E690DC6" w14:textId="77777777" w:rsidR="005E4039" w:rsidRPr="005E4039" w:rsidRDefault="005E4039" w:rsidP="005E4039">
            <w:pPr>
              <w:ind w:firstLineChars="100" w:firstLine="201"/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b/>
                <w:bCs/>
                <w:lang w:eastAsia="hr-HR"/>
              </w:rPr>
              <w:t>NERAZVRSTANE CESTE - REKONSTRUKCIJA POSTOJEĆIH GRAĐEVINA</w:t>
            </w:r>
            <w:r w:rsidRPr="005E4039">
              <w:rPr>
                <w:rFonts w:ascii="Arial" w:hAnsi="Arial" w:cs="Arial"/>
                <w:b/>
                <w:bCs/>
                <w:lang w:eastAsia="hr-HR"/>
              </w:rPr>
              <w:br/>
              <w:t>KOMUNALNE INFRASTRUKTURE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FF"/>
            <w:noWrap/>
            <w:hideMark/>
          </w:tcPr>
          <w:p w14:paraId="5F4230D5" w14:textId="77777777" w:rsidR="005E4039" w:rsidRPr="005E4039" w:rsidRDefault="005E4039" w:rsidP="005E4039">
            <w:p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b/>
                <w:bCs/>
                <w:color w:val="000000"/>
                <w:lang w:eastAsia="hr-HR"/>
              </w:rPr>
              <w:t>338.575,00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FF"/>
            <w:noWrap/>
            <w:hideMark/>
          </w:tcPr>
          <w:p w14:paraId="0958354C" w14:textId="77777777" w:rsidR="005E4039" w:rsidRPr="005E4039" w:rsidRDefault="005E4039" w:rsidP="005E4039">
            <w:p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b/>
                <w:bCs/>
                <w:color w:val="000000"/>
                <w:lang w:eastAsia="hr-HR"/>
              </w:rPr>
              <w:t>257.142,80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FF"/>
            <w:noWrap/>
            <w:hideMark/>
          </w:tcPr>
          <w:p w14:paraId="180156E4" w14:textId="77777777" w:rsidR="005E4039" w:rsidRPr="005E4039" w:rsidRDefault="005E4039" w:rsidP="005E4039">
            <w:p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b/>
                <w:bCs/>
                <w:color w:val="000000"/>
                <w:lang w:eastAsia="hr-HR"/>
              </w:rPr>
              <w:t>75,95</w:t>
            </w:r>
          </w:p>
        </w:tc>
      </w:tr>
      <w:tr w:rsidR="005E4039" w:rsidRPr="005E4039" w14:paraId="35A88013" w14:textId="77777777" w:rsidTr="005E4039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55E5" w14:textId="77777777" w:rsidR="005E4039" w:rsidRPr="005E4039" w:rsidRDefault="005E4039" w:rsidP="005E4039">
            <w:pPr>
              <w:ind w:firstLineChars="100" w:firstLine="200"/>
              <w:rPr>
                <w:rFonts w:ascii="Arial" w:hAnsi="Arial" w:cs="Arial"/>
                <w:lang w:eastAsia="hr-HR"/>
              </w:rPr>
            </w:pPr>
            <w:r w:rsidRPr="005E4039">
              <w:rPr>
                <w:rFonts w:ascii="Arial" w:hAnsi="Arial" w:cs="Arial"/>
                <w:lang w:eastAsia="hr-HR"/>
              </w:rPr>
              <w:t>Rekonstrukcija cesta - projekti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220C9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19.375,00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09CC0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17.748,44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A7ADF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91,60</w:t>
            </w:r>
          </w:p>
        </w:tc>
      </w:tr>
      <w:tr w:rsidR="005E4039" w:rsidRPr="005E4039" w14:paraId="36786F84" w14:textId="77777777" w:rsidTr="005E4039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2230" w14:textId="77777777" w:rsidR="005E4039" w:rsidRPr="005E4039" w:rsidRDefault="005E4039" w:rsidP="005E4039">
            <w:pPr>
              <w:ind w:firstLineChars="100" w:firstLine="200"/>
              <w:rPr>
                <w:rFonts w:ascii="Arial" w:hAnsi="Arial" w:cs="Arial"/>
                <w:lang w:eastAsia="hr-HR"/>
              </w:rPr>
            </w:pPr>
            <w:r w:rsidRPr="005E4039">
              <w:rPr>
                <w:rFonts w:ascii="Arial" w:hAnsi="Arial" w:cs="Arial"/>
                <w:lang w:eastAsia="hr-HR"/>
              </w:rPr>
              <w:t>Rekonstrukcija dijela N113, D300 - Kukov Vrh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A4847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230.000,00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3B884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226.549,05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A68EF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98,50</w:t>
            </w:r>
          </w:p>
        </w:tc>
      </w:tr>
      <w:tr w:rsidR="005E4039" w:rsidRPr="005E4039" w14:paraId="77D7FA64" w14:textId="77777777" w:rsidTr="005E4039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FADD" w14:textId="77777777" w:rsidR="005E4039" w:rsidRPr="005E4039" w:rsidRDefault="005E4039" w:rsidP="005E4039">
            <w:pPr>
              <w:ind w:firstLineChars="100" w:firstLine="200"/>
              <w:rPr>
                <w:rFonts w:ascii="Arial" w:hAnsi="Arial" w:cs="Arial"/>
                <w:lang w:eastAsia="hr-HR"/>
              </w:rPr>
            </w:pPr>
            <w:r w:rsidRPr="005E4039">
              <w:rPr>
                <w:rFonts w:ascii="Arial" w:hAnsi="Arial" w:cs="Arial"/>
                <w:lang w:eastAsia="hr-HR"/>
              </w:rPr>
              <w:t>Usluga nadzora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6B6F1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52067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11.218,75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8FBFE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93,49</w:t>
            </w:r>
          </w:p>
        </w:tc>
      </w:tr>
      <w:tr w:rsidR="005E4039" w:rsidRPr="005E4039" w14:paraId="7DCB5935" w14:textId="77777777" w:rsidTr="005E4039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B43B" w14:textId="77777777" w:rsidR="005E4039" w:rsidRPr="005E4039" w:rsidRDefault="005E4039" w:rsidP="005E4039">
            <w:pPr>
              <w:ind w:firstLineChars="100" w:firstLine="200"/>
              <w:rPr>
                <w:rFonts w:ascii="Arial" w:hAnsi="Arial" w:cs="Arial"/>
                <w:lang w:eastAsia="hr-HR"/>
              </w:rPr>
            </w:pPr>
            <w:r w:rsidRPr="005E4039">
              <w:rPr>
                <w:rFonts w:ascii="Arial" w:hAnsi="Arial" w:cs="Arial"/>
                <w:lang w:eastAsia="hr-HR"/>
              </w:rPr>
              <w:t>Rekonstrukcija Ž5007 (Kremenje-Marušići)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81679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27.200,00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2EE08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28D16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</w:tr>
      <w:tr w:rsidR="005E4039" w:rsidRPr="005E4039" w14:paraId="71AA4C4E" w14:textId="77777777" w:rsidTr="005E4039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4CBF" w14:textId="77777777" w:rsidR="005E4039" w:rsidRPr="005E4039" w:rsidRDefault="005E4039" w:rsidP="005E4039">
            <w:pPr>
              <w:ind w:firstLineChars="100" w:firstLine="200"/>
              <w:rPr>
                <w:rFonts w:ascii="Arial" w:hAnsi="Arial" w:cs="Arial"/>
                <w:lang w:eastAsia="hr-HR"/>
              </w:rPr>
            </w:pPr>
            <w:r w:rsidRPr="005E4039">
              <w:rPr>
                <w:rFonts w:ascii="Arial" w:hAnsi="Arial" w:cs="Arial"/>
                <w:lang w:eastAsia="hr-HR"/>
              </w:rPr>
              <w:t>Rekonstrukcija cesta - projekti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F3D63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2DE7F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1.626,56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E9EAD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</w:tr>
      <w:tr w:rsidR="005E4039" w:rsidRPr="005E4039" w14:paraId="78EADE75" w14:textId="77777777" w:rsidTr="005E4039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3709" w14:textId="77777777" w:rsidR="005E4039" w:rsidRPr="005E4039" w:rsidRDefault="005E4039" w:rsidP="005E4039">
            <w:pPr>
              <w:ind w:firstLineChars="100" w:firstLine="200"/>
              <w:rPr>
                <w:rFonts w:ascii="Arial" w:hAnsi="Arial" w:cs="Arial"/>
                <w:lang w:eastAsia="hr-HR"/>
              </w:rPr>
            </w:pPr>
            <w:r w:rsidRPr="005E4039">
              <w:rPr>
                <w:rFonts w:ascii="Arial" w:hAnsi="Arial" w:cs="Arial"/>
                <w:lang w:eastAsia="hr-HR"/>
              </w:rPr>
              <w:lastRenderedPageBreak/>
              <w:t>Kapitalna pomoć ŽUC - rekonstrukcija LC50051 (Ponte porton - Antonci - Livade)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220EC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5D09C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0A01A" w14:textId="77777777" w:rsidR="005E4039" w:rsidRPr="005E4039" w:rsidRDefault="005E4039" w:rsidP="005E403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</w:tr>
      <w:tr w:rsidR="005E4039" w:rsidRPr="005E4039" w14:paraId="7E51778F" w14:textId="77777777" w:rsidTr="005E4039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FF"/>
            <w:hideMark/>
          </w:tcPr>
          <w:p w14:paraId="6565269D" w14:textId="77777777" w:rsidR="005E4039" w:rsidRPr="005E4039" w:rsidRDefault="005E4039" w:rsidP="005E4039">
            <w:pPr>
              <w:ind w:firstLineChars="100" w:firstLine="201"/>
              <w:rPr>
                <w:rFonts w:ascii="Arial" w:hAnsi="Arial" w:cs="Arial"/>
                <w:b/>
                <w:bCs/>
                <w:lang w:eastAsia="hr-HR"/>
              </w:rPr>
            </w:pPr>
            <w:r w:rsidRPr="005E4039">
              <w:rPr>
                <w:rFonts w:ascii="Arial" w:hAnsi="Arial" w:cs="Arial"/>
                <w:b/>
                <w:bCs/>
                <w:lang w:eastAsia="hr-HR"/>
              </w:rPr>
              <w:t>GRAĐEVINE I UREĐAJI JAVNE NAMJENE - REKONSTRUKCIJA POSTOJEĆIH GRAĐEVINA KOMUNALNE INFRASTRUKTURE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FF"/>
            <w:noWrap/>
            <w:hideMark/>
          </w:tcPr>
          <w:p w14:paraId="74873577" w14:textId="77777777" w:rsidR="005E4039" w:rsidRPr="005E4039" w:rsidRDefault="005E4039" w:rsidP="005E4039">
            <w:p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b/>
                <w:bCs/>
                <w:color w:val="000000"/>
                <w:lang w:eastAsia="hr-HR"/>
              </w:rPr>
              <w:t>21.940,03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FF"/>
            <w:noWrap/>
            <w:hideMark/>
          </w:tcPr>
          <w:p w14:paraId="021B0DAC" w14:textId="77777777" w:rsidR="005E4039" w:rsidRPr="005E4039" w:rsidRDefault="005E4039" w:rsidP="005E4039">
            <w:p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b/>
                <w:bCs/>
                <w:color w:val="000000"/>
                <w:lang w:eastAsia="hr-HR"/>
              </w:rPr>
              <w:t>21.940,03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FF"/>
            <w:noWrap/>
            <w:hideMark/>
          </w:tcPr>
          <w:p w14:paraId="62E82146" w14:textId="77777777" w:rsidR="005E4039" w:rsidRPr="005E4039" w:rsidRDefault="005E4039" w:rsidP="005E4039">
            <w:p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5E4039">
              <w:rPr>
                <w:rFonts w:ascii="Arial" w:hAnsi="Arial" w:cs="Arial"/>
                <w:b/>
                <w:bCs/>
                <w:color w:val="000000"/>
                <w:lang w:eastAsia="hr-HR"/>
              </w:rPr>
              <w:t>100,00</w:t>
            </w:r>
          </w:p>
        </w:tc>
      </w:tr>
      <w:tr w:rsidR="005E4039" w:rsidRPr="005E4039" w14:paraId="7B770418" w14:textId="77777777" w:rsidTr="005E4039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4A6D5" w14:textId="77777777" w:rsidR="005E4039" w:rsidRPr="005E4039" w:rsidRDefault="005E4039" w:rsidP="005E4039">
            <w:pPr>
              <w:rPr>
                <w:rFonts w:ascii="Arial" w:hAnsi="Arial" w:cs="Arial"/>
                <w:lang w:eastAsia="hr-HR"/>
              </w:rPr>
            </w:pPr>
            <w:r w:rsidRPr="005E4039">
              <w:rPr>
                <w:rFonts w:ascii="Arial" w:hAnsi="Arial" w:cs="Arial"/>
                <w:lang w:eastAsia="hr-HR"/>
              </w:rPr>
              <w:t>Rekonstrukcija sportskih objekata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0F2DA" w14:textId="77777777" w:rsidR="005E4039" w:rsidRPr="005E4039" w:rsidRDefault="005E4039" w:rsidP="005E4039">
            <w:pPr>
              <w:rPr>
                <w:rFonts w:ascii="Arial" w:hAnsi="Arial" w:cs="Arial"/>
                <w:lang w:eastAsia="hr-HR"/>
              </w:rPr>
            </w:pPr>
            <w:r w:rsidRPr="005E4039">
              <w:rPr>
                <w:rFonts w:ascii="Arial" w:hAnsi="Arial" w:cs="Arial"/>
                <w:lang w:eastAsia="hr-HR"/>
              </w:rPr>
              <w:t>21.940,03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154E2" w14:textId="77777777" w:rsidR="005E4039" w:rsidRPr="005E4039" w:rsidRDefault="005E4039" w:rsidP="005E4039">
            <w:pPr>
              <w:rPr>
                <w:rFonts w:ascii="Arial" w:hAnsi="Arial" w:cs="Arial"/>
                <w:lang w:eastAsia="hr-HR"/>
              </w:rPr>
            </w:pPr>
            <w:r w:rsidRPr="005E4039">
              <w:rPr>
                <w:rFonts w:ascii="Arial" w:hAnsi="Arial" w:cs="Arial"/>
                <w:lang w:eastAsia="hr-HR"/>
              </w:rPr>
              <w:t>21.940,30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24B14" w14:textId="77777777" w:rsidR="005E4039" w:rsidRPr="005E4039" w:rsidRDefault="005E4039" w:rsidP="005E4039">
            <w:pPr>
              <w:rPr>
                <w:rFonts w:ascii="Arial" w:hAnsi="Arial" w:cs="Arial"/>
                <w:lang w:eastAsia="hr-HR"/>
              </w:rPr>
            </w:pPr>
            <w:r w:rsidRPr="005E4039">
              <w:rPr>
                <w:rFonts w:ascii="Arial" w:hAnsi="Arial" w:cs="Arial"/>
                <w:lang w:eastAsia="hr-HR"/>
              </w:rPr>
              <w:t>100,00</w:t>
            </w:r>
          </w:p>
        </w:tc>
      </w:tr>
    </w:tbl>
    <w:p w14:paraId="1668CF3F" w14:textId="77777777" w:rsidR="005E4039" w:rsidRPr="005E4039" w:rsidRDefault="005E4039" w:rsidP="005E4039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14:paraId="4EE0606A" w14:textId="77777777" w:rsidR="00F92349" w:rsidRPr="00FF341C" w:rsidRDefault="00F92349">
      <w:pPr>
        <w:rPr>
          <w:sz w:val="24"/>
          <w:szCs w:val="24"/>
        </w:rPr>
      </w:pPr>
    </w:p>
    <w:p w14:paraId="10DF9FA6" w14:textId="77777777" w:rsidR="00272A18" w:rsidRPr="00FF341C" w:rsidRDefault="00272A18">
      <w:pPr>
        <w:rPr>
          <w:sz w:val="24"/>
          <w:szCs w:val="24"/>
        </w:rPr>
      </w:pPr>
    </w:p>
    <w:p w14:paraId="6DFC4E50" w14:textId="77777777" w:rsidR="00272A18" w:rsidRPr="00FF341C" w:rsidRDefault="00272A18" w:rsidP="006D38CC">
      <w:pPr>
        <w:ind w:left="5664" w:firstLine="708"/>
        <w:rPr>
          <w:sz w:val="24"/>
          <w:szCs w:val="24"/>
        </w:rPr>
      </w:pPr>
      <w:r w:rsidRPr="00FF341C">
        <w:rPr>
          <w:sz w:val="24"/>
          <w:szCs w:val="24"/>
        </w:rPr>
        <w:t>Pročelnik</w:t>
      </w:r>
    </w:p>
    <w:p w14:paraId="035536F2" w14:textId="77777777" w:rsidR="00272A18" w:rsidRPr="00FF341C" w:rsidRDefault="00272A18" w:rsidP="00272A18">
      <w:pPr>
        <w:ind w:left="7080"/>
        <w:rPr>
          <w:sz w:val="24"/>
          <w:szCs w:val="24"/>
        </w:rPr>
      </w:pPr>
    </w:p>
    <w:p w14:paraId="77299A55" w14:textId="77777777" w:rsidR="00272A18" w:rsidRPr="00FF341C" w:rsidRDefault="00272A18" w:rsidP="006D38CC">
      <w:pPr>
        <w:ind w:left="5664" w:firstLine="708"/>
        <w:rPr>
          <w:sz w:val="24"/>
          <w:szCs w:val="24"/>
        </w:rPr>
      </w:pPr>
      <w:r w:rsidRPr="00FF341C">
        <w:rPr>
          <w:sz w:val="24"/>
          <w:szCs w:val="24"/>
        </w:rPr>
        <w:t>Elvis Glavičić</w:t>
      </w:r>
      <w:r w:rsidR="006208A8">
        <w:rPr>
          <w:sz w:val="24"/>
          <w:szCs w:val="24"/>
        </w:rPr>
        <w:t>, v.r.</w:t>
      </w:r>
      <w:bookmarkEnd w:id="0"/>
    </w:p>
    <w:sectPr w:rsidR="00272A18" w:rsidRPr="00FF341C" w:rsidSect="006D5FC9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29E94" w14:textId="77777777" w:rsidR="00EF2D33" w:rsidRDefault="00EF2D33" w:rsidP="003C2E98">
      <w:r>
        <w:separator/>
      </w:r>
    </w:p>
  </w:endnote>
  <w:endnote w:type="continuationSeparator" w:id="0">
    <w:p w14:paraId="1BD39CB5" w14:textId="77777777" w:rsidR="00EF2D33" w:rsidRDefault="00EF2D33" w:rsidP="003C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4980D" w14:textId="77777777" w:rsidR="00EF2D33" w:rsidRDefault="00EF2D33" w:rsidP="003C2E98">
      <w:r>
        <w:separator/>
      </w:r>
    </w:p>
  </w:footnote>
  <w:footnote w:type="continuationSeparator" w:id="0">
    <w:p w14:paraId="540A5239" w14:textId="77777777" w:rsidR="00EF2D33" w:rsidRDefault="00EF2D33" w:rsidP="003C2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923DC"/>
    <w:multiLevelType w:val="hybridMultilevel"/>
    <w:tmpl w:val="4FFE5038"/>
    <w:lvl w:ilvl="0" w:tplc="43DCAE0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790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1C"/>
    <w:rsid w:val="000076CD"/>
    <w:rsid w:val="0001664D"/>
    <w:rsid w:val="000172F9"/>
    <w:rsid w:val="000256CA"/>
    <w:rsid w:val="00041D42"/>
    <w:rsid w:val="000440B0"/>
    <w:rsid w:val="000479E2"/>
    <w:rsid w:val="0006435C"/>
    <w:rsid w:val="00067052"/>
    <w:rsid w:val="000709BE"/>
    <w:rsid w:val="00082521"/>
    <w:rsid w:val="00094E22"/>
    <w:rsid w:val="00095512"/>
    <w:rsid w:val="000964C8"/>
    <w:rsid w:val="00097C98"/>
    <w:rsid w:val="000A36FC"/>
    <w:rsid w:val="000B38D5"/>
    <w:rsid w:val="000B5E39"/>
    <w:rsid w:val="000C4F1F"/>
    <w:rsid w:val="000D3C02"/>
    <w:rsid w:val="000F16F1"/>
    <w:rsid w:val="000F3D5A"/>
    <w:rsid w:val="00111EC8"/>
    <w:rsid w:val="0011728B"/>
    <w:rsid w:val="001212B7"/>
    <w:rsid w:val="0016057E"/>
    <w:rsid w:val="00166996"/>
    <w:rsid w:val="001675A1"/>
    <w:rsid w:val="001814A3"/>
    <w:rsid w:val="00182E5A"/>
    <w:rsid w:val="00185DA9"/>
    <w:rsid w:val="00186B06"/>
    <w:rsid w:val="00195A1F"/>
    <w:rsid w:val="001A30CB"/>
    <w:rsid w:val="001A3B99"/>
    <w:rsid w:val="001D606C"/>
    <w:rsid w:val="001E046F"/>
    <w:rsid w:val="001E3C55"/>
    <w:rsid w:val="00200020"/>
    <w:rsid w:val="002079FA"/>
    <w:rsid w:val="00220293"/>
    <w:rsid w:val="00237186"/>
    <w:rsid w:val="00247EC7"/>
    <w:rsid w:val="00251D25"/>
    <w:rsid w:val="002577B2"/>
    <w:rsid w:val="0026370E"/>
    <w:rsid w:val="00271125"/>
    <w:rsid w:val="00272A18"/>
    <w:rsid w:val="0028303E"/>
    <w:rsid w:val="002868D2"/>
    <w:rsid w:val="00291EB7"/>
    <w:rsid w:val="002A0534"/>
    <w:rsid w:val="002A3618"/>
    <w:rsid w:val="002A612E"/>
    <w:rsid w:val="002A7ED5"/>
    <w:rsid w:val="002B7ABF"/>
    <w:rsid w:val="002C45ED"/>
    <w:rsid w:val="002C5235"/>
    <w:rsid w:val="002C629E"/>
    <w:rsid w:val="002C676E"/>
    <w:rsid w:val="002D01CA"/>
    <w:rsid w:val="002D161D"/>
    <w:rsid w:val="002D22CB"/>
    <w:rsid w:val="002F0D43"/>
    <w:rsid w:val="002F23AF"/>
    <w:rsid w:val="002F4EDE"/>
    <w:rsid w:val="002F76F5"/>
    <w:rsid w:val="003075EA"/>
    <w:rsid w:val="00324280"/>
    <w:rsid w:val="00333653"/>
    <w:rsid w:val="00334839"/>
    <w:rsid w:val="00336C23"/>
    <w:rsid w:val="003411AD"/>
    <w:rsid w:val="003414B9"/>
    <w:rsid w:val="003512F7"/>
    <w:rsid w:val="00354F4D"/>
    <w:rsid w:val="00362038"/>
    <w:rsid w:val="00362701"/>
    <w:rsid w:val="00372696"/>
    <w:rsid w:val="00386DE5"/>
    <w:rsid w:val="00387409"/>
    <w:rsid w:val="0039186C"/>
    <w:rsid w:val="003972EF"/>
    <w:rsid w:val="003A5A28"/>
    <w:rsid w:val="003C2E98"/>
    <w:rsid w:val="003D3824"/>
    <w:rsid w:val="003D39BA"/>
    <w:rsid w:val="003E0B75"/>
    <w:rsid w:val="003E16E0"/>
    <w:rsid w:val="003F038E"/>
    <w:rsid w:val="00407565"/>
    <w:rsid w:val="00407C11"/>
    <w:rsid w:val="00415BD6"/>
    <w:rsid w:val="00437FE9"/>
    <w:rsid w:val="0046118C"/>
    <w:rsid w:val="004628D0"/>
    <w:rsid w:val="004730EA"/>
    <w:rsid w:val="00475BCE"/>
    <w:rsid w:val="00494FBF"/>
    <w:rsid w:val="004A36D2"/>
    <w:rsid w:val="004C00EA"/>
    <w:rsid w:val="004C23D4"/>
    <w:rsid w:val="004C3FC4"/>
    <w:rsid w:val="004D0016"/>
    <w:rsid w:val="004D7E5D"/>
    <w:rsid w:val="004E7C56"/>
    <w:rsid w:val="004F18FB"/>
    <w:rsid w:val="00513031"/>
    <w:rsid w:val="0051373F"/>
    <w:rsid w:val="00514845"/>
    <w:rsid w:val="00523763"/>
    <w:rsid w:val="005254FD"/>
    <w:rsid w:val="005364E9"/>
    <w:rsid w:val="00541F73"/>
    <w:rsid w:val="00547386"/>
    <w:rsid w:val="00552904"/>
    <w:rsid w:val="00553862"/>
    <w:rsid w:val="00553B36"/>
    <w:rsid w:val="00561300"/>
    <w:rsid w:val="00563678"/>
    <w:rsid w:val="00585243"/>
    <w:rsid w:val="005B10A9"/>
    <w:rsid w:val="005B6CA6"/>
    <w:rsid w:val="005D5420"/>
    <w:rsid w:val="005E4039"/>
    <w:rsid w:val="005F1F5F"/>
    <w:rsid w:val="006208A8"/>
    <w:rsid w:val="00635CAC"/>
    <w:rsid w:val="0065199B"/>
    <w:rsid w:val="006544B0"/>
    <w:rsid w:val="006817C7"/>
    <w:rsid w:val="00683F83"/>
    <w:rsid w:val="00691B3A"/>
    <w:rsid w:val="00693559"/>
    <w:rsid w:val="00694382"/>
    <w:rsid w:val="006954C4"/>
    <w:rsid w:val="006A3258"/>
    <w:rsid w:val="006A6BF2"/>
    <w:rsid w:val="006C5B2D"/>
    <w:rsid w:val="006D38CC"/>
    <w:rsid w:val="006D5EEE"/>
    <w:rsid w:val="006D5FC9"/>
    <w:rsid w:val="006E4648"/>
    <w:rsid w:val="00715273"/>
    <w:rsid w:val="00722280"/>
    <w:rsid w:val="007376C9"/>
    <w:rsid w:val="00737FB9"/>
    <w:rsid w:val="007424B1"/>
    <w:rsid w:val="00745FD7"/>
    <w:rsid w:val="00751426"/>
    <w:rsid w:val="007525FF"/>
    <w:rsid w:val="00752B70"/>
    <w:rsid w:val="007535A8"/>
    <w:rsid w:val="00754917"/>
    <w:rsid w:val="00762275"/>
    <w:rsid w:val="00774EA7"/>
    <w:rsid w:val="00783AD4"/>
    <w:rsid w:val="00785D98"/>
    <w:rsid w:val="00793912"/>
    <w:rsid w:val="007B1AFB"/>
    <w:rsid w:val="007B61CA"/>
    <w:rsid w:val="007C4E0F"/>
    <w:rsid w:val="007E64F7"/>
    <w:rsid w:val="007F41DB"/>
    <w:rsid w:val="00803845"/>
    <w:rsid w:val="00804F71"/>
    <w:rsid w:val="008078F9"/>
    <w:rsid w:val="00826F93"/>
    <w:rsid w:val="00840AE1"/>
    <w:rsid w:val="008455B5"/>
    <w:rsid w:val="0084774A"/>
    <w:rsid w:val="00857586"/>
    <w:rsid w:val="00866B5A"/>
    <w:rsid w:val="00871528"/>
    <w:rsid w:val="008826C8"/>
    <w:rsid w:val="0088706E"/>
    <w:rsid w:val="008B112E"/>
    <w:rsid w:val="008B652F"/>
    <w:rsid w:val="008C3DD4"/>
    <w:rsid w:val="008C6F4D"/>
    <w:rsid w:val="008F2324"/>
    <w:rsid w:val="008F285E"/>
    <w:rsid w:val="009151EE"/>
    <w:rsid w:val="00917CDF"/>
    <w:rsid w:val="0092187E"/>
    <w:rsid w:val="00932935"/>
    <w:rsid w:val="00933310"/>
    <w:rsid w:val="009507AC"/>
    <w:rsid w:val="0095774F"/>
    <w:rsid w:val="00973D05"/>
    <w:rsid w:val="009764B8"/>
    <w:rsid w:val="00982B02"/>
    <w:rsid w:val="00987231"/>
    <w:rsid w:val="00987C79"/>
    <w:rsid w:val="009A6823"/>
    <w:rsid w:val="009B1D8E"/>
    <w:rsid w:val="009C4174"/>
    <w:rsid w:val="009C66FD"/>
    <w:rsid w:val="009C7EED"/>
    <w:rsid w:val="009D566E"/>
    <w:rsid w:val="009F7769"/>
    <w:rsid w:val="00A0011C"/>
    <w:rsid w:val="00A161DB"/>
    <w:rsid w:val="00A17BEC"/>
    <w:rsid w:val="00A314D2"/>
    <w:rsid w:val="00A42200"/>
    <w:rsid w:val="00A42DF7"/>
    <w:rsid w:val="00A46751"/>
    <w:rsid w:val="00A51D53"/>
    <w:rsid w:val="00A54C50"/>
    <w:rsid w:val="00A76F8D"/>
    <w:rsid w:val="00A81577"/>
    <w:rsid w:val="00A83DFE"/>
    <w:rsid w:val="00A866AF"/>
    <w:rsid w:val="00A958CC"/>
    <w:rsid w:val="00AA7A49"/>
    <w:rsid w:val="00AB44B4"/>
    <w:rsid w:val="00AC4EEA"/>
    <w:rsid w:val="00AC627C"/>
    <w:rsid w:val="00AD26ED"/>
    <w:rsid w:val="00AD676A"/>
    <w:rsid w:val="00AF4558"/>
    <w:rsid w:val="00AF4782"/>
    <w:rsid w:val="00AF48F1"/>
    <w:rsid w:val="00B01D29"/>
    <w:rsid w:val="00B03291"/>
    <w:rsid w:val="00B10A4A"/>
    <w:rsid w:val="00B13063"/>
    <w:rsid w:val="00B135D0"/>
    <w:rsid w:val="00B17E90"/>
    <w:rsid w:val="00B21496"/>
    <w:rsid w:val="00B22572"/>
    <w:rsid w:val="00B27225"/>
    <w:rsid w:val="00B31069"/>
    <w:rsid w:val="00B31168"/>
    <w:rsid w:val="00B368FB"/>
    <w:rsid w:val="00B405CC"/>
    <w:rsid w:val="00B435BB"/>
    <w:rsid w:val="00B545E3"/>
    <w:rsid w:val="00B555C9"/>
    <w:rsid w:val="00B7123C"/>
    <w:rsid w:val="00B73F10"/>
    <w:rsid w:val="00BA7290"/>
    <w:rsid w:val="00BB0888"/>
    <w:rsid w:val="00BB0B51"/>
    <w:rsid w:val="00BD2D74"/>
    <w:rsid w:val="00BE2C23"/>
    <w:rsid w:val="00BE619E"/>
    <w:rsid w:val="00BF589C"/>
    <w:rsid w:val="00BF6C89"/>
    <w:rsid w:val="00C046B2"/>
    <w:rsid w:val="00C0516D"/>
    <w:rsid w:val="00C141F0"/>
    <w:rsid w:val="00C15223"/>
    <w:rsid w:val="00C25A66"/>
    <w:rsid w:val="00C329F9"/>
    <w:rsid w:val="00C338A1"/>
    <w:rsid w:val="00C4144E"/>
    <w:rsid w:val="00C47F46"/>
    <w:rsid w:val="00C51952"/>
    <w:rsid w:val="00C6109D"/>
    <w:rsid w:val="00C61D04"/>
    <w:rsid w:val="00C63F50"/>
    <w:rsid w:val="00C66ABD"/>
    <w:rsid w:val="00C73E87"/>
    <w:rsid w:val="00C83723"/>
    <w:rsid w:val="00C946C3"/>
    <w:rsid w:val="00CA3215"/>
    <w:rsid w:val="00CA49EA"/>
    <w:rsid w:val="00CB0DA3"/>
    <w:rsid w:val="00CD5286"/>
    <w:rsid w:val="00CE75D3"/>
    <w:rsid w:val="00CF3C36"/>
    <w:rsid w:val="00D07389"/>
    <w:rsid w:val="00D167A5"/>
    <w:rsid w:val="00D17638"/>
    <w:rsid w:val="00D318F0"/>
    <w:rsid w:val="00D34247"/>
    <w:rsid w:val="00D5548A"/>
    <w:rsid w:val="00D560A4"/>
    <w:rsid w:val="00D569B0"/>
    <w:rsid w:val="00D571EF"/>
    <w:rsid w:val="00D65F9F"/>
    <w:rsid w:val="00D91E73"/>
    <w:rsid w:val="00D92FBC"/>
    <w:rsid w:val="00D94853"/>
    <w:rsid w:val="00D95B4C"/>
    <w:rsid w:val="00D971B4"/>
    <w:rsid w:val="00DA4B30"/>
    <w:rsid w:val="00DB00FF"/>
    <w:rsid w:val="00DD5171"/>
    <w:rsid w:val="00DF3777"/>
    <w:rsid w:val="00DF62D4"/>
    <w:rsid w:val="00DF744E"/>
    <w:rsid w:val="00DF7692"/>
    <w:rsid w:val="00E21632"/>
    <w:rsid w:val="00E40433"/>
    <w:rsid w:val="00E5268F"/>
    <w:rsid w:val="00E575B7"/>
    <w:rsid w:val="00E64EC6"/>
    <w:rsid w:val="00E7241D"/>
    <w:rsid w:val="00E778F7"/>
    <w:rsid w:val="00E8712D"/>
    <w:rsid w:val="00EB10BD"/>
    <w:rsid w:val="00EB73BE"/>
    <w:rsid w:val="00ED2FE5"/>
    <w:rsid w:val="00ED6184"/>
    <w:rsid w:val="00ED63B9"/>
    <w:rsid w:val="00EF2D33"/>
    <w:rsid w:val="00F12340"/>
    <w:rsid w:val="00F17D7D"/>
    <w:rsid w:val="00F20137"/>
    <w:rsid w:val="00F208CB"/>
    <w:rsid w:val="00F24A07"/>
    <w:rsid w:val="00F32D0F"/>
    <w:rsid w:val="00F410B5"/>
    <w:rsid w:val="00F43916"/>
    <w:rsid w:val="00F468C9"/>
    <w:rsid w:val="00F46EDA"/>
    <w:rsid w:val="00F56202"/>
    <w:rsid w:val="00F76E1F"/>
    <w:rsid w:val="00F7703B"/>
    <w:rsid w:val="00F8094D"/>
    <w:rsid w:val="00F92349"/>
    <w:rsid w:val="00FA44CA"/>
    <w:rsid w:val="00FA5343"/>
    <w:rsid w:val="00FB000E"/>
    <w:rsid w:val="00FB41CC"/>
    <w:rsid w:val="00FB4F02"/>
    <w:rsid w:val="00FC4F1D"/>
    <w:rsid w:val="00FC56FC"/>
    <w:rsid w:val="00FD678D"/>
    <w:rsid w:val="00FE3ACA"/>
    <w:rsid w:val="00FE472E"/>
    <w:rsid w:val="00FE7A76"/>
    <w:rsid w:val="00F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0C2AB"/>
  <w15:docId w15:val="{E31D6B27-D170-4631-A480-07B16924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496"/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A0011C"/>
    <w:pPr>
      <w:tabs>
        <w:tab w:val="left" w:pos="426"/>
        <w:tab w:val="left" w:pos="851"/>
        <w:tab w:val="left" w:pos="1276"/>
        <w:tab w:val="left" w:pos="1701"/>
      </w:tabs>
      <w:jc w:val="both"/>
    </w:pPr>
    <w:rPr>
      <w:sz w:val="22"/>
    </w:rPr>
  </w:style>
  <w:style w:type="paragraph" w:styleId="Tekstbalonia">
    <w:name w:val="Balloon Text"/>
    <w:basedOn w:val="Normal"/>
    <w:semiHidden/>
    <w:rsid w:val="0016057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FB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uvlaka2">
    <w:name w:val="Body Text.uvlaka 2"/>
    <w:basedOn w:val="Normal"/>
    <w:rsid w:val="00E5268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firstLine="720"/>
      <w:jc w:val="both"/>
    </w:pPr>
    <w:rPr>
      <w:sz w:val="22"/>
    </w:rPr>
  </w:style>
  <w:style w:type="paragraph" w:styleId="Zaglavlje">
    <w:name w:val="header"/>
    <w:basedOn w:val="Normal"/>
    <w:link w:val="ZaglavljeChar"/>
    <w:unhideWhenUsed/>
    <w:rsid w:val="003C2E9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C2E98"/>
    <w:rPr>
      <w:lang w:eastAsia="en-US"/>
    </w:rPr>
  </w:style>
  <w:style w:type="paragraph" w:styleId="Podnoje">
    <w:name w:val="footer"/>
    <w:basedOn w:val="Normal"/>
    <w:link w:val="PodnojeChar"/>
    <w:unhideWhenUsed/>
    <w:rsid w:val="003C2E9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C2E98"/>
    <w:rPr>
      <w:lang w:eastAsia="en-US"/>
    </w:rPr>
  </w:style>
  <w:style w:type="paragraph" w:styleId="Odlomakpopisa">
    <w:name w:val="List Paragraph"/>
    <w:basedOn w:val="Normal"/>
    <w:uiPriority w:val="34"/>
    <w:qFormat/>
    <w:rsid w:val="005E4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12488-4F7C-4BBF-8277-90AF7C27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stavka 4</vt:lpstr>
      <vt:lpstr>Na temelju stavka 4</vt:lpstr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stavka 4</dc:title>
  <dc:creator>Brolex</dc:creator>
  <cp:lastModifiedBy>Lara Valenta</cp:lastModifiedBy>
  <cp:revision>4</cp:revision>
  <cp:lastPrinted>2024-05-08T09:30:00Z</cp:lastPrinted>
  <dcterms:created xsi:type="dcterms:W3CDTF">2024-05-16T09:19:00Z</dcterms:created>
  <dcterms:modified xsi:type="dcterms:W3CDTF">2024-10-22T10:04:00Z</dcterms:modified>
</cp:coreProperties>
</file>