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autoSpaceDE w:val="false"/>
        <w:jc w:val="both"/>
        <w:rPr/>
      </w:pPr>
      <w:r>
        <w:rPr>
          <w:rStyle w:val="Zadanifontodlomka"/>
          <w:sz w:val="21"/>
          <w:szCs w:val="21"/>
        </w:rPr>
        <w:t xml:space="preserve">Na temelju </w:t>
      </w:r>
      <w:r>
        <w:rPr>
          <w:rStyle w:val="Zadanifontodlomka"/>
          <w:rFonts w:eastAsia="TimesNewRoman;'Arial Unicode M"/>
          <w:sz w:val="21"/>
          <w:szCs w:val="21"/>
        </w:rPr>
        <w:t>č</w:t>
      </w:r>
      <w:r>
        <w:rPr>
          <w:rStyle w:val="Zadanifontodlomka"/>
          <w:sz w:val="21"/>
          <w:szCs w:val="21"/>
        </w:rPr>
        <w:t xml:space="preserve">lanka 71. st. 3. Zakona o pomorskom dobru i morskim lukama («Narodne novine» broj 83/23) i </w:t>
      </w:r>
      <w:r>
        <w:rPr>
          <w:rStyle w:val="Zadanifontodlomka"/>
          <w:rFonts w:eastAsia="TimesNewRoman;'Arial Unicode M"/>
          <w:sz w:val="21"/>
          <w:szCs w:val="21"/>
        </w:rPr>
        <w:t>č</w:t>
      </w:r>
      <w:r>
        <w:rPr>
          <w:rStyle w:val="Zadanifontodlomka"/>
          <w:sz w:val="21"/>
          <w:szCs w:val="21"/>
        </w:rPr>
        <w:t>lanka 50. Statuta Grada Buja ( „Službene novine Grada Buja“ broj 11/09, 05/11, 11/11, 03/13, 05/18, 04/21), Gradsko vije</w:t>
      </w:r>
      <w:r>
        <w:rPr>
          <w:rStyle w:val="Zadanifontodlomka"/>
          <w:rFonts w:eastAsia="TimesNewRoman;'Arial Unicode M"/>
          <w:sz w:val="21"/>
          <w:szCs w:val="21"/>
        </w:rPr>
        <w:t>ć</w:t>
      </w:r>
      <w:r>
        <w:rPr>
          <w:rStyle w:val="Zadanifontodlomka"/>
          <w:sz w:val="21"/>
          <w:szCs w:val="21"/>
        </w:rPr>
        <w:t>e Grada Buja, na sjednici održanoj dana 16.04.2024. godine, donosi:</w:t>
      </w:r>
    </w:p>
    <w:p>
      <w:pPr>
        <w:pStyle w:val="Normal"/>
        <w:autoSpaceDE w:val="false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autoSpaceDE w:val="false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autoSpaceDE w:val="false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autoSpaceDE w:val="false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O D L U K U</w:t>
      </w:r>
    </w:p>
    <w:p>
      <w:pPr>
        <w:pStyle w:val="Normal"/>
        <w:autoSpaceDE w:val="false"/>
        <w:jc w:val="center"/>
        <w:rPr/>
      </w:pPr>
      <w:r>
        <w:rPr>
          <w:rStyle w:val="Zadanifontodlomka"/>
          <w:b/>
          <w:bCs/>
          <w:sz w:val="21"/>
          <w:szCs w:val="21"/>
        </w:rPr>
        <w:t>o izboru najpovoljnijeg ponuditelja u postupku dodjele dozvole na pomorskom dobru</w:t>
      </w:r>
    </w:p>
    <w:p>
      <w:pPr>
        <w:pStyle w:val="Normal"/>
        <w:autoSpaceDE w:val="false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</w:r>
    </w:p>
    <w:p>
      <w:pPr>
        <w:pStyle w:val="Normal"/>
        <w:autoSpaceDE w:val="false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</w:r>
    </w:p>
    <w:p>
      <w:pPr>
        <w:pStyle w:val="Normal"/>
        <w:autoSpaceDE w:val="false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</w:r>
    </w:p>
    <w:p>
      <w:pPr>
        <w:pStyle w:val="Normal"/>
        <w:autoSpaceDE w:val="false"/>
        <w:jc w:val="center"/>
        <w:rPr/>
      </w:pPr>
      <w:r>
        <w:rPr>
          <w:rStyle w:val="Zadanifontodlomka"/>
          <w:rFonts w:eastAsia="TimesNewRoman;Bold"/>
          <w:b/>
          <w:bCs/>
          <w:sz w:val="21"/>
          <w:szCs w:val="21"/>
        </w:rPr>
        <w:t>Č</w:t>
      </w:r>
      <w:r>
        <w:rPr>
          <w:rStyle w:val="Zadanifontodlomka"/>
          <w:b/>
          <w:bCs/>
          <w:sz w:val="21"/>
          <w:szCs w:val="21"/>
        </w:rPr>
        <w:t>lanak 1.</w:t>
      </w:r>
    </w:p>
    <w:p>
      <w:pPr>
        <w:pStyle w:val="Normal"/>
        <w:autoSpaceDE w:val="false"/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>Na temelju zaprimljenih ponuda na javnom natječaju utvrđuju se najpovoljniji ponuditelji kako slijedi:</w:t>
      </w:r>
    </w:p>
    <w:p>
      <w:pPr>
        <w:pStyle w:val="Normal"/>
        <w:spacing w:lineRule="atLeast" w:line="0" w:before="0" w:after="120"/>
        <w:jc w:val="both"/>
        <w:rPr>
          <w:rFonts w:eastAsia="Arial" w:cs="Arial"/>
          <w:b/>
          <w:sz w:val="20"/>
          <w:szCs w:val="20"/>
        </w:rPr>
      </w:pPr>
      <w:r>
        <w:rPr>
          <w:rFonts w:eastAsia="Arial" w:cs="Arial"/>
          <w:b/>
          <w:sz w:val="20"/>
          <w:szCs w:val="20"/>
        </w:rPr>
      </w:r>
    </w:p>
    <w:p>
      <w:pPr>
        <w:pStyle w:val="Normal"/>
        <w:spacing w:lineRule="atLeast" w:line="0" w:before="0" w:after="120"/>
        <w:jc w:val="both"/>
        <w:rPr/>
      </w:pPr>
      <w:r>
        <w:rPr>
          <w:rStyle w:val="Zadanifontodlomka"/>
          <w:rFonts w:eastAsia="Arial" w:cs="Arial"/>
          <w:b/>
          <w:sz w:val="20"/>
          <w:szCs w:val="20"/>
        </w:rPr>
        <w:t xml:space="preserve">a) </w:t>
      </w:r>
      <w:r>
        <w:rPr>
          <w:rStyle w:val="Zadanifontodlomka"/>
          <w:rFonts w:eastAsia="Calibri"/>
          <w:b/>
          <w:kern w:val="0"/>
          <w:sz w:val="20"/>
          <w:szCs w:val="20"/>
          <w:lang w:eastAsia="en-US"/>
        </w:rPr>
        <w:t>MK2A, MK2B, MK2C (suncobrani, ležaljke)</w:t>
      </w:r>
    </w:p>
    <w:tbl>
      <w:tblPr>
        <w:tblW w:w="8685" w:type="dxa"/>
        <w:jc w:val="start"/>
        <w:tblInd w:w="28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4710"/>
        <w:gridCol w:w="3975"/>
      </w:tblGrid>
      <w:tr>
        <w:trPr>
          <w:trHeight w:val="263" w:hRule="atLeast"/>
        </w:trPr>
        <w:tc>
          <w:tcPr>
            <w:tcW w:w="471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lineRule="atLeast" w:line="0" w:before="0" w:after="200"/>
              <w:ind w:start="100"/>
              <w:rPr>
                <w:rFonts w:eastAsia="Arial" w:cs="Arial"/>
                <w:b/>
                <w:bCs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sz w:val="20"/>
                <w:szCs w:val="20"/>
              </w:rPr>
              <w:t>PONUDITELJ</w:t>
            </w:r>
          </w:p>
        </w:tc>
        <w:tc>
          <w:tcPr>
            <w:tcW w:w="397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lineRule="atLeast" w:line="0" w:before="0" w:after="200"/>
              <w:ind w:start="80"/>
              <w:rPr>
                <w:rFonts w:eastAsia="Arial" w:cs="Arial"/>
                <w:b/>
                <w:bCs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sz w:val="20"/>
                <w:szCs w:val="20"/>
              </w:rPr>
              <w:t>BODOVI</w:t>
            </w:r>
          </w:p>
        </w:tc>
      </w:tr>
      <w:tr>
        <w:trPr>
          <w:trHeight w:val="243" w:hRule="atLeast"/>
        </w:trPr>
        <w:tc>
          <w:tcPr>
            <w:tcW w:w="4710" w:type="dxa"/>
            <w:tcBorders>
              <w:star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pacing w:lineRule="atLeast" w:line="0" w:before="0" w:after="120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Obrt SPORT KANEGRA, obrt za turizam i ribarstvo, vl. Ivica Štefić, Umag, Juricani, Kranceti 68C</w:t>
            </w:r>
          </w:p>
        </w:tc>
        <w:tc>
          <w:tcPr>
            <w:tcW w:w="3975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3" w:before="0" w:after="200"/>
              <w:ind w:start="8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100 bodova</w:t>
            </w:r>
          </w:p>
        </w:tc>
      </w:tr>
    </w:tbl>
    <w:p>
      <w:pPr>
        <w:pStyle w:val="Normal"/>
        <w:tabs>
          <w:tab w:val="clear" w:pos="708"/>
        </w:tabs>
        <w:spacing w:lineRule="auto" w:line="228" w:before="0" w:after="120"/>
        <w:ind w:start="9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</w:r>
    </w:p>
    <w:p>
      <w:pPr>
        <w:pStyle w:val="Normal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b) MK1 ( Kiosk, montažni objekt do 12 m2 i sl. sa pripadajućom terasom)</w:t>
      </w:r>
    </w:p>
    <w:p>
      <w:pPr>
        <w:pStyle w:val="Normal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tblW w:w="8625" w:type="dxa"/>
        <w:jc w:val="start"/>
        <w:tblInd w:w="88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4650"/>
        <w:gridCol w:w="3975"/>
      </w:tblGrid>
      <w:tr>
        <w:trPr>
          <w:trHeight w:val="263" w:hRule="atLeast"/>
        </w:trPr>
        <w:tc>
          <w:tcPr>
            <w:tcW w:w="465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lineRule="atLeast" w:line="0" w:before="0" w:after="200"/>
              <w:ind w:start="100"/>
              <w:rPr>
                <w:rFonts w:eastAsia="Arial" w:cs="Arial"/>
                <w:b/>
                <w:bCs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sz w:val="20"/>
                <w:szCs w:val="20"/>
              </w:rPr>
              <w:t>PONUDITELJ</w:t>
            </w:r>
          </w:p>
        </w:tc>
        <w:tc>
          <w:tcPr>
            <w:tcW w:w="397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</w:tabs>
              <w:spacing w:lineRule="atLeast" w:line="0" w:before="0" w:after="200"/>
              <w:ind w:start="80"/>
              <w:rPr>
                <w:rFonts w:eastAsia="Arial" w:cs="Arial"/>
                <w:b/>
                <w:bCs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sz w:val="20"/>
                <w:szCs w:val="20"/>
              </w:rPr>
              <w:t>BODOVI</w:t>
            </w:r>
          </w:p>
        </w:tc>
      </w:tr>
      <w:tr>
        <w:trPr>
          <w:trHeight w:val="243" w:hRule="atLeast"/>
        </w:trPr>
        <w:tc>
          <w:tcPr>
            <w:tcW w:w="4650" w:type="dxa"/>
            <w:tcBorders>
              <w:star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pacing w:lineRule="atLeast" w:line="0" w:before="0" w:after="120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Obrt za ugostiteljstvo „Buje“ vl. Abduli Đelal, Trg J.B.Tita 11, Buje  </w:t>
            </w:r>
          </w:p>
        </w:tc>
        <w:tc>
          <w:tcPr>
            <w:tcW w:w="3975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3" w:before="0" w:after="200"/>
              <w:ind w:start="8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100 bodova</w:t>
            </w:r>
          </w:p>
        </w:tc>
      </w:tr>
    </w:tbl>
    <w:p>
      <w:pPr>
        <w:pStyle w:val="Normal"/>
        <w:autoSpaceDE w:val="false"/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autoSpaceDE w:val="false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autoSpaceDE w:val="false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Članak 2.</w:t>
      </w:r>
    </w:p>
    <w:p>
      <w:pPr>
        <w:pStyle w:val="Normal"/>
        <w:autoSpaceDE w:val="false"/>
        <w:rPr/>
      </w:pPr>
      <w:r>
        <w:rPr>
          <w:rStyle w:val="Zadanifontodlomka"/>
          <w:b/>
          <w:bCs/>
          <w:sz w:val="21"/>
          <w:szCs w:val="21"/>
        </w:rPr>
        <w:tab/>
      </w:r>
      <w:r>
        <w:rPr>
          <w:rStyle w:val="Zadanifontodlomka"/>
          <w:sz w:val="21"/>
          <w:szCs w:val="21"/>
        </w:rPr>
        <w:t>Ova Odluka stupa na snagu prvog dana od dana objave u Službenim novinama Grada.</w:t>
      </w:r>
    </w:p>
    <w:p>
      <w:pPr>
        <w:pStyle w:val="Normal"/>
        <w:autoSpaceDE w:val="false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autoSpaceDE w:val="false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autoSpaceDE w:val="false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autoSpaceDE w:val="false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autoSpaceDE w:val="false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autoSpaceDE w:val="false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autoSpaceDE w:val="false"/>
        <w:rPr>
          <w:sz w:val="21"/>
          <w:szCs w:val="21"/>
        </w:rPr>
      </w:pPr>
      <w:r>
        <w:rPr>
          <w:sz w:val="21"/>
          <w:szCs w:val="21"/>
        </w:rPr>
        <w:t>KLASA:342-02/24-01/02</w:t>
      </w:r>
    </w:p>
    <w:p>
      <w:pPr>
        <w:pStyle w:val="Normal"/>
        <w:autoSpaceDE w:val="false"/>
        <w:rPr>
          <w:sz w:val="21"/>
          <w:szCs w:val="21"/>
        </w:rPr>
      </w:pPr>
      <w:r>
        <w:rPr>
          <w:sz w:val="21"/>
          <w:szCs w:val="21"/>
        </w:rPr>
        <w:t>URBROJ:2163-2-02-24-9</w:t>
      </w:r>
    </w:p>
    <w:p>
      <w:pPr>
        <w:pStyle w:val="Normal"/>
        <w:autoSpaceDE w:val="false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Buje, 16.04.2024.         </w:t>
      </w:r>
    </w:p>
    <w:p>
      <w:pPr>
        <w:pStyle w:val="Normal"/>
        <w:autoSpaceDE w:val="false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autoSpaceDE w:val="false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autoSpaceDE w:val="false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autoSpaceDE w:val="false"/>
        <w:jc w:val="center"/>
        <w:rPr>
          <w:sz w:val="21"/>
          <w:szCs w:val="21"/>
        </w:rPr>
      </w:pPr>
      <w:r>
        <w:rPr>
          <w:sz w:val="21"/>
          <w:szCs w:val="21"/>
        </w:rPr>
        <w:t>GRADSKO VIJEĆE</w:t>
      </w:r>
    </w:p>
    <w:p>
      <w:pPr>
        <w:pStyle w:val="Normal"/>
        <w:autoSpaceDE w:val="false"/>
        <w:jc w:val="center"/>
        <w:rPr>
          <w:sz w:val="21"/>
          <w:szCs w:val="21"/>
        </w:rPr>
      </w:pPr>
      <w:r>
        <w:rPr>
          <w:sz w:val="21"/>
          <w:szCs w:val="21"/>
        </w:rPr>
        <w:t>Predsjednik</w:t>
      </w:r>
    </w:p>
    <w:p>
      <w:pPr>
        <w:pStyle w:val="Normal"/>
        <w:autoSpaceDE w:val="false"/>
        <w:jc w:val="center"/>
        <w:rPr>
          <w:sz w:val="21"/>
          <w:szCs w:val="21"/>
        </w:rPr>
      </w:pPr>
      <w:r>
        <w:rPr>
          <w:sz w:val="21"/>
          <w:szCs w:val="21"/>
        </w:rPr>
        <w:t>Franko Gergorić, v.r.</w:t>
      </w:r>
    </w:p>
    <w:p>
      <w:pPr>
        <w:pStyle w:val="Normal"/>
        <w:autoSpaceDE w:val="false"/>
        <w:jc w:val="center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autoSpaceDE w:val="false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sectPr>
      <w:footerReference w:type="default" r:id="rId2"/>
      <w:type w:val="nextPage"/>
      <w:pgSz w:w="11906" w:h="16838"/>
      <w:pgMar w:left="1417" w:right="1417" w:gutter="0" w:header="0" w:top="720" w:footer="708" w:bottom="141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Wingdings">
    <w:charset w:val="02"/>
    <w:family w:val="auto"/>
    <w:pitch w:val="variable"/>
  </w:font>
  <w:font w:name="Courier New">
    <w:charset w:val="ee" w:characterSet="windows-1250"/>
    <w:family w:val="modern"/>
    <w:pitch w:val="fixed"/>
  </w:font>
  <w:font w:name="Liberation Sans">
    <w:altName w:val="Arial"/>
    <w:charset w:val="ee" w:characterSet="windows-125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end="36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9685"/>
              <wp:effectExtent l="0" t="0" r="0" b="0"/>
              <wp:wrapSquare wrapText="bothSides"/>
              <wp:docPr id="1" name="Okvir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9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-0;width:1.15pt;height:1.55pt;mso-wrap-distance-left:0pt;mso-wrap-distance-right:0pt;mso-wrap-distance-top:0pt;mso-wrap-distance-bottom:0pt;margin-top:0.05pt;mso-position-vertical-relative:text;margin-left:226.25pt;mso-position-horizontal:center;mso-position-horizontal-relative:margin">
              <v:textbox inset="0in,0in,0in,0in">
                <w:txbxContent>
                  <w:p>
                    <w:pPr>
                      <w:pStyle w:val="Footer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pStyle w:val="Naslov4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star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bidi="ar-SA" w:val="hr-HR" w:eastAsia="zh-CN"/>
    </w:rPr>
  </w:style>
  <w:style w:type="character" w:styleId="Zadanifontodlomka">
    <w:name w:val="Zadani font odlomka"/>
    <w:qFormat/>
    <w:rPr/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Symbol" w:hAnsi="Symbol" w:eastAsia="Symbol" w:cs="Symbol"/>
    </w:rPr>
  </w:style>
  <w:style w:type="character" w:styleId="WW8Num1z2">
    <w:name w:val="WW8Num1z2"/>
    <w:qFormat/>
    <w:rPr>
      <w:rFonts w:ascii="Wingdings" w:hAnsi="Wingdings" w:eastAsia="Wingdings" w:cs="Wingdings"/>
    </w:rPr>
  </w:style>
  <w:style w:type="character" w:styleId="WW8Num1z4">
    <w:name w:val="WW8Num1z4"/>
    <w:qFormat/>
    <w:rPr>
      <w:rFonts w:ascii="Courier New" w:hAnsi="Courier New" w:eastAsia="Courier New" w:cs="Courier New"/>
    </w:rPr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1">
    <w:name w:val="WW8Num2z1"/>
    <w:qFormat/>
    <w:rPr>
      <w:rFonts w:ascii="Courier New" w:hAnsi="Courier New" w:eastAsia="Courier New" w:cs="Courier New"/>
    </w:rPr>
  </w:style>
  <w:style w:type="character" w:styleId="WW8Num2z2">
    <w:name w:val="WW8Num2z2"/>
    <w:qFormat/>
    <w:rPr>
      <w:rFonts w:ascii="Wingdings" w:hAnsi="Wingdings" w:eastAsia="Wingdings" w:cs="Wingdings"/>
    </w:rPr>
  </w:style>
  <w:style w:type="character" w:styleId="WW8Num2z3">
    <w:name w:val="WW8Num2z3"/>
    <w:qFormat/>
    <w:rPr>
      <w:rFonts w:ascii="Symbol" w:hAnsi="Symbol" w:eastAsia="Symbol" w:cs="Symbol"/>
    </w:rPr>
  </w:style>
  <w:style w:type="character" w:styleId="WW8Num3z0">
    <w:name w:val="WW8Num3z0"/>
    <w:qFormat/>
    <w:rPr>
      <w:rFonts w:ascii="Symbol" w:hAnsi="Symbol" w:eastAsia="Symbol" w:cs="Symbol"/>
    </w:rPr>
  </w:style>
  <w:style w:type="character" w:styleId="WW8Num3z1">
    <w:name w:val="WW8Num3z1"/>
    <w:qFormat/>
    <w:rPr>
      <w:rFonts w:ascii="Times New Roman" w:hAnsi="Times New Roman" w:eastAsia="Times New Roman" w:cs="Times New Roman"/>
    </w:rPr>
  </w:style>
  <w:style w:type="character" w:styleId="WW8Num3z4">
    <w:name w:val="WW8Num3z4"/>
    <w:qFormat/>
    <w:rPr>
      <w:rFonts w:ascii="Courier New" w:hAnsi="Courier New" w:eastAsia="Courier New" w:cs="Courier New"/>
    </w:rPr>
  </w:style>
  <w:style w:type="character" w:styleId="WW8Num3z5">
    <w:name w:val="WW8Num3z5"/>
    <w:qFormat/>
    <w:rPr>
      <w:rFonts w:ascii="Wingdings" w:hAnsi="Wingdings" w:eastAsia="Wingdings" w:cs="Wingdings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Symbol" w:hAnsi="Symbol" w:eastAsia="Symbol" w:cs="Symbol"/>
    </w:rPr>
  </w:style>
  <w:style w:type="character" w:styleId="WW8Num5z1">
    <w:name w:val="WW8Num5z1"/>
    <w:qFormat/>
    <w:rPr>
      <w:rFonts w:ascii="Courier New" w:hAnsi="Courier New" w:eastAsia="Courier New" w:cs="Courier New"/>
    </w:rPr>
  </w:style>
  <w:style w:type="character" w:styleId="WW8Num5z2">
    <w:name w:val="WW8Num5z2"/>
    <w:qFormat/>
    <w:rPr>
      <w:rFonts w:ascii="Wingdings" w:hAnsi="Wingdings" w:eastAsia="Wingdings" w:cs="Wingdings"/>
    </w:rPr>
  </w:style>
  <w:style w:type="character" w:styleId="PageNumber">
    <w:name w:val="Page Number"/>
    <w:basedOn w:val="Zadanifontodlomka"/>
    <w:rPr/>
  </w:style>
  <w:style w:type="character" w:styleId="Hyperlink">
    <w:name w:val="Hyperlink"/>
    <w:basedOn w:val="Zadanifontodlomka"/>
    <w:rPr>
      <w:color w:val="0000FF"/>
      <w:u w:val="single"/>
    </w:rPr>
  </w:style>
  <w:style w:type="character" w:styleId="WWCharLFO1LVL1">
    <w:name w:val="WW_CharLFO1LVL1"/>
    <w:qFormat/>
    <w:rPr>
      <w:rFonts w:ascii="Times New Roman" w:hAnsi="Times New Roman" w:eastAsia="Times New Roman" w:cs="Times New Roman"/>
    </w:rPr>
  </w:style>
  <w:style w:type="character" w:styleId="WWCharLFO1LVL2">
    <w:name w:val="WW_CharLFO1LVL2"/>
    <w:qFormat/>
    <w:rPr>
      <w:rFonts w:ascii="Symbol" w:hAnsi="Symbol" w:cs="Symbol"/>
    </w:rPr>
  </w:style>
  <w:style w:type="character" w:styleId="WWCharLFO1LVL3">
    <w:name w:val="WW_CharLFO1LVL3"/>
    <w:qFormat/>
    <w:rPr>
      <w:rFonts w:ascii="Wingdings" w:hAnsi="Wingdings" w:cs="Wingdings"/>
    </w:rPr>
  </w:style>
  <w:style w:type="character" w:styleId="WWCharLFO1LVL4">
    <w:name w:val="WW_CharLFO1LVL4"/>
    <w:qFormat/>
    <w:rPr>
      <w:rFonts w:ascii="Symbol" w:hAnsi="Symbol" w:cs="Symbol"/>
    </w:rPr>
  </w:style>
  <w:style w:type="character" w:styleId="WWCharLFO1LVL5">
    <w:name w:val="WW_CharLFO1LVL5"/>
    <w:qFormat/>
    <w:rPr>
      <w:rFonts w:ascii="Courier New" w:hAnsi="Courier New" w:cs="Courier New"/>
    </w:rPr>
  </w:style>
  <w:style w:type="character" w:styleId="WWCharLFO1LVL6">
    <w:name w:val="WW_CharLFO1LVL6"/>
    <w:qFormat/>
    <w:rPr>
      <w:rFonts w:ascii="Wingdings" w:hAnsi="Wingdings" w:cs="Wingdings"/>
    </w:rPr>
  </w:style>
  <w:style w:type="character" w:styleId="WWCharLFO1LVL7">
    <w:name w:val="WW_CharLFO1LVL7"/>
    <w:qFormat/>
    <w:rPr>
      <w:rFonts w:ascii="Symbol" w:hAnsi="Symbol" w:cs="Symbol"/>
    </w:rPr>
  </w:style>
  <w:style w:type="character" w:styleId="WWCharLFO1LVL8">
    <w:name w:val="WW_CharLFO1LVL8"/>
    <w:qFormat/>
    <w:rPr>
      <w:rFonts w:ascii="Courier New" w:hAnsi="Courier New" w:cs="Courier New"/>
    </w:rPr>
  </w:style>
  <w:style w:type="character" w:styleId="WWCharLFO1LVL9">
    <w:name w:val="WW_CharLFO1LVL9"/>
    <w:qFormat/>
    <w:rPr>
      <w:rFonts w:ascii="Wingdings" w:hAnsi="Wingdings" w:cs="Wingdings"/>
    </w:rPr>
  </w:style>
  <w:style w:type="character" w:styleId="WWCharLFO2LVL1">
    <w:name w:val="WW_CharLFO2LVL1"/>
    <w:qFormat/>
    <w:rPr>
      <w:rFonts w:ascii="Times New Roman" w:hAnsi="Times New Roman" w:eastAsia="Times New Roman" w:cs="Times New Roman"/>
    </w:rPr>
  </w:style>
  <w:style w:type="character" w:styleId="WWCharLFO2LVL2">
    <w:name w:val="WW_CharLFO2LVL2"/>
    <w:qFormat/>
    <w:rPr>
      <w:rFonts w:ascii="Courier New" w:hAnsi="Courier New" w:cs="Courier New"/>
    </w:rPr>
  </w:style>
  <w:style w:type="character" w:styleId="WWCharLFO2LVL3">
    <w:name w:val="WW_CharLFO2LVL3"/>
    <w:qFormat/>
    <w:rPr>
      <w:rFonts w:ascii="Wingdings" w:hAnsi="Wingdings" w:cs="Wingdings"/>
    </w:rPr>
  </w:style>
  <w:style w:type="character" w:styleId="WWCharLFO2LVL4">
    <w:name w:val="WW_CharLFO2LVL4"/>
    <w:qFormat/>
    <w:rPr>
      <w:rFonts w:ascii="Symbol" w:hAnsi="Symbol" w:cs="Symbol"/>
    </w:rPr>
  </w:style>
  <w:style w:type="character" w:styleId="WWCharLFO2LVL5">
    <w:name w:val="WW_CharLFO2LVL5"/>
    <w:qFormat/>
    <w:rPr>
      <w:rFonts w:ascii="Courier New" w:hAnsi="Courier New" w:cs="Courier New"/>
    </w:rPr>
  </w:style>
  <w:style w:type="character" w:styleId="WWCharLFO2LVL6">
    <w:name w:val="WW_CharLFO2LVL6"/>
    <w:qFormat/>
    <w:rPr>
      <w:rFonts w:ascii="Wingdings" w:hAnsi="Wingdings" w:cs="Wingdings"/>
    </w:rPr>
  </w:style>
  <w:style w:type="character" w:styleId="WWCharLFO2LVL7">
    <w:name w:val="WW_CharLFO2LVL7"/>
    <w:qFormat/>
    <w:rPr>
      <w:rFonts w:ascii="Symbol" w:hAnsi="Symbol" w:cs="Symbol"/>
    </w:rPr>
  </w:style>
  <w:style w:type="character" w:styleId="WWCharLFO2LVL8">
    <w:name w:val="WW_CharLFO2LVL8"/>
    <w:qFormat/>
    <w:rPr>
      <w:rFonts w:ascii="Courier New" w:hAnsi="Courier New" w:cs="Courier New"/>
    </w:rPr>
  </w:style>
  <w:style w:type="character" w:styleId="WWCharLFO2LVL9">
    <w:name w:val="WW_CharLFO2LVL9"/>
    <w:qFormat/>
    <w:rPr>
      <w:rFonts w:ascii="Wingdings" w:hAnsi="Wingdings" w:cs="Wingdings"/>
    </w:rPr>
  </w:style>
  <w:style w:type="character" w:styleId="WWCharLFO3LVL1">
    <w:name w:val="WW_CharLFO3LVL1"/>
    <w:qFormat/>
    <w:rPr>
      <w:rFonts w:ascii="Symbol" w:hAnsi="Symbol" w:cs="Symbol"/>
    </w:rPr>
  </w:style>
  <w:style w:type="character" w:styleId="WWCharLFO3LVL2">
    <w:name w:val="WW_CharLFO3LVL2"/>
    <w:qFormat/>
    <w:rPr>
      <w:rFonts w:ascii="Times New Roman" w:hAnsi="Times New Roman" w:eastAsia="Times New Roman" w:cs="Times New Roman"/>
    </w:rPr>
  </w:style>
  <w:style w:type="character" w:styleId="WWCharLFO3LVL3">
    <w:name w:val="WW_CharLFO3LVL3"/>
    <w:qFormat/>
    <w:rPr>
      <w:rFonts w:ascii="Symbol" w:hAnsi="Symbol" w:cs="Symbol"/>
    </w:rPr>
  </w:style>
  <w:style w:type="character" w:styleId="WWCharLFO3LVL4">
    <w:name w:val="WW_CharLFO3LVL4"/>
    <w:qFormat/>
    <w:rPr>
      <w:rFonts w:ascii="Symbol" w:hAnsi="Symbol" w:cs="Symbol"/>
    </w:rPr>
  </w:style>
  <w:style w:type="character" w:styleId="WWCharLFO3LVL5">
    <w:name w:val="WW_CharLFO3LVL5"/>
    <w:qFormat/>
    <w:rPr>
      <w:rFonts w:ascii="Courier New" w:hAnsi="Courier New" w:cs="Courier New"/>
    </w:rPr>
  </w:style>
  <w:style w:type="character" w:styleId="WWCharLFO3LVL6">
    <w:name w:val="WW_CharLFO3LVL6"/>
    <w:qFormat/>
    <w:rPr>
      <w:rFonts w:ascii="Wingdings" w:hAnsi="Wingdings" w:cs="Wingdings"/>
    </w:rPr>
  </w:style>
  <w:style w:type="character" w:styleId="WWCharLFO3LVL7">
    <w:name w:val="WW_CharLFO3LVL7"/>
    <w:qFormat/>
    <w:rPr>
      <w:rFonts w:ascii="Symbol" w:hAnsi="Symbol" w:cs="Symbol"/>
    </w:rPr>
  </w:style>
  <w:style w:type="character" w:styleId="WWCharLFO3LVL8">
    <w:name w:val="WW_CharLFO3LVL8"/>
    <w:qFormat/>
    <w:rPr>
      <w:rFonts w:ascii="Courier New" w:hAnsi="Courier New" w:cs="Courier New"/>
    </w:rPr>
  </w:style>
  <w:style w:type="character" w:styleId="WWCharLFO3LVL9">
    <w:name w:val="WW_CharLFO3LVL9"/>
    <w:qFormat/>
    <w:rPr>
      <w:rFonts w:ascii="Wingdings" w:hAnsi="Wingdings" w:cs="Wingdings"/>
    </w:rPr>
  </w:style>
  <w:style w:type="character" w:styleId="WWCharLFO5LVL1">
    <w:name w:val="WW_CharLFO5LVL1"/>
    <w:qFormat/>
    <w:rPr>
      <w:rFonts w:ascii="Symbol" w:hAnsi="Symbol" w:cs="Symbol"/>
    </w:rPr>
  </w:style>
  <w:style w:type="character" w:styleId="WWCharLFO5LVL2">
    <w:name w:val="WW_CharLFO5LVL2"/>
    <w:qFormat/>
    <w:rPr>
      <w:rFonts w:ascii="Courier New" w:hAnsi="Courier New" w:cs="Courier New"/>
    </w:rPr>
  </w:style>
  <w:style w:type="character" w:styleId="WWCharLFO5LVL3">
    <w:name w:val="WW_CharLFO5LVL3"/>
    <w:qFormat/>
    <w:rPr>
      <w:rFonts w:ascii="Wingdings" w:hAnsi="Wingdings" w:cs="Wingdings"/>
    </w:rPr>
  </w:style>
  <w:style w:type="character" w:styleId="WWCharLFO5LVL4">
    <w:name w:val="WW_CharLFO5LVL4"/>
    <w:qFormat/>
    <w:rPr>
      <w:rFonts w:ascii="Symbol" w:hAnsi="Symbol" w:cs="Symbol"/>
    </w:rPr>
  </w:style>
  <w:style w:type="character" w:styleId="WWCharLFO5LVL5">
    <w:name w:val="WW_CharLFO5LVL5"/>
    <w:qFormat/>
    <w:rPr>
      <w:rFonts w:ascii="Courier New" w:hAnsi="Courier New" w:cs="Courier New"/>
    </w:rPr>
  </w:style>
  <w:style w:type="character" w:styleId="WWCharLFO5LVL6">
    <w:name w:val="WW_CharLFO5LVL6"/>
    <w:qFormat/>
    <w:rPr>
      <w:rFonts w:ascii="Wingdings" w:hAnsi="Wingdings" w:cs="Wingdings"/>
    </w:rPr>
  </w:style>
  <w:style w:type="character" w:styleId="WWCharLFO5LVL7">
    <w:name w:val="WW_CharLFO5LVL7"/>
    <w:qFormat/>
    <w:rPr>
      <w:rFonts w:ascii="Symbol" w:hAnsi="Symbol" w:cs="Symbol"/>
    </w:rPr>
  </w:style>
  <w:style w:type="character" w:styleId="WWCharLFO5LVL8">
    <w:name w:val="WW_CharLFO5LVL8"/>
    <w:qFormat/>
    <w:rPr>
      <w:rFonts w:ascii="Courier New" w:hAnsi="Courier New" w:cs="Courier New"/>
    </w:rPr>
  </w:style>
  <w:style w:type="character" w:styleId="WWCharLFO5LVL9">
    <w:name w:val="WW_CharLFO5LVL9"/>
    <w:qFormat/>
    <w:rPr>
      <w:rFonts w:ascii="Wingdings" w:hAnsi="Wingdings" w:cs="Wingdings"/>
    </w:rPr>
  </w:style>
  <w:style w:type="paragraph" w:styleId="Naslov4">
    <w:name w:val="Naslov 4"/>
    <w:basedOn w:val="Normal"/>
    <w:next w:val="BodyText"/>
    <w:qFormat/>
    <w:pPr>
      <w:numPr>
        <w:ilvl w:val="3"/>
        <w:numId w:val="1"/>
      </w:numPr>
      <w:suppressAutoHyphens w:val="true"/>
      <w:spacing w:before="280" w:after="280"/>
      <w:outlineLvl w:val="3"/>
    </w:pPr>
    <w:rPr>
      <w:b/>
      <w:bCs/>
    </w:rPr>
  </w:style>
  <w:style w:type="paragraph" w:styleId="Normal1">
    <w:name w:val="Normal1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start"/>
    </w:pPr>
    <w:rPr>
      <w:rFonts w:ascii="Liberation Serif" w:hAnsi="Liberation Serif" w:eastAsia="N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hr-HR" w:eastAsia="zh-CN" w:bidi="hi-IN"/>
    </w:rPr>
  </w:style>
  <w:style w:type="paragraph" w:styleId="Stilnaslova">
    <w:name w:val="Stil naslova"/>
    <w:basedOn w:val="Normal"/>
    <w:next w:val="BodyText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List">
    <w:name w:val="List"/>
    <w:basedOn w:val="BodyText"/>
    <w:pPr>
      <w:suppressAutoHyphens w:val="true"/>
    </w:pPr>
    <w:rPr>
      <w:rFonts w:cs="Arial"/>
    </w:rPr>
  </w:style>
  <w:style w:type="paragraph" w:styleId="Opisslike">
    <w:name w:val="Opis slike"/>
    <w:basedOn w:val="Normal"/>
    <w:qFormat/>
    <w:pPr>
      <w:suppressLineNumbers/>
      <w:suppressAutoHyphens w:val="true"/>
      <w:spacing w:before="120" w:after="120"/>
    </w:pPr>
    <w:rPr>
      <w:rFonts w:cs="Arial"/>
      <w:i/>
      <w:iCs/>
    </w:rPr>
  </w:style>
  <w:style w:type="paragraph" w:styleId="Indeks">
    <w:name w:val="Indeks"/>
    <w:basedOn w:val="Normal"/>
    <w:qFormat/>
    <w:pPr>
      <w:suppressLineNumbers/>
      <w:suppressAutoHyphens w:val="true"/>
    </w:pPr>
    <w:rPr>
      <w:rFonts w:cs="Arial"/>
    </w:rPr>
  </w:style>
  <w:style w:type="paragraph" w:styleId="Zaglavljeipodnoje">
    <w:name w:val="Zaglavlje i podnožje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  <w:suppressAutoHyphens w:val="true"/>
    </w:pPr>
    <w:rPr/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  <w:suppressAutoHyphens w:val="true"/>
    </w:pPr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  <w:suppressAutoHyphens w:val="true"/>
    </w:pPr>
    <w:rPr/>
  </w:style>
  <w:style w:type="paragraph" w:styleId="Default">
    <w:name w:val="Default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 w:before="0" w:after="0"/>
      <w:jc w:val="star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bidi="ar-SA" w:val="hr-HR" w:eastAsia="zh-CN"/>
    </w:rPr>
  </w:style>
  <w:style w:type="paragraph" w:styleId="Doc">
    <w:name w:val="doc"/>
    <w:basedOn w:val="Normal"/>
    <w:qFormat/>
    <w:pPr>
      <w:suppressAutoHyphens w:val="true"/>
      <w:spacing w:before="280" w:after="280"/>
    </w:pPr>
    <w:rPr/>
  </w:style>
  <w:style w:type="paragraph" w:styleId="Docline">
    <w:name w:val="doc_line"/>
    <w:basedOn w:val="Normal"/>
    <w:qFormat/>
    <w:pPr>
      <w:suppressAutoHyphens w:val="true"/>
      <w:spacing w:before="280" w:after="280"/>
    </w:pPr>
    <w:rPr/>
  </w:style>
  <w:style w:type="paragraph" w:styleId="Sadrajokvira">
    <w:name w:val="Sadržaj okvira"/>
    <w:basedOn w:val="Normal"/>
    <w:qFormat/>
    <w:pPr>
      <w:suppressAutoHyphens w:val="true"/>
    </w:pPr>
    <w:rPr/>
  </w:style>
  <w:style w:type="paragraph" w:styleId="Sadrajitablice">
    <w:name w:val="Sadržaji tablice"/>
    <w:basedOn w:val="Normal"/>
    <w:qFormat/>
    <w:pPr>
      <w:suppressLineNumbers/>
      <w:suppressAutoHyphens w:val="true"/>
    </w:pPr>
    <w:rPr/>
  </w:style>
  <w:style w:type="paragraph" w:styleId="Naslovtablice">
    <w:name w:val="Naslov tablice"/>
    <w:basedOn w:val="Sadrajitablice"/>
    <w:qFormat/>
    <w:pPr>
      <w:suppressAutoHyphens w:val="true"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LibreOffice/7.6.2.1$Windows_X86_64 LibreOffice_project/56f7684011345957bbf33a7ee678afaf4d2ba333</Application>
  <AppVersion>15.0000</AppVersion>
  <Pages>1</Pages>
  <Words>160</Words>
  <Characters>918</Characters>
  <CharactersWithSpaces>1076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2024-10-22T08:16:00Z</dcterms:created>
  <dc:creator>Grad Buje-Buie</dc:creator>
  <dc:description/>
  <dc:language>hr-HR</dc:language>
  <cp:lastModifiedBy>Lara Valenta</cp:lastModifiedBy>
  <cp:lastPrinted>2024-04-18T10:35:00Z</cp:lastPrinted>
  <dcterms:modified xsi:type="dcterms:W3CDTF">2024-10-22T10:05:00Z</dcterms:modified>
  <cp:revision>3</cp:revision>
  <dc:subject/>
  <dc:title>                                                                                                                                   </dc:title>
</cp:coreProperties>
</file>