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PRIJEDLOG</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Na temelju članka 5. stavka 1. točke 6. Zakona o sigurnosti prometa na cestama (NN 67/08, 48/10, 74/11, 80/13, 158/13, 92/14, 64/15, 108/17, 70/19, 42/20, 85/22, 114/22, 133/23) i članka 50. Statuta Grada Buja-Buie ( „Službene novine Grada Buja“ broj 11/09, 05/11, 11/11, 03/13, 05/18, 04/21) te dobivene prethodne suglasnosti – Rješenje PU Istarske, Broj: _____________, Gradsko vijeće Grada Buja-Buie na sjednici održanoj dana  __________ godine donosi</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center"/>
        <w:rPr>
          <w:rFonts w:ascii="Times New Roman" w:hAnsi="Times New Roman" w:eastAsia="Calibri" w:cs="Times New Roman"/>
          <w:b/>
          <w:b/>
          <w:bCs/>
        </w:rPr>
      </w:pPr>
      <w:r>
        <w:rPr>
          <w:rFonts w:eastAsia="Calibri" w:cs="Times New Roman" w:ascii="Times New Roman" w:hAnsi="Times New Roman"/>
          <w:b/>
          <w:bCs/>
        </w:rPr>
        <w:t>O D L U K U</w:t>
      </w:r>
    </w:p>
    <w:p>
      <w:pPr>
        <w:pStyle w:val="Normal"/>
        <w:spacing w:lineRule="auto" w:line="240" w:before="0" w:after="0"/>
        <w:jc w:val="center"/>
        <w:rPr>
          <w:rFonts w:ascii="Times New Roman" w:hAnsi="Times New Roman" w:eastAsia="Calibri" w:cs="Times New Roman"/>
          <w:b/>
          <w:b/>
          <w:bCs/>
        </w:rPr>
      </w:pPr>
      <w:r>
        <w:rPr>
          <w:rFonts w:eastAsia="Calibri" w:cs="Times New Roman" w:ascii="Times New Roman" w:hAnsi="Times New Roman"/>
          <w:b/>
        </w:rPr>
        <w:t>O ORGANIZACIJI PARKIRANJA NA JAVNIM PARKIRALIŠTIMA GRADA BUJA</w:t>
      </w:r>
      <w:r>
        <w:rPr>
          <w:rFonts w:eastAsia="Calibri" w:cs="Times New Roman" w:ascii="Times New Roman" w:hAnsi="Times New Roman"/>
          <w:b/>
          <w:bCs/>
        </w:rPr>
        <w:t xml:space="preserve"> -BUIE</w:t>
      </w:r>
    </w:p>
    <w:p>
      <w:pPr>
        <w:pStyle w:val="Normal"/>
        <w:spacing w:lineRule="auto" w:line="240" w:before="0" w:after="0"/>
        <w:jc w:val="center"/>
        <w:rPr>
          <w:rFonts w:ascii="Times New Roman" w:hAnsi="Times New Roman" w:eastAsia="Calibri" w:cs="Times New Roman"/>
          <w:bCs/>
        </w:rPr>
      </w:pPr>
      <w:r>
        <w:rPr>
          <w:rFonts w:eastAsia="Calibri" w:cs="Times New Roman" w:ascii="Times New Roman" w:hAnsi="Times New Roman"/>
          <w:bCs/>
        </w:rPr>
      </w:r>
    </w:p>
    <w:p>
      <w:pPr>
        <w:pStyle w:val="Normal"/>
        <w:spacing w:lineRule="auto" w:line="240" w:before="0" w:after="0"/>
        <w:jc w:val="center"/>
        <w:rPr>
          <w:rFonts w:ascii="Times New Roman" w:hAnsi="Times New Roman" w:eastAsia="Calibri" w:cs="Times New Roman"/>
          <w:bCs/>
        </w:rPr>
      </w:pPr>
      <w:r>
        <w:rPr>
          <w:rFonts w:eastAsia="Calibri" w:cs="Times New Roman" w:ascii="Times New Roman" w:hAnsi="Times New Roman"/>
          <w:bCs/>
        </w:rPr>
      </w:r>
    </w:p>
    <w:p>
      <w:pPr>
        <w:pStyle w:val="Normal"/>
        <w:spacing w:lineRule="auto" w:line="240" w:before="0" w:after="0"/>
        <w:jc w:val="center"/>
        <w:rPr>
          <w:rFonts w:ascii="Times New Roman" w:hAnsi="Times New Roman" w:eastAsia="Calibri" w:cs="Times New Roman"/>
          <w:bCs/>
        </w:rPr>
      </w:pPr>
      <w:r>
        <w:rPr>
          <w:rFonts w:eastAsia="Calibri" w:cs="Times New Roman" w:ascii="Times New Roman" w:hAnsi="Times New Roman"/>
          <w:bCs/>
        </w:rPr>
      </w:r>
    </w:p>
    <w:p>
      <w:pPr>
        <w:pStyle w:val="Normal"/>
        <w:spacing w:lineRule="auto" w:line="240" w:before="0" w:after="0"/>
        <w:rPr>
          <w:rFonts w:ascii="Times New Roman" w:hAnsi="Times New Roman" w:eastAsia="Calibri" w:cs="Times New Roman"/>
          <w:b/>
          <w:b/>
        </w:rPr>
      </w:pPr>
      <w:r>
        <w:rPr>
          <w:rFonts w:eastAsia="Calibri" w:cs="Times New Roman" w:ascii="Times New Roman" w:hAnsi="Times New Roman"/>
          <w:b/>
        </w:rPr>
        <w:t xml:space="preserve">I. OPĆE ODREDBE </w:t>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t>Članak 1.</w:t>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Ovom se Odlukom određuju parkirališne površine (u daljnjem tekstu: javna parkirališta), te utvrđuje organizacija parkiranja vozila na javnim parkiralištima na području Grada Buja-Buie.</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Uslužnu komunalnu djelatnost parkiranja na javnim parkiralištima obavlja trgovačko društvo CIVITAS BULLEARUM d.o.o., Trg Josipa Broza Tita 10, Buje, OIB 83947266567.</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Opće uvjete i cijenu usluge parkiranja utvrđuje CIVITAS BULLEARUM d.o.o., Trg Josipa Broza Tita 10, Buje, OIB 83947266567, (dalje u tekstu: Upravitelj) sukladno odredbama zakona koji uređuje komunalno gospodarstvo.</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t>Članak 2.</w:t>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r>
      <w:r>
        <w:rPr>
          <w:rFonts w:eastAsia="Calibri" w:cs="Times New Roman" w:ascii="Times New Roman" w:hAnsi="Times New Roman"/>
          <w:highlight w:val="yellow"/>
        </w:rPr>
        <w:t>Pojedini izrazi u smislu ove Odluke imaju sljedeća značenja:</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i w:val="false"/>
          <w:iCs w:val="false"/>
          <w:highlight w:val="yellow"/>
        </w:rPr>
        <w:t xml:space="preserve">1. </w:t>
      </w:r>
      <w:r>
        <w:rPr>
          <w:rFonts w:eastAsia="Calibri" w:cs="Times New Roman" w:ascii="Times New Roman" w:hAnsi="Times New Roman"/>
          <w:i/>
          <w:iCs/>
          <w:highlight w:val="yellow"/>
        </w:rPr>
        <w:t>„javno parkiralište”</w:t>
      </w:r>
      <w:r>
        <w:rPr>
          <w:rFonts w:eastAsia="Calibri" w:cs="Times New Roman" w:ascii="Times New Roman" w:hAnsi="Times New Roman"/>
          <w:highlight w:val="yellow"/>
        </w:rPr>
        <w:t xml:space="preserve"> je svaka javna površina koje se koristi za parkiranje motornih vozila i/ili drugih cestovnih vozila s pripadajućom opremom sa  ili bez naplate parkiranja, </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highlight w:val="yellow"/>
        </w:rPr>
        <w:t xml:space="preserve">2. </w:t>
      </w:r>
      <w:r>
        <w:rPr>
          <w:rFonts w:eastAsia="Calibri" w:cs="Times New Roman" w:ascii="Times New Roman" w:hAnsi="Times New Roman"/>
          <w:i/>
          <w:iCs/>
          <w:highlight w:val="yellow"/>
        </w:rPr>
        <w:t xml:space="preserve">„javno parkiralište u starogradskoj jezgri” </w:t>
      </w:r>
      <w:r>
        <w:rPr>
          <w:rFonts w:eastAsia="Calibri" w:cs="Times New Roman" w:ascii="Times New Roman" w:hAnsi="Times New Roman"/>
          <w:i w:val="false"/>
          <w:iCs w:val="false"/>
          <w:highlight w:val="yellow"/>
        </w:rPr>
        <w:t>je zatvoreno javno parkiralište sa sustavom ulazno-izlaznih terminala,</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i w:val="false"/>
          <w:iCs w:val="false"/>
          <w:highlight w:val="yellow"/>
        </w:rPr>
        <w:t xml:space="preserve">3. </w:t>
      </w:r>
      <w:r>
        <w:rPr>
          <w:rFonts w:eastAsia="Calibri" w:cs="Times New Roman" w:ascii="Times New Roman" w:hAnsi="Times New Roman"/>
          <w:i/>
          <w:iCs/>
          <w:highlight w:val="yellow"/>
        </w:rPr>
        <w:t>„kartica pogodnosti”</w:t>
      </w:r>
      <w:r>
        <w:rPr>
          <w:rFonts w:eastAsia="Calibri" w:cs="Times New Roman" w:ascii="Times New Roman" w:hAnsi="Times New Roman"/>
          <w:i w:val="false"/>
          <w:iCs w:val="false"/>
          <w:highlight w:val="yellow"/>
        </w:rPr>
        <w:t xml:space="preserve"> je mjera za zadržavanje i privlačenje ljudskih resursa u javnim zdravstvenim i socijalnim ustanovama Istarske županije, </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i w:val="false"/>
          <w:iCs w:val="false"/>
          <w:highlight w:val="yellow"/>
        </w:rPr>
        <w:t xml:space="preserve">4. </w:t>
      </w:r>
      <w:r>
        <w:rPr>
          <w:rFonts w:eastAsia="Calibri" w:cs="Times New Roman" w:ascii="Times New Roman" w:hAnsi="Times New Roman"/>
          <w:i/>
          <w:iCs/>
          <w:highlight w:val="yellow"/>
        </w:rPr>
        <w:t>„moped”</w:t>
      </w:r>
      <w:r>
        <w:rPr>
          <w:rFonts w:eastAsia="Calibri" w:cs="Times New Roman" w:ascii="Times New Roman" w:hAnsi="Times New Roman"/>
          <w:i w:val="false"/>
          <w:iCs w:val="false"/>
          <w:highlight w:val="yellow"/>
        </w:rPr>
        <w:t xml:space="preserve"> je motorno vozilo s dva ili tri kotača čiji radni obujam benzinskog motora nije veći od 50 cm3 ili čija trajna snaga u slučaju elektromotora ne prelazi 4kW i koje na ravnoj cesti ne može razviti brzinu veću od 45 km na sat,</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i w:val="false"/>
          <w:iCs w:val="false"/>
          <w:highlight w:val="yellow"/>
        </w:rPr>
        <w:t xml:space="preserve">5. </w:t>
      </w:r>
      <w:r>
        <w:rPr>
          <w:rFonts w:eastAsia="Calibri" w:cs="Times New Roman" w:ascii="Times New Roman" w:hAnsi="Times New Roman"/>
          <w:i/>
          <w:iCs/>
          <w:highlight w:val="yellow"/>
        </w:rPr>
        <w:t>„motocikl”</w:t>
      </w:r>
      <w:r>
        <w:rPr>
          <w:rFonts w:eastAsia="Calibri" w:cs="Times New Roman" w:ascii="Times New Roman" w:hAnsi="Times New Roman"/>
          <w:i w:val="false"/>
          <w:iCs w:val="false"/>
          <w:highlight w:val="yellow"/>
        </w:rPr>
        <w:t xml:space="preserve"> je motorno vozilo s dva kotača čiji je radni obujam motora veći od 50 cm3 s bočnom prikolicom, ili bez nje i/ili koje na ravnoj cesti može razviti brzinu veću od 45 km/h,</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i w:val="false"/>
          <w:iCs w:val="false"/>
          <w:highlight w:val="yellow"/>
        </w:rPr>
        <w:t>6. „</w:t>
      </w:r>
      <w:r>
        <w:rPr>
          <w:rFonts w:eastAsia="Calibri" w:cs="Times New Roman" w:ascii="Times New Roman" w:hAnsi="Times New Roman"/>
          <w:i/>
          <w:iCs/>
          <w:highlight w:val="yellow"/>
        </w:rPr>
        <w:t>motorni tricikl</w:t>
      </w:r>
      <w:r>
        <w:rPr>
          <w:rFonts w:eastAsia="Calibri" w:cs="Times New Roman" w:ascii="Times New Roman" w:hAnsi="Times New Roman"/>
          <w:i w:val="false"/>
          <w:iCs w:val="false"/>
          <w:highlight w:val="yellow"/>
        </w:rPr>
        <w:t>” je motocikl na tri simetrično postavljena kotača čiji je radni obujam motora veći od 50 cm3 i/ili koji na ravnoj cesti može razviti brzinu veću od 45 km/h,</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i w:val="false"/>
          <w:iCs w:val="false"/>
          <w:highlight w:val="yellow"/>
        </w:rPr>
        <w:t xml:space="preserve">7. </w:t>
      </w:r>
      <w:r>
        <w:rPr>
          <w:rFonts w:eastAsia="Calibri" w:cs="Times New Roman" w:ascii="Times New Roman" w:hAnsi="Times New Roman"/>
          <w:i/>
          <w:iCs/>
          <w:highlight w:val="yellow"/>
        </w:rPr>
        <w:t>„laki četverocikl”</w:t>
      </w:r>
      <w:r>
        <w:rPr>
          <w:rFonts w:eastAsia="Calibri" w:cs="Times New Roman" w:ascii="Times New Roman" w:hAnsi="Times New Roman"/>
          <w:i w:val="false"/>
          <w:iCs w:val="false"/>
          <w:highlight w:val="yellow"/>
        </w:rPr>
        <w:t xml:space="preserve"> je motorno vozilo (moped) s četiri kotača čija masa praznog vozila bez baterija, ako se kreće na električni pogon, ne prelazi 350 kg, čiji radni obujam benzinskog motora nije veći od 50 cm3, čija najveća snaga ne prelazi 4 kW ukoliko se radi o drugoj vrsti motora i koje na ravnoj cesti ne može razviti brzinu veću od 45 km/h,</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i w:val="false"/>
          <w:iCs w:val="false"/>
          <w:highlight w:val="yellow"/>
        </w:rPr>
        <w:t xml:space="preserve">8. </w:t>
      </w:r>
      <w:r>
        <w:rPr>
          <w:rFonts w:eastAsia="Calibri" w:cs="Times New Roman" w:ascii="Times New Roman" w:hAnsi="Times New Roman"/>
          <w:i/>
          <w:iCs/>
          <w:highlight w:val="yellow"/>
        </w:rPr>
        <w:t>„četverocikl”</w:t>
      </w:r>
      <w:r>
        <w:rPr>
          <w:rFonts w:eastAsia="Calibri" w:cs="Times New Roman" w:ascii="Times New Roman" w:hAnsi="Times New Roman"/>
          <w:i w:val="false"/>
          <w:iCs w:val="false"/>
          <w:highlight w:val="yellow"/>
        </w:rPr>
        <w:t xml:space="preserve"> je motorno vozilo (motocikl) s četiri kotača, osim lakih četverocikala, čija masa praznog vozila bez baterija, ako se kreće na električni pogon, ne prelazi 400 kg ako je vozilo namijenjeno za prijevoz osoba, odnosno 550 kg ako je vozilo namijenjeno za prijevoz tereta i čija snaga motora nije veća od 15 kW,</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i w:val="false"/>
          <w:iCs w:val="false"/>
          <w:highlight w:val="yellow"/>
        </w:rPr>
        <w:t xml:space="preserve">9. </w:t>
      </w:r>
      <w:r>
        <w:rPr>
          <w:rFonts w:eastAsia="Calibri" w:cs="Times New Roman" w:ascii="Times New Roman" w:hAnsi="Times New Roman"/>
          <w:i/>
          <w:iCs/>
          <w:highlight w:val="yellow"/>
        </w:rPr>
        <w:t>„osobni automobil”</w:t>
      </w:r>
      <w:r>
        <w:rPr>
          <w:rFonts w:eastAsia="Calibri" w:cs="Times New Roman" w:ascii="Times New Roman" w:hAnsi="Times New Roman"/>
          <w:i w:val="false"/>
          <w:iCs w:val="false"/>
          <w:highlight w:val="yellow"/>
        </w:rPr>
        <w:t xml:space="preserve"> je motorno vozilo namijenjeno za prijevoz osoba koje, osim sjedala za vozača, ima najviše osam sjedala,</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i w:val="false"/>
          <w:iCs w:val="false"/>
          <w:highlight w:val="yellow"/>
        </w:rPr>
        <w:t xml:space="preserve">10. </w:t>
      </w:r>
      <w:r>
        <w:rPr>
          <w:rFonts w:eastAsia="Calibri" w:cs="Times New Roman" w:ascii="Times New Roman" w:hAnsi="Times New Roman"/>
          <w:i/>
          <w:iCs/>
          <w:highlight w:val="yellow"/>
        </w:rPr>
        <w:t>„zajedničko domaćinstvo”</w:t>
      </w:r>
      <w:r>
        <w:rPr>
          <w:rFonts w:eastAsia="Calibri" w:cs="Times New Roman" w:ascii="Times New Roman" w:hAnsi="Times New Roman"/>
          <w:i w:val="false"/>
          <w:iCs w:val="false"/>
          <w:highlight w:val="yellow"/>
        </w:rPr>
        <w:t xml:space="preserve"> </w:t>
      </w:r>
      <w:r>
        <w:rPr>
          <w:rFonts w:eastAsia="Calibri" w:cs="Times New Roman" w:ascii="Times New Roman" w:hAnsi="Times New Roman" w:eastAsiaTheme="minorHAnsi"/>
          <w:i w:val="false"/>
          <w:iCs w:val="false"/>
          <w:color w:val="000000"/>
          <w:kern w:val="0"/>
          <w:sz w:val="22"/>
          <w:szCs w:val="22"/>
          <w:highlight w:val="yellow"/>
          <w:lang w:val="hr-HR" w:eastAsia="en-US" w:bidi="ar-SA"/>
        </w:rPr>
        <w:t>čine</w:t>
      </w:r>
      <w:r>
        <w:rPr>
          <w:rFonts w:eastAsia="Calibri" w:cs="Times New Roman" w:ascii="Times New Roman" w:hAnsi="Times New Roman"/>
          <w:i w:val="false"/>
          <w:iCs w:val="false"/>
          <w:highlight w:val="yellow"/>
        </w:rPr>
        <w:t xml:space="preserve"> bračni drug, izvanbračni drug, formalni životni partner, neformalni životni partner, potomak, roditelj i osobe koje je podnositelj zahtjeva ili član domaćinstva prema zakonu dužan uzdržavati, a koji su  prijavljeni na istoj adresi prebivališta kao i </w:t>
      </w:r>
      <w:r>
        <w:rPr>
          <w:rFonts w:eastAsia="Calibri" w:cs="Times New Roman" w:ascii="Times New Roman" w:hAnsi="Times New Roman" w:eastAsiaTheme="minorHAnsi"/>
          <w:i w:val="false"/>
          <w:iCs w:val="false"/>
          <w:color w:val="000000"/>
          <w:kern w:val="0"/>
          <w:sz w:val="22"/>
          <w:szCs w:val="22"/>
          <w:highlight w:val="yellow"/>
          <w:lang w:val="hr-HR" w:eastAsia="en-US" w:bidi="ar-SA"/>
        </w:rPr>
        <w:t>podnositelj zahtjeva.</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t>Članak 3.</w:t>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Usluga parkiranja na javnim parkiralištima pruža se sukladno propisima iz područja komunalnog gospodarstva.</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t>Članak 4.</w:t>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Javno parkiralište s naplatom može biti stalno ili privremeno, zatvoreno, ulično ili izvanulično.</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Stalna javna parkirališta s naplatom su parkirališta na kojima se parkiranje naplaćuje tijekom cijele kalendarske godine.</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Privremena javna parkirališta s naplatom su parkirališta sezonskog tipa, parkirališta na kojima se parkiranje naplaćuje tijekom privremene regulacije prometa, određenih manifestacija i slično.</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Zatvorena parkirališta su parkirališta sa automatskom, poluautomatskom ili ručnom kontrolom ulaza i/ili izlaza, odnosno parkirališta sa sustavom ulazno-izlaznih terminala.</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Ulična javna parkirališta s naplatom su parkirališta posebno označena horizontalnom i vertikalnom signalizacijom na kolniku i nogostupu u skladu s propisima o sigurnosti prometa te tehničkom dokumentacijom.</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Izvanulična javna parkirališta s naplatom su parkirališta koja se nalaze izvan kolnika, a označena su vertikalnom i horizontalnom signalizacijom u skladu s ovom Odlukom i prostorno su definirana.</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Izvanulična i zatvorena javna parkirališta s naplatom mogu biti asfaltirana i neasfaltirana.</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t>Članak 5.</w:t>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Javna parkirališta moraju biti označena prometnom signalizacijom u skladu s propisima o sigurnosti prometa.</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Javna parkirališta s naplatom moraju imati oznaku zone, dopuštenog trajanja parkiranja, vremena naplate parkiranja i visinu naknada za parkiranje.</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t>Članak 6.</w:t>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ab/>
        <w:t>Javna parkirališta s naplatom svrstavaju se u parkirališne zone.</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Parkiranje na javnom parkiralištu s naplatom može biti vremenski ograničeno ili neograničeno u okviru vremena naplate parkiranja.</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Vrijeme naplate parkiranja može se odrediti kao dio jednog kalendarskog dana ili u punom trajanju jednog kalendarskog dana.</w:t>
      </w:r>
    </w:p>
    <w:p>
      <w:pPr>
        <w:pStyle w:val="Normal"/>
        <w:spacing w:lineRule="auto" w:line="240" w:before="0" w:after="0"/>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t>Članak 7.</w:t>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r>
      <w:r>
        <w:rPr>
          <w:rFonts w:eastAsia="Calibri" w:cs="Times New Roman" w:ascii="Times New Roman" w:hAnsi="Times New Roman" w:eastAsiaTheme="minorHAnsi"/>
          <w:highlight w:val="yellow"/>
        </w:rPr>
        <w:t>Za stanare ulica na području zona u kojima se naplaćuje parkiranje (osim starogradske jezgre), fizičke osobe koje obavljaju gospodarsku djelatnost i koje imaju sjedište unutar tog područja i pravne osobe koje imaju sjedište unutar tog područja i u ulicama A. Babić, G. Verdi, A. Manzoni, Fontana Carara, Trg Slobode, 1. Svibnja, Umaška cesta, Klesarska, Stanična i Digitronska ulica mogu se uvesti povlašteni uvjeti parkiranja u pogledu vremenskog ograničenja trajanja parkiranja i cijene.</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 xml:space="preserve">Za korištenje javnih parkirališta s naplatom po povlaštenim uvjetima koristi se povlaštena parkirna karta. </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Povlaštena parkirna karta (u daljnjem tekstu: povlaštena karta) vrijedi za parkirališnu zonu i za vremensko razdoblje za koju je izdana.</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t>Članak 8.</w:t>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r>
      <w:r>
        <w:rPr>
          <w:rFonts w:eastAsia="Calibri" w:cs="Times New Roman" w:ascii="Times New Roman" w:hAnsi="Times New Roman"/>
          <w:highlight w:val="yellow"/>
        </w:rPr>
        <w:t>Pravo na povlaštenu kartu ima fizička osoba (stanar) koja:</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highlight w:val="yellow"/>
        </w:rPr>
        <w:t>-</w:t>
        <w:tab/>
        <w:t xml:space="preserve">ima stambeni prostor na području na kojem se naplaćuje parkiranje i u ulicama A. Babić, G. Verdi, A. Manzoni, Fontana Carara, Trg Slobode, 1. Svibnja, Umaška cesta, Klesarska, Stanična i Digitronska ulica što dokazuje osobnom iskaznicom, boravišnom iskaznicom ili uvjerenjem Ministarstva unutarnjih poslova o </w:t>
      </w:r>
      <w:r>
        <w:rPr>
          <w:rFonts w:eastAsia="Calibri" w:cs="Times New Roman" w:ascii="Times New Roman" w:hAnsi="Times New Roman" w:eastAsiaTheme="minorHAnsi"/>
          <w:color w:val="000000"/>
          <w:kern w:val="0"/>
          <w:sz w:val="22"/>
          <w:szCs w:val="22"/>
          <w:highlight w:val="yellow"/>
          <w:lang w:val="hr-HR" w:eastAsia="en-US" w:bidi="ar-SA"/>
        </w:rPr>
        <w:t>prebivalištu</w:t>
      </w:r>
      <w:r>
        <w:rPr>
          <w:rFonts w:eastAsia="Calibri" w:cs="Times New Roman" w:ascii="Times New Roman" w:hAnsi="Times New Roman"/>
          <w:highlight w:val="yellow"/>
        </w:rPr>
        <w:t>;</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highlight w:val="yellow"/>
        </w:rPr>
        <w:t>-</w:t>
        <w:tab/>
        <w:t>ima vozilo registrirano na svoje ime, što dokazuje valjanom prometnom dozvolom,</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Fizičkoj osobi iz stavaka 1. može se izdati samo jedna povlaštena karta.</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r>
      <w:r>
        <w:rPr>
          <w:rFonts w:eastAsia="Calibri" w:cs="Times New Roman" w:ascii="Times New Roman" w:hAnsi="Times New Roman" w:eastAsiaTheme="minorHAnsi"/>
          <w:highlight w:val="yellow"/>
        </w:rPr>
        <w:t>Pravo na povlaštenu kartu ima fizička osoba koja obavlja gospodarsku djelatnost ili pravna osoba koja:</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eastAsiaTheme="minorHAnsi"/>
          <w:highlight w:val="yellow"/>
        </w:rPr>
        <w:t>-</w:t>
        <w:tab/>
        <w:t>koristi poslovni prostor na području na kojem se naplaćuje parkiranje (osim starogradske jezgre) i u ulicama A. Babić, G. Verdi, A. Manzoni, Fontana Carara, Trg Slobode, 1. Svibnja, Umaška cesta, Klesarska, Stanična i Digitronska ulica što dokazuje ugovorom o zakupu, odnosno izvatkom iz zemljišnih knjiga o vlasništvu poslovnog prostora;</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w:t>
        <w:tab/>
        <w:t>ima vozilo registrirano na ime pravne osobe iz ovog stavka,  što dokazuje valjanom prometnom dozvolom.</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Osobi iz stavaka 2. može se izdati najviše tri povlaštene karte.</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r>
      <w:r>
        <w:rPr>
          <w:rFonts w:eastAsia="Calibri" w:cs="Times New Roman" w:ascii="Times New Roman" w:hAnsi="Times New Roman" w:eastAsiaTheme="minorHAnsi"/>
          <w:highlight w:val="yellow"/>
        </w:rPr>
        <w:t>Pravo na povlaštenu kartu ima fizička osoba zaposlena u pravnoj osobi ili javnoj ustanovi sa sjedištem na području na kojem se naplaćuje parkiranje (osim starogradske jezgre) i u ulicama A. Babić, G. Verdi, A. Manzoni, Fontana Carara, Trg Slobode, 1. Svibnja, Umaška cesta, Klesarska, Stanična i Digitronska ulica za što kao dokaz prilaže potvrdu poslodavca. Pravo na povlaštenu kartu ostvaruje samo za jedno motorno vozilo.</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Povlaštena karta vrijedi dok fizička, odnosno pravna osoba ispunjava uvjete iz prethodnih stavaka ovoga članka.</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r>
      <w:r>
        <w:rPr>
          <w:rFonts w:eastAsia="Calibri" w:cs="Times New Roman" w:ascii="Times New Roman" w:hAnsi="Times New Roman" w:eastAsiaTheme="minorHAnsi"/>
          <w:highlight w:val="yellow"/>
        </w:rPr>
        <w:t>Pravo na parkirnu kartu za starogradsku jezgru, samo za osobna vozila, mopede, motocikle i motorne tricikle, imaju pravne i fizičke osobe  koje:</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eastAsiaTheme="minorHAnsi"/>
          <w:highlight w:val="yellow"/>
        </w:rPr>
        <w:t>-</w:t>
        <w:tab/>
        <w:t>imaju prebivalište, stalni boravak ili dugotrajno boravište, odnosno sjedište unutar starogradske jezgre (unutar obuhvata ulazno-izlaznih terminala), što dokazuje osobnom iskaznicom, boravišnom iskaznicom ili uvjerenjem Ministarstva unutarnjih poslova o prebivalištu;</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eastAsiaTheme="minorHAnsi"/>
          <w:highlight w:val="yellow"/>
        </w:rPr>
        <w:t>-</w:t>
        <w:tab/>
        <w:t>imaju u vlasništvu ili najmu stambeni prostor (zajedničko domaćinstvo)</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eastAsiaTheme="minorHAnsi"/>
          <w:highlight w:val="yellow"/>
        </w:rPr>
        <w:t xml:space="preserve">- </w:t>
        <w:tab/>
        <w:t>imaju vozilo registrirano na svoje ime, što dokazuje valjanom prometnom dozvolom,</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eastAsiaTheme="minorHAnsi"/>
          <w:highlight w:val="yellow"/>
        </w:rPr>
        <w:t xml:space="preserve">- </w:t>
        <w:tab/>
        <w:t>rezident je RH (samo za osobe sa stalnim boravkom ili dugotrajnim boravištem)</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eastAsiaTheme="minorHAnsi"/>
          <w:highlight w:val="yellow"/>
        </w:rPr>
        <w:t>-</w:t>
        <w:tab/>
        <w:t>stambeni prostor nije oporezovan kao kuća za odmor.</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 xml:space="preserve">Unutar starogradske jezgre svako zajedničko domaćinstvo, odnosno fizička osoba koja obavlja gospodarsku djelatnost ili pravna osoba, imaju pravo na jednu parkirnu kartu po adresi </w:t>
      </w:r>
      <w:r>
        <w:rPr>
          <w:rFonts w:eastAsia="Calibri" w:cs="Times New Roman" w:ascii="Times New Roman" w:hAnsi="Times New Roman" w:eastAsiaTheme="minorHAnsi"/>
          <w:color w:val="auto"/>
          <w:kern w:val="0"/>
          <w:sz w:val="22"/>
          <w:szCs w:val="22"/>
          <w:lang w:val="hr-HR" w:eastAsia="en-US" w:bidi="ar-SA"/>
        </w:rPr>
        <w:t>prebivališta ili boravišta</w:t>
      </w:r>
      <w:r>
        <w:rPr>
          <w:rFonts w:eastAsia="Calibri" w:cs="Times New Roman" w:ascii="Times New Roman" w:hAnsi="Times New Roman"/>
        </w:rPr>
        <w:t xml:space="preserve"> odnosno sjedišta. </w:t>
      </w:r>
      <w:r>
        <w:rPr>
          <w:rFonts w:eastAsia="Calibri" w:cs="Times New Roman" w:ascii="Times New Roman" w:hAnsi="Times New Roman" w:eastAsiaTheme="minorHAnsi"/>
          <w:highlight w:val="yellow"/>
        </w:rPr>
        <w:t>Parkirna karta za starogradsku jezgru može se vezati na najviše 4 registarske oznake.</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Ukoliko se utvrdi da na području starogradske jezgre ima raspoloživih parkirnih mjesta može se odobriti dodatno još 1 parkirna karta za pojedino zajedničko domaćinstvo.</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Unutar starogradske jezgre mopede, motocikle i motorne tricikle nije dopušteno parkirati na parkirna mjesta namijenjena osobnim vozilima.</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r>
      <w:r>
        <w:rPr>
          <w:rFonts w:eastAsia="Calibri" w:cs="Times New Roman" w:ascii="Times New Roman" w:hAnsi="Times New Roman"/>
          <w:highlight w:val="yellow"/>
        </w:rPr>
        <w:t xml:space="preserve">Pravo pristupa starogradskoj jezgri, bez plaćanja cijene parkirne karte, imaju i </w:t>
      </w:r>
      <w:r>
        <w:rPr>
          <w:rFonts w:eastAsia="Calibri" w:cs="Times New Roman" w:ascii="Times New Roman" w:hAnsi="Times New Roman" w:eastAsiaTheme="minorHAnsi"/>
          <w:color w:val="000000"/>
          <w:kern w:val="0"/>
          <w:sz w:val="22"/>
          <w:szCs w:val="22"/>
          <w:highlight w:val="yellow"/>
          <w:lang w:val="hr-HR" w:eastAsia="en-US" w:bidi="ar-SA"/>
        </w:rPr>
        <w:t>fizičke i pravne osobe koje imaju prebivalište na području starogradske jezgre koje je pod sustavom ulazno-izlaznih terminala i koji imaju u vlasništvu objekt koji raspolaže garažom ili parkirališnom površinom unutar građevne čestice objekta, i to isključivo za osobna vozila, mopede, motocikle, motorne tricikle, lake četvorocikle i četvorocikle.</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t>Članak 9.</w:t>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Naplate parkiranja oslobođena su službena vozila MUP-a, hitne medicinske pomoći  i vatrogasna vozila, te vozila s međunarodnom oznakom za invalide na svim parkirnim mjestima označenim za osobe s invaliditetom.</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 xml:space="preserve">Pod istim uvjetima, a u slučaju zauzetosti parkirnih mjesta označenih za </w:t>
      </w:r>
      <w:r>
        <w:rPr>
          <w:rFonts w:eastAsia="Calibri" w:cs="Times New Roman" w:ascii="Times New Roman" w:hAnsi="Times New Roman" w:eastAsiaTheme="minorHAnsi"/>
          <w:color w:val="auto"/>
          <w:kern w:val="0"/>
          <w:sz w:val="22"/>
          <w:szCs w:val="22"/>
          <w:lang w:val="hr-HR" w:eastAsia="en-US" w:bidi="ar-SA"/>
        </w:rPr>
        <w:t>osobe s invaliditetom</w:t>
      </w:r>
      <w:r>
        <w:rPr>
          <w:rFonts w:eastAsia="Calibri" w:cs="Times New Roman" w:ascii="Times New Roman" w:hAnsi="Times New Roman"/>
        </w:rPr>
        <w:t>, vozila s posebnom oznakom oslobođena su naplate parkiranje na svim parkirnim mjestima na kojima se vrši naplata.</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 xml:space="preserve">Naplate parkiranja oslobođeni su liječnici sa ordinacijom na području Grada Buja-Buie i zdravstveni djelatnici patronažne službe. </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Naplate parkiranja za ulična parkirališta – Istarska ulica i Rudine oslobođeni su i nositelji prava iz kartice pogodnosti.</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ab/>
        <w:t>Odredbe stavaka 1., 2. i 3. ovog članka odnose se i na parkirališta unutar starogradske jezgre.</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r>
      <w:r>
        <w:rPr>
          <w:rFonts w:eastAsia="Calibri" w:cs="Times New Roman" w:ascii="Times New Roman" w:hAnsi="Times New Roman" w:eastAsiaTheme="minorHAnsi"/>
          <w:highlight w:val="yellow"/>
        </w:rPr>
        <w:t>Odredba stavaka  4. ovog članka odnosi se i na parkirališta unutar starogradske jezgre ukoliko ovlaštenik kartice pogodnosti ima prebivalište, stalni boravak ili dugotrajno boravište unutar starogradske jezgre.</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both"/>
        <w:rPr>
          <w:rFonts w:ascii="Times New Roman" w:hAnsi="Times New Roman" w:eastAsia="Calibri" w:cs="Times New Roman"/>
          <w:b/>
          <w:b/>
        </w:rPr>
      </w:pPr>
      <w:r>
        <w:rPr>
          <w:rFonts w:eastAsia="Calibri" w:cs="Times New Roman" w:ascii="Times New Roman" w:hAnsi="Times New Roman"/>
          <w:b/>
        </w:rPr>
        <w:t>II. LOKACIJE JAVNIH PARKIRALIŠTA I ZONE, VREMENSKO OGRANIČENJE TRAJANJA PARKIRANJA, VRIJEME NAPLATE PARKIRANJA NA PARKIRALIŠTIMA U SUSTAVU NAPLATE</w:t>
      </w:r>
    </w:p>
    <w:p>
      <w:pPr>
        <w:pStyle w:val="Normal"/>
        <w:spacing w:lineRule="auto" w:line="240" w:before="0" w:after="0"/>
        <w:jc w:val="both"/>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t>Članak 10.</w:t>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ab/>
        <w:t>Posebna, ulična, izvanulična, zatvorena i izvangradska javna parkirališta u sustavu naplate na području Grada Buja-Buia, shodno grafičkom prikazu u prilogu, nalaze se na slijedećim lokacijama:</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b/>
          <w:b/>
        </w:rPr>
      </w:pPr>
      <w:r>
        <w:rPr>
          <w:rFonts w:eastAsia="Calibri" w:cs="Times New Roman" w:ascii="Times New Roman" w:hAnsi="Times New Roman"/>
          <w:b/>
        </w:rPr>
        <w:t>1. ULIČNA PARKIRALIŠTA ( 1. ZONA )</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 xml:space="preserve">- Istarska ulica, Ulica Nikole Tesle, Trg J.B.Tita, Flavia, </w:t>
      </w:r>
      <w:r>
        <w:rPr>
          <w:rFonts w:eastAsia="Calibri" w:cs="Times New Roman" w:ascii="Times New Roman" w:hAnsi="Times New Roman"/>
          <w:color w:val="000000"/>
        </w:rPr>
        <w:t>Rudine (prema grafičkom prikazu)  i Digitronska ulica (prema grafičkom prikazu).</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b/>
          <w:b/>
        </w:rPr>
      </w:pPr>
      <w:r>
        <w:rPr>
          <w:rFonts w:eastAsia="Calibri" w:cs="Times New Roman" w:ascii="Times New Roman" w:hAnsi="Times New Roman"/>
          <w:b/>
        </w:rPr>
        <w:t>2. IZVANULIČNA PARKIRALIŠTA ( 1. ZONA )</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 Flavia</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ab/>
        <w:t xml:space="preserve">Pod </w:t>
      </w:r>
      <w:r>
        <w:rPr>
          <w:rFonts w:eastAsia="Calibri" w:cs="Times New Roman" w:ascii="Times New Roman" w:hAnsi="Times New Roman" w:eastAsiaTheme="minorHAnsi"/>
          <w:color w:val="auto"/>
          <w:kern w:val="0"/>
          <w:sz w:val="22"/>
          <w:szCs w:val="22"/>
          <w:lang w:val="hr-HR" w:eastAsia="en-US" w:bidi="ar-SA"/>
        </w:rPr>
        <w:t>sustavom ulazno-izlaznih terminala</w:t>
      </w:r>
      <w:r>
        <w:rPr>
          <w:rFonts w:eastAsia="Calibri" w:cs="Times New Roman" w:ascii="Times New Roman" w:hAnsi="Times New Roman"/>
        </w:rPr>
        <w:t xml:space="preserve"> nalaze se :</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b/>
          <w:b/>
        </w:rPr>
      </w:pPr>
      <w:r>
        <w:rPr>
          <w:rFonts w:eastAsia="Calibri" w:cs="Times New Roman" w:ascii="Times New Roman" w:hAnsi="Times New Roman"/>
          <w:b/>
        </w:rPr>
        <w:t>3. PARKIRALIŠTA UNUTAR STAROGRADSKE JEZGRE</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rPr>
        <w:tab/>
      </w:r>
      <w:r>
        <w:rPr>
          <w:rFonts w:eastAsia="Calibri" w:cs="Times New Roman" w:ascii="Times New Roman" w:hAnsi="Times New Roman"/>
        </w:rPr>
        <w:t>- U ULICAMA: S. Vardabasso, Belvedere, Prolaz stare uljare, G. Carducci, Tržni prolaz, Trg Sv. Martina, E. De Amicis te na drugim lokacijama gdje se ne ometa ili ugrožava odvijanje prometa.</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t>Članak 11.</w:t>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Na javnim parkiralištima u sustavu naplate i izvan naplate na području Grada Buja-Buia ne primjenjuje se vremensko ograničenje trajanja parkiranja.</w:t>
      </w:r>
    </w:p>
    <w:p>
      <w:pPr>
        <w:pStyle w:val="Normal"/>
        <w:spacing w:lineRule="auto" w:line="240" w:before="0" w:after="0"/>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t>Članak 12.</w:t>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ab/>
        <w:t xml:space="preserve">Vrijeme naplate parkiranja na javnim parkiralištima u sustavu naplate na području Grada Buja-Buia određuje se u razdoblju: </w:t>
      </w:r>
    </w:p>
    <w:p>
      <w:pPr>
        <w:pStyle w:val="Normal"/>
        <w:numPr>
          <w:ilvl w:val="0"/>
          <w:numId w:val="1"/>
        </w:numPr>
        <w:spacing w:lineRule="auto" w:line="240" w:before="0" w:after="0"/>
        <w:rPr>
          <w:rFonts w:ascii="Times New Roman" w:hAnsi="Times New Roman" w:eastAsia="Calibri" w:cs="Times New Roman"/>
        </w:rPr>
      </w:pPr>
      <w:r>
        <w:rPr>
          <w:rFonts w:eastAsia="Calibri" w:cs="Times New Roman" w:ascii="Times New Roman" w:hAnsi="Times New Roman"/>
        </w:rPr>
        <w:t xml:space="preserve">Ulična parkirališta i izvanulična parkirališta </w:t>
        <w:tab/>
        <w:tab/>
        <w:tab/>
        <w:t xml:space="preserve"> od 01.01. do 31.12.</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ab/>
        <w:t>Naknada za parkiranje na javnim parkiralištima u sustavu naplate na području Grada Buja-Buia naplaćuje se svakim radnim danom.</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ab/>
        <w:t>Naknada za parkiranje na javnim parkiralištima u sustavu naplate na području Grada Buja-Buia ne naplaćuje se subotom, nedjeljom i blagdanom.</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ab/>
        <w:t>Vrijeme naplate parkiranja na javnim parkiralištima u sustavu naplate na području Grada Buja-Buia utvrđuje se prema slijedećem:</w:t>
      </w:r>
    </w:p>
    <w:p>
      <w:pPr>
        <w:pStyle w:val="Normal"/>
        <w:numPr>
          <w:ilvl w:val="0"/>
          <w:numId w:val="1"/>
        </w:numPr>
        <w:spacing w:lineRule="auto" w:line="240" w:before="0" w:after="0"/>
        <w:rPr>
          <w:rFonts w:ascii="Times New Roman" w:hAnsi="Times New Roman" w:eastAsia="Calibri" w:cs="Times New Roman"/>
        </w:rPr>
      </w:pPr>
      <w:r>
        <w:rPr>
          <w:rFonts w:eastAsia="Calibri" w:cs="Times New Roman" w:ascii="Times New Roman" w:hAnsi="Times New Roman"/>
        </w:rPr>
        <w:t>Ulična i izvanulična parkirališta</w:t>
        <w:tab/>
        <w:tab/>
        <w:tab/>
        <w:tab/>
        <w:tab/>
        <w:t>od 07:00 do 17:00 sati</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 xml:space="preserve"> </w:t>
      </w:r>
      <w:r>
        <w:rPr>
          <w:rFonts w:eastAsia="Calibri" w:cs="Times New Roman" w:ascii="Times New Roman" w:hAnsi="Times New Roman"/>
        </w:rPr>
        <w:tab/>
        <w:t>Vrijeme i uvjeti naplate parkiranja moraju biti istaknuti na prometnom znaku.</w:t>
      </w:r>
    </w:p>
    <w:p>
      <w:pPr>
        <w:pStyle w:val="Normal"/>
        <w:spacing w:lineRule="auto" w:line="240" w:before="0" w:after="0"/>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ab/>
        <w:t>Nadzor parkiranja unutar starogradske provodi se cjelodnevno do 00.00 do 24.00 u razdoblju od 01.01 do 31.12., sve putem ulazno-izlaznih terminala“</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b/>
          <w:b/>
        </w:rPr>
      </w:pPr>
      <w:r>
        <w:rPr>
          <w:rFonts w:eastAsia="Calibri" w:cs="Times New Roman" w:ascii="Times New Roman" w:hAnsi="Times New Roman"/>
          <w:b/>
        </w:rPr>
        <w:t>III. PRIJELAZNE I ZAVRŠNE ODREDBE</w:t>
      </w:r>
    </w:p>
    <w:p>
      <w:pPr>
        <w:pStyle w:val="Normal"/>
        <w:spacing w:lineRule="auto" w:line="240" w:before="0" w:after="0"/>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t>Članak 13.</w:t>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Odredbe ove Odluke ne primjenjuju se na korištenje rezerviranih parkirališnih mjesta na javnim parkiralištima.</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t>Članak 14.</w:t>
      </w:r>
    </w:p>
    <w:p>
      <w:pPr>
        <w:pStyle w:val="Normal"/>
        <w:spacing w:lineRule="auto" w:line="240" w:before="0" w:after="0"/>
        <w:jc w:val="center"/>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tab/>
        <w:t xml:space="preserve">Ova Odluka stupa na snagu osmog dana od dana objave u Službenim novinama Grada Buja-Buie. </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r>
      <w:bookmarkStart w:id="0" w:name="_GoBack"/>
      <w:bookmarkStart w:id="1" w:name="_GoBack"/>
      <w:bookmarkEnd w:id="1"/>
    </w:p>
    <w:p>
      <w:pPr>
        <w:pStyle w:val="Normal"/>
        <w:spacing w:lineRule="auto" w:line="240" w:before="0" w:after="0"/>
        <w:rPr>
          <w:rFonts w:ascii="Times New Roman" w:hAnsi="Times New Roman" w:cs="Times New Roman"/>
        </w:rPr>
      </w:pPr>
      <w:r>
        <w:rPr>
          <w:rFonts w:cs="Times New Roman" w:ascii="Times New Roman" w:hAnsi="Times New Roman"/>
        </w:rPr>
        <w:t>Klasa:</w:t>
      </w:r>
      <w:r>
        <w:rPr>
          <w:rFonts w:cs="Times New Roman" w:ascii="Times New Roman" w:hAnsi="Times New Roman"/>
        </w:rPr>
        <w:t>363-01/24-01/78</w:t>
      </w:r>
      <w:r>
        <w:rPr>
          <w:rFonts w:cs="Times New Roman" w:ascii="Times New Roman" w:hAnsi="Times New Roman"/>
        </w:rPr>
        <w:tab/>
      </w:r>
    </w:p>
    <w:p>
      <w:pPr>
        <w:pStyle w:val="Normal"/>
        <w:spacing w:lineRule="auto" w:line="240" w:before="0" w:after="0"/>
        <w:rPr>
          <w:rFonts w:ascii="Times New Roman" w:hAnsi="Times New Roman" w:cs="Times New Roman"/>
        </w:rPr>
      </w:pPr>
      <w:r>
        <w:rPr>
          <w:rFonts w:cs="Times New Roman" w:ascii="Times New Roman" w:hAnsi="Times New Roman"/>
        </w:rPr>
        <w:t>Urbroj:</w:t>
        <w:tab/>
      </w:r>
      <w:r>
        <w:rPr>
          <w:rFonts w:cs="Times New Roman" w:ascii="Times New Roman" w:hAnsi="Times New Roman"/>
        </w:rPr>
        <w:t>2163-2-05/02-24-1</w:t>
      </w:r>
    </w:p>
    <w:p>
      <w:pPr>
        <w:pStyle w:val="Normal"/>
        <w:spacing w:lineRule="auto" w:line="240" w:before="0" w:after="0"/>
        <w:rPr>
          <w:rFonts w:ascii="Times New Roman" w:hAnsi="Times New Roman" w:cs="Times New Roman"/>
        </w:rPr>
      </w:pPr>
      <w:r>
        <w:rPr>
          <w:rFonts w:cs="Times New Roman" w:ascii="Times New Roman" w:hAnsi="Times New Roman"/>
        </w:rPr>
        <w:t xml:space="preserve">Buje, </w:t>
      </w:r>
      <w:r>
        <w:rPr>
          <w:rFonts w:cs="Times New Roman" w:ascii="Times New Roman" w:hAnsi="Times New Roman"/>
        </w:rPr>
        <w:t>23.07.2024.</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b/>
          <w:bCs/>
        </w:rPr>
        <w:t>GRADSKO VIJEĆE</w:t>
      </w:r>
    </w:p>
    <w:p>
      <w:pPr>
        <w:pStyle w:val="Normal"/>
        <w:jc w:val="center"/>
        <w:rPr>
          <w:rFonts w:ascii="Times New Roman" w:hAnsi="Times New Roman" w:cs="Times New Roman"/>
        </w:rPr>
      </w:pPr>
      <w:r>
        <w:rPr>
          <w:rFonts w:cs="Times New Roman" w:ascii="Times New Roman" w:hAnsi="Times New Roman"/>
          <w:b/>
          <w:bCs/>
        </w:rPr>
        <w:t>Predsjednik</w:t>
      </w:r>
    </w:p>
    <w:p>
      <w:pPr>
        <w:pStyle w:val="Normal"/>
        <w:jc w:val="center"/>
        <w:rPr>
          <w:rFonts w:ascii="Times New Roman" w:hAnsi="Times New Roman" w:cs="Times New Roman"/>
        </w:rPr>
      </w:pPr>
      <w:r>
        <w:rPr>
          <w:rFonts w:cs="Times New Roman" w:ascii="Times New Roman" w:hAnsi="Times New Roman"/>
        </w:rPr>
        <w:t>Franko Gergorić,</w:t>
      </w:r>
    </w:p>
    <w:p>
      <w:pPr>
        <w:pStyle w:val="Normal"/>
        <w:spacing w:before="0" w:after="200"/>
        <w:rPr>
          <w:rFonts w:ascii="Times New Roman" w:hAnsi="Times New Roman" w:cs="Times New Roman"/>
        </w:rPr>
      </w:pPr>
      <w:r>
        <w:rPr>
          <w:rFonts w:cs="Times New Roman" w:ascii="Times New Roman" w:hAnsi="Times New Roman"/>
        </w:rPr>
      </w:r>
    </w:p>
    <w:p>
      <w:pPr>
        <w:pStyle w:val="Normal"/>
        <w:spacing w:before="0" w:after="200"/>
        <w:rPr>
          <w:rFonts w:ascii="Times New Roman" w:hAnsi="Times New Roman" w:cs="Times New Roman"/>
        </w:rPr>
      </w:pPr>
      <w:r>
        <w:rPr>
          <w:rFonts w:cs="Times New Roman" w:ascii="Times New Roman" w:hAnsi="Times New Roman"/>
        </w:rPr>
      </w:r>
    </w:p>
    <w:p>
      <w:pPr>
        <w:pStyle w:val="Normal"/>
        <w:spacing w:before="0" w:after="200"/>
        <w:rPr>
          <w:rFonts w:ascii="Times New Roman" w:hAnsi="Times New Roman" w:cs="Times New Roman"/>
        </w:rPr>
      </w:pPr>
      <w:r>
        <w:rPr>
          <w:rFonts w:cs="Times New Roman" w:ascii="Times New Roman" w:hAnsi="Times New Roman"/>
        </w:rPr>
      </w:r>
    </w:p>
    <w:p>
      <w:pPr>
        <w:pStyle w:val="Normal"/>
        <w:spacing w:before="0" w:after="200"/>
        <w:rPr>
          <w:rFonts w:ascii="Times New Roman" w:hAnsi="Times New Roman" w:cs="Times New Roman"/>
        </w:rPr>
      </w:pPr>
      <w:r>
        <w:rPr>
          <w:rFonts w:cs="Times New Roman" w:ascii="Times New Roman" w:hAnsi="Times New Roman"/>
        </w:rPr>
      </w:r>
    </w:p>
    <w:p>
      <w:pPr>
        <w:pStyle w:val="Normal"/>
        <w:spacing w:before="0" w:after="200"/>
        <w:rPr>
          <w:rFonts w:ascii="Times New Roman" w:hAnsi="Times New Roman" w:cs="Times New Roman"/>
        </w:rPr>
      </w:pPr>
      <w:r>
        <w:rPr>
          <w:rFonts w:cs="Times New Roman" w:ascii="Times New Roman" w:hAnsi="Times New Roman"/>
        </w:rPr>
      </w:r>
    </w:p>
    <w:p>
      <w:pPr>
        <w:pStyle w:val="Normal"/>
        <w:spacing w:before="0" w:after="200"/>
        <w:rPr>
          <w:rFonts w:ascii="Times New Roman" w:hAnsi="Times New Roman" w:cs="Times New Roman"/>
        </w:rPr>
      </w:pPr>
      <w:r>
        <w:rPr>
          <w:rFonts w:cs="Times New Roman" w:ascii="Times New Roman" w:hAnsi="Times New Roman"/>
        </w:rPr>
      </w:r>
    </w:p>
    <w:p>
      <w:pPr>
        <w:pStyle w:val="Normal"/>
        <w:spacing w:before="0" w:after="200"/>
        <w:rPr>
          <w:rFonts w:ascii="Times New Roman" w:hAnsi="Times New Roman" w:cs="Times New Roman"/>
        </w:rPr>
      </w:pPr>
      <w:r>
        <w:rPr>
          <w:rFonts w:cs="Times New Roman" w:ascii="Times New Roman" w:hAnsi="Times New Roman"/>
        </w:rPr>
      </w:r>
    </w:p>
    <w:p>
      <w:pPr>
        <w:pStyle w:val="Normal"/>
        <w:spacing w:before="0" w:after="200"/>
        <w:rPr>
          <w:rFonts w:ascii="Times New Roman" w:hAnsi="Times New Roman" w:cs="Times New Roman"/>
        </w:rPr>
      </w:pPr>
      <w:r>
        <w:rPr>
          <w:rFonts w:cs="Times New Roman" w:ascii="Times New Roman" w:hAnsi="Times New Roman"/>
        </w:rPr>
      </w:r>
    </w:p>
    <w:p>
      <w:pPr>
        <w:pStyle w:val="Normal"/>
        <w:spacing w:before="0" w:after="200"/>
        <w:rPr>
          <w:rFonts w:ascii="Times New Roman" w:hAnsi="Times New Roman" w:cs="Times New Roman"/>
        </w:rPr>
      </w:pPr>
      <w:r>
        <w:rPr>
          <w:rFonts w:cs="Times New Roman" w:ascii="Times New Roman" w:hAnsi="Times New Roman"/>
        </w:rPr>
      </w:r>
    </w:p>
    <w:p>
      <w:pPr>
        <w:pStyle w:val="Normal"/>
        <w:spacing w:before="0" w:after="200"/>
        <w:rPr>
          <w:rFonts w:ascii="Times New Roman" w:hAnsi="Times New Roman" w:cs="Times New Roman"/>
        </w:rPr>
      </w:pPr>
      <w:r>
        <w:rPr>
          <w:rFonts w:cs="Times New Roman" w:ascii="Times New Roman" w:hAnsi="Times New Roman"/>
        </w:rPr>
      </w:r>
    </w:p>
    <w:p>
      <w:pPr>
        <w:pStyle w:val="Normal"/>
        <w:spacing w:before="0" w:after="200"/>
        <w:rPr>
          <w:rFonts w:ascii="Times New Roman" w:hAnsi="Times New Roman" w:cs="Times New Roman"/>
        </w:rPr>
      </w:pPr>
      <w:r>
        <w:rPr>
          <w:rFonts w:cs="Times New Roman" w:ascii="Times New Roman" w:hAnsi="Times New Roman"/>
        </w:rPr>
      </w:r>
    </w:p>
    <w:p>
      <w:pPr>
        <w:pStyle w:val="Normal"/>
        <w:spacing w:before="0" w:after="200"/>
        <w:rPr>
          <w:rFonts w:ascii="Times New Roman" w:hAnsi="Times New Roman" w:cs="Times New Roman"/>
        </w:rPr>
      </w:pPr>
      <w:r>
        <w:rPr>
          <w:rFonts w:cs="Times New Roman" w:ascii="Times New Roman" w:hAnsi="Times New Roman"/>
        </w:rPr>
      </w:r>
    </w:p>
    <w:p>
      <w:pPr>
        <w:pStyle w:val="Normal"/>
        <w:spacing w:before="0" w:after="200"/>
        <w:rPr>
          <w:rFonts w:ascii="Times New Roman" w:hAnsi="Times New Roman" w:cs="Times New Roman"/>
        </w:rPr>
      </w:pPr>
      <w:r>
        <w:rPr>
          <w:rFonts w:cs="Times New Roman" w:ascii="Times New Roman" w:hAnsi="Times New Roman"/>
        </w:rPr>
      </w:r>
    </w:p>
    <w:p>
      <w:pPr>
        <w:pStyle w:val="Normal"/>
        <w:spacing w:before="0" w:after="200"/>
        <w:jc w:val="both"/>
        <w:rPr>
          <w:rFonts w:ascii="Times New Roman" w:hAnsi="Times New Roman" w:cs="Times New Roman"/>
        </w:rPr>
      </w:pPr>
      <w:r>
        <w:rPr>
          <w:rFonts w:ascii="Times New Roman" w:hAnsi="Times New Roman"/>
          <w:b/>
          <w:bCs/>
          <w:sz w:val="24"/>
          <w:szCs w:val="24"/>
        </w:rPr>
        <w:t>OBRAZLOŽENJE</w:t>
      </w:r>
    </w:p>
    <w:p>
      <w:pPr>
        <w:pStyle w:val="Normal"/>
        <w:spacing w:before="0" w:after="200"/>
        <w:jc w:val="both"/>
        <w:rPr>
          <w:rFonts w:ascii="Times New Roman" w:hAnsi="Times New Roman" w:cs="Times New Roman"/>
        </w:rPr>
      </w:pPr>
      <w:r>
        <w:rPr>
          <w:rFonts w:cs="Times New Roman" w:ascii="Times New Roman" w:hAnsi="Times New Roman"/>
        </w:rPr>
      </w:r>
    </w:p>
    <w:p>
      <w:pPr>
        <w:pStyle w:val="Normal"/>
        <w:spacing w:before="0" w:after="200"/>
        <w:jc w:val="both"/>
        <w:rPr>
          <w:rFonts w:ascii="Times New Roman" w:hAnsi="Times New Roman" w:cs="Times New Roman"/>
        </w:rPr>
      </w:pPr>
      <w:r>
        <w:rPr>
          <w:rFonts w:ascii="Times New Roman" w:hAnsi="Times New Roman"/>
          <w:sz w:val="24"/>
          <w:szCs w:val="24"/>
        </w:rPr>
        <w:t xml:space="preserve">Na temelju članka </w:t>
      </w:r>
      <w:r>
        <w:rPr>
          <w:rFonts w:eastAsia="Calibri" w:cs="Times New Roman" w:ascii="Times New Roman" w:hAnsi="Times New Roman"/>
          <w:sz w:val="24"/>
          <w:szCs w:val="24"/>
        </w:rPr>
        <w:t>5. stavka 1. točke 6. Zakona o sigurnosti prometa na cestama (NN 67/08, 48/10, 74/11, 80/13, 158/13, 92/14, 64/15, 108/17, 70/19, 42/20, 85/22, 114/22, 133/23)</w:t>
      </w:r>
      <w:r>
        <w:rPr>
          <w:rFonts w:ascii="Times New Roman" w:hAnsi="Times New Roman"/>
          <w:sz w:val="24"/>
          <w:szCs w:val="24"/>
        </w:rPr>
        <w:t xml:space="preserve"> i članka 50. Statuta Grada Buja-Buie </w:t>
      </w:r>
      <w:r>
        <w:rPr>
          <w:rFonts w:eastAsia="Calibri" w:cs="Times New Roman" w:ascii="Times New Roman" w:hAnsi="Times New Roman"/>
          <w:sz w:val="24"/>
          <w:szCs w:val="24"/>
        </w:rPr>
        <w:t>( „Službene novine Grada Buja“ broj 11/09, 05/11, 11/11, 03/13, 05/18, 04/21)</w:t>
      </w:r>
      <w:r>
        <w:rPr>
          <w:rFonts w:ascii="Times New Roman" w:hAnsi="Times New Roman"/>
          <w:sz w:val="24"/>
          <w:szCs w:val="24"/>
        </w:rPr>
        <w:t xml:space="preserve">  Gradsko vijeće Grada Buja-Buie ovlašteno je po prethodno ishodovanoj suglasnosti nadležne policijske uprave odrediti parkirališne površine. Trenutno je organizacija, način naplate i kontrola parkiranja na javnim parkiralištima Grada Buja-Buie uređena Odlukom o organizaciji parkiranja na javnim parkiralištima Grada Buja-Buie. Novim Zakonom o komunalnom gospodarstvu određeno je da je usluga parkiranja na uređenim javnim površinama i u javnim garažama uslužna komunalna djelatnost i da isporučitelj usluge može biti trgovačko društvo kojem je ta djelatnost povjerena i da opće uvjete isporuke komunalne usluge određuje isporučitelj uz prethodnu suglasnost predstavničkog tijela. Sukladno navedenom izrađen je ovaj prijedlog kojim se trenutno važeća Odluka mijenja na način da se uvodi </w:t>
      </w:r>
      <w:r>
        <w:rPr>
          <w:rFonts w:eastAsia="Calibri" w:cs="" w:ascii="Times New Roman" w:hAnsi="Times New Roman" w:cstheme="minorBidi" w:eastAsiaTheme="minorHAnsi"/>
          <w:color w:val="auto"/>
          <w:kern w:val="0"/>
          <w:sz w:val="24"/>
          <w:szCs w:val="24"/>
          <w:lang w:val="hr-HR" w:eastAsia="en-US" w:bidi="ar-SA"/>
        </w:rPr>
        <w:t>posebni režim organizacije parkirališta u starogradskoj jezgri putem ulazno-izlaznih terminala (rampe)</w:t>
      </w:r>
      <w:r>
        <w:rPr>
          <w:rFonts w:ascii="Times New Roman" w:hAnsi="Times New Roman"/>
          <w:sz w:val="24"/>
          <w:szCs w:val="24"/>
        </w:rPr>
        <w:t>. Ovom Odlukom proširuje se i krug ovlaštenika na pogodnosti prilikom parkiranja vozila na parkirališnim površinama pod upravom trgovačkog društva Civitas Bullearum d.o.o..</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068"/>
        </w:tabs>
        <w:ind w:left="1068" w:hanging="360"/>
      </w:pPr>
      <w:rPr>
        <w:rFonts w:ascii="Wingdings" w:hAnsi="Wingdings" w:cs="Wingdings" w:hint="default"/>
        <w:rFonts w:cs="Wingdings"/>
      </w:rPr>
    </w:lvl>
    <w:lvl w:ilvl="1">
      <w:start w:val="1"/>
      <w:numFmt w:val="bullet"/>
      <w:lvlText w:val="o"/>
      <w:lvlJc w:val="left"/>
      <w:pPr>
        <w:tabs>
          <w:tab w:val="num" w:pos="2136"/>
        </w:tabs>
        <w:ind w:left="2136" w:hanging="360"/>
      </w:pPr>
      <w:rPr>
        <w:rFonts w:ascii="Courier New" w:hAnsi="Courier New" w:cs="Courier New" w:hint="default"/>
        <w:rFonts w:cs="Arial"/>
      </w:rPr>
    </w:lvl>
    <w:lvl w:ilvl="2">
      <w:start w:val="1"/>
      <w:numFmt w:val="bullet"/>
      <w:lvlText w:val=""/>
      <w:lvlJc w:val="left"/>
      <w:pPr>
        <w:tabs>
          <w:tab w:val="num" w:pos="2856"/>
        </w:tabs>
        <w:ind w:left="2856" w:hanging="360"/>
      </w:pPr>
      <w:rPr>
        <w:rFonts w:ascii="Wingdings" w:hAnsi="Wingdings" w:cs="Wingdings" w:hint="default"/>
        <w:rFonts w:cs="Wingdings"/>
      </w:rPr>
    </w:lvl>
    <w:lvl w:ilvl="3">
      <w:start w:val="1"/>
      <w:numFmt w:val="bullet"/>
      <w:lvlText w:val=""/>
      <w:lvlJc w:val="left"/>
      <w:pPr>
        <w:tabs>
          <w:tab w:val="num" w:pos="3576"/>
        </w:tabs>
        <w:ind w:left="3576" w:hanging="360"/>
      </w:pPr>
      <w:rPr>
        <w:rFonts w:ascii="Symbol" w:hAnsi="Symbol" w:cs="Symbol" w:hint="default"/>
        <w:rFonts w:cs="Symbol"/>
      </w:rPr>
    </w:lvl>
    <w:lvl w:ilvl="4">
      <w:start w:val="1"/>
      <w:numFmt w:val="bullet"/>
      <w:lvlText w:val="o"/>
      <w:lvlJc w:val="left"/>
      <w:pPr>
        <w:tabs>
          <w:tab w:val="num" w:pos="4296"/>
        </w:tabs>
        <w:ind w:left="4296" w:hanging="360"/>
      </w:pPr>
      <w:rPr>
        <w:rFonts w:ascii="Courier New" w:hAnsi="Courier New" w:cs="Courier New" w:hint="default"/>
        <w:rFonts w:cs="Arial"/>
      </w:rPr>
    </w:lvl>
    <w:lvl w:ilvl="5">
      <w:start w:val="1"/>
      <w:numFmt w:val="bullet"/>
      <w:lvlText w:val=""/>
      <w:lvlJc w:val="left"/>
      <w:pPr>
        <w:tabs>
          <w:tab w:val="num" w:pos="5016"/>
        </w:tabs>
        <w:ind w:left="5016" w:hanging="360"/>
      </w:pPr>
      <w:rPr>
        <w:rFonts w:ascii="Wingdings" w:hAnsi="Wingdings" w:cs="Wingdings" w:hint="default"/>
        <w:rFonts w:cs="Wingdings"/>
      </w:rPr>
    </w:lvl>
    <w:lvl w:ilvl="6">
      <w:start w:val="1"/>
      <w:numFmt w:val="bullet"/>
      <w:lvlText w:val=""/>
      <w:lvlJc w:val="left"/>
      <w:pPr>
        <w:tabs>
          <w:tab w:val="num" w:pos="5736"/>
        </w:tabs>
        <w:ind w:left="5736" w:hanging="360"/>
      </w:pPr>
      <w:rPr>
        <w:rFonts w:ascii="Symbol" w:hAnsi="Symbol" w:cs="Symbol" w:hint="default"/>
        <w:rFonts w:cs="Symbol"/>
      </w:rPr>
    </w:lvl>
    <w:lvl w:ilvl="7">
      <w:start w:val="1"/>
      <w:numFmt w:val="bullet"/>
      <w:lvlText w:val="o"/>
      <w:lvlJc w:val="left"/>
      <w:pPr>
        <w:tabs>
          <w:tab w:val="num" w:pos="6456"/>
        </w:tabs>
        <w:ind w:left="6456" w:hanging="360"/>
      </w:pPr>
      <w:rPr>
        <w:rFonts w:ascii="Courier New" w:hAnsi="Courier New" w:cs="Courier New" w:hint="default"/>
        <w:rFonts w:cs="Arial"/>
      </w:rPr>
    </w:lvl>
    <w:lvl w:ilvl="8">
      <w:start w:val="1"/>
      <w:numFmt w:val="bullet"/>
      <w:lvlText w:val=""/>
      <w:lvlJc w:val="left"/>
      <w:pPr>
        <w:tabs>
          <w:tab w:val="num" w:pos="7176"/>
        </w:tabs>
        <w:ind w:left="7176"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r-H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unhideWhenUsed/>
    <w:qFormat/>
    <w:rPr/>
  </w:style>
  <w:style w:type="character" w:styleId="BalloonTextChar" w:customStyle="1">
    <w:name w:val="Balloon Text Char"/>
    <w:basedOn w:val="DefaultParagraphFont"/>
    <w:link w:val="BalloonText"/>
    <w:uiPriority w:val="99"/>
    <w:semiHidden/>
    <w:qFormat/>
    <w:rsid w:val="00d22657"/>
    <w:rPr>
      <w:rFonts w:ascii="Tahoma" w:hAnsi="Tahoma" w:cs="Tahoma"/>
      <w:sz w:val="16"/>
      <w:szCs w:val="16"/>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BalloonTextChar"/>
    <w:uiPriority w:val="99"/>
    <w:semiHidden/>
    <w:unhideWhenUsed/>
    <w:qFormat/>
    <w:rsid w:val="00d2265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Application>LibreOffice/6.4.3.2$Windows_X86_64 LibreOffice_project/747b5d0ebf89f41c860ec2a39efd7cb15b54f2d8</Application>
  <Pages>6</Pages>
  <Words>1994</Words>
  <Characters>11973</Characters>
  <CharactersWithSpaces>13940</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2018-09-26T08:43:00Z</dcterms:created>
  <dc:creator>GRAD BUJE</dc:creator>
  <dc:description/>
  <dc:language>hr-HR</dc:language>
  <cp:lastModifiedBy/>
  <cp:lastPrinted>2021-12-23T09:35:59Z</cp:lastPrinted>
  <dcterms:modified xsi:type="dcterms:W3CDTF">2024-07-23T14:47:10Z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