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708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PRIJEDLOG</w:t>
      </w:r>
    </w:p>
    <w:p>
      <w:pPr>
        <w:pStyle w:val="Normal"/>
        <w:overflowPunct w:val="false"/>
        <w:autoSpaceDE w:val="fals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Na temelju članka 10. stavka 1., 2. i 4. Zakona o neprocijenjenom građevinskom zemljištu (Narodne novine br. 50/2020), članka 6. stavka 2. i 4. te članka 11. Uredbe o uređenju zakupa na turističkom zemljištu na kojemu su izgrađeni hoteli i turistička naselja (Narodne novine br. 16/24)  i članka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. Statuta Grada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Buje-Buie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(«Službene novine Grada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Buje-Buie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hr-HR" w:eastAsia="hr-HR"/>
        </w:rPr>
        <w:t xml:space="preserve">broj 11/09, 05/11, 11/11, 03/13, 05/18, </w:t>
      </w: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>19/18-pročišćeni tekst, 04/21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) Gradsko vijeće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Grada Buje - Buie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dana _________ 2024. godine, donosi</w:t>
      </w:r>
    </w:p>
    <w:p>
      <w:pPr>
        <w:pStyle w:val="Normal"/>
        <w:overflowPunct w:val="false"/>
        <w:autoSpaceDE w:val="fals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ab/>
      </w:r>
    </w:p>
    <w:p>
      <w:pPr>
        <w:pStyle w:val="Normal"/>
        <w:overflowPunct w:val="false"/>
        <w:autoSpaceDE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 xml:space="preserve">ODLUKU </w:t>
      </w:r>
    </w:p>
    <w:p>
      <w:pPr>
        <w:pStyle w:val="Normal"/>
        <w:overflowPunct w:val="false"/>
        <w:autoSpaceDE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 xml:space="preserve">o iznosu i načinu plaćanja zakupnine za turističko zemljište na kojem su izgrađeni hoteli i turistička naselja na području Grada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Buje-Buie</w:t>
      </w:r>
    </w:p>
    <w:p>
      <w:pPr>
        <w:pStyle w:val="Normal"/>
        <w:overflowPunct w:val="false"/>
        <w:autoSpaceDE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>Članak 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Ovom Odlukom propisuje se iznos i način plaćanja zakupnine za turističko zemljište na kojemu su izgrađeni hoteli i turistička naselja, a nije procijenjeno i uneseno u temeljni kapital trgovačkog društva te koje, pored zemljišta tlocrtne površine ispod građevine i procijenjenog zemljišta, služi za redovitu uporabu tih građevina, a koje je prema odredbama Zakona o neprocijenjenom građevinskom zemljištu (Narodne novine br. 50/2020, dalje u tekstu: Zakon) vlasništvo jedinice lokalne samouprave (dalje u tekstu: turističko zemljište).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>Članak 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Za turističko zemljište iz članka 4. stavka 3. Zakona kao predmet zakupa, određuje se zakupnina u iznosu od 3,00 eura po metru kvadratnom zemljišta godišnje, koji iznos se primjenjuje od dana stupanja na snagu Uredbe o uređenju zakupa na turističkom zemljištu na kojemu su izgrađeni hoteli i turistička naselja (Narodne novine br. 16/24, dalje u tekstu: Uredba).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Za prijelazno razdoblje, od dana stupanja na snagu Zakona do dana stupanja na snagu Uredbe, određuje se zakupnina u iznosu od 1,70 eura po metru kvadratnom zemljišta godišnje.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Jedinični iznos zakupnine usklađuje se svake tri godine s promjenama cijena na tržištu građevinskog zemljišta turističke namjene.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>Članak 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Zakupnina se za razdoblje od jedne kalendarske godine računa množenjem površine turističkog zemljišta u metrima kvadratnim s iznosom jedinične cijene zakupnine po metru kvadratnom godišnje.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 xml:space="preserve">Od dana stupanja na snagu Zakona do dana donošenja rješenja iz članka 8. Zakona, Grad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Buje-Buie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 xml:space="preserve"> kao zakupodavac obračunava trgovačkom društvu kao zakupniku zakupninu za površinu turističkog zemljišta u odnosu na površinu koju mu je obračunavao koncesijsku naknadu na temelju Zakona o turističkom i ostalom građevinskom zemljištu neprocijenjenom u postupku pretvorbe i privatizacije (»Narodne novine, br. 92/10. i 50/20.) i Uredbe o načinu, postupku i uvjetima procjene vrijednosti i prodaje turističkog zemljišta u vlasništvu jedinice lokalne samouprave te načinu, postupku i uvjetima za dobivanje koncesije na preostalom turističkom zemljištu u vlasništvu jedinice lokalne samouprave (»Narodne novine«, br. 12/11. i 41/20.) što uključuje i pravilo da se zakupnina naplaćuje na najviše do 50 % površine prijavljene u postupku utvrđivanja prava vlasništva na turističkom zemljištu na kojemu su izgrađeni hoteli i turistička naselja.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>Članak 4.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 xml:space="preserve">Zakupnina iz članka 2. stavka 1. plaća se na temelju računa koje mjesečno izdaje zakupodavac. Zakupnik je dužan zakupninu platiti najkasnije do 15-tog u mjesecu. U slučaju zakašnjenja sa plaćanjem, obračunava se zakonska zatezna kamata.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U prosincu će se, uz mjesečni račun, izdati godišnji obračun zakupnine iz kojeg je vidljiva ukupna cijena godišnje zakupnine i iznosi koje je do tog trenutka uplatio zakupnik.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 xml:space="preserve">Članak 5.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 xml:space="preserve">Zakupnina iz članka 2. stavka 2. plaća se na temelju računa kojeg će zakupodavac izdati u roku od 90 dana od dana stupanja na snagu Uredbe.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 xml:space="preserve">Zakupnik je dužan zakupninu platiti u roku od 30 dana od dana zaprimanja obračuna zakupnine. U slučaju zakašnjenja sa plaćanjem, obračunava se zakonska zatezna kamata.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 xml:space="preserve">Članak 6.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Najviši godišnji iznos zakupnine ne smije prijeći 4 % prometa koji je hotel ili turističko naselje ostvarilo u prethodnoj godini.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Ako iznos zakupnine izračunat po jediničnoj cijeni po metru kvadratnom zemljišta prelazi 4 % prometa, obračunava se zakupnina u visini od 4 % prometa koji je hotel ili turističko naselje ostvarilo u prethodnoj godini.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U promet hotela ili turističkog naselja ubraja se i promet koji je na toj lokaciji ostvario podzakupnik obavljanjem djelatnosti pružanja smještaja te pripreme i usluživanja hrane i pića pri čemu se podzakupnina koju takav podzakupnik plaća na toj lokaciji oduzima od ukupnog prometa zakupnika.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>Članak 7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 xml:space="preserve">Zakupodavac i zakupnik međusobne odnose u prijelaznom razdoblju uređuju sporazumom.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 xml:space="preserve">Zakupodavac će u roku od 60 dana od dana donošenja izvršnog rješenja iz članka 8. Zakona pozvati trgovačko društvo na sklapanje ugovora o zakupu turističkog zemljišta u njegovu vlasništvu u pisanom obliku.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  <w:t>Zakupnina se obračunava, plaća i raspoređuje bez obzira je li sporazum sklopljen, odnosno i u slučaju kada se trgovačko društvo ne odazove pozivu na sklapanje ugovora o zakupu u pisanom obliku, a u posjedu je predmeta zakupa koji mu služi za obavljanje ugostiteljsko-turističke djelatnosti.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 xml:space="preserve">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>Članak 8.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hr-HR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 xml:space="preserve">Ova Odluka objavljuje se u Službenim novinama Grada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Buj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e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>-Buie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 xml:space="preserve"> i stupa na snagu prvog dana od dana objave.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KLASA: 944-0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6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/24-01/0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4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URBROJ: 2163-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4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-02-24-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 xml:space="preserve">1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Buje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>,  _______ 2024.</w:t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  <w:t xml:space="preserve">              </w:t>
      </w:r>
    </w:p>
    <w:p>
      <w:pPr>
        <w:pStyle w:val="Normal"/>
        <w:spacing w:lineRule="auto" w:line="240" w:before="0" w:after="0"/>
        <w:ind w:start="6372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hr-HR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GRADSKO VIJEĆE GRADA  </w:t>
      </w:r>
      <w:r>
        <w:rPr>
          <w:rFonts w:cs="Times New Roman" w:ascii="Times New Roman" w:hAnsi="Times New Roman"/>
          <w:sz w:val="24"/>
          <w:szCs w:val="24"/>
        </w:rPr>
        <w:t>BUJE-BUIE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PREDSJEDNI</w:t>
      </w:r>
      <w:r>
        <w:rPr>
          <w:rFonts w:cs="Times New Roman" w:ascii="Times New Roman" w:hAnsi="Times New Roman"/>
          <w:sz w:val="24"/>
          <w:szCs w:val="24"/>
        </w:rPr>
        <w:t xml:space="preserve">K </w:t>
      </w:r>
      <w:r>
        <w:rPr>
          <w:rFonts w:cs="Times New Roman" w:ascii="Times New Roman" w:hAnsi="Times New Roman"/>
          <w:sz w:val="24"/>
          <w:szCs w:val="24"/>
        </w:rPr>
        <w:t xml:space="preserve"> GRADSKOG VIJEĆA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Franko Gergorić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hr-H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Zadanifontodlomka">
    <w:name w:val="Zadani font odlomka"/>
    <w:qFormat/>
    <w:rPr/>
  </w:style>
  <w:style w:type="character" w:styleId="TekstbaloniaChar">
    <w:name w:val="Tekst balončića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kstbalonia">
    <w:name w:val="Tekst balončić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dlomakpopisa">
    <w:name w:val="Odlomak popisa"/>
    <w:basedOn w:val="Normal"/>
    <w:qFormat/>
    <w:pPr>
      <w:ind w:star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81</TotalTime>
  <Application>LibreOffice/6.3.4.2$Windows_X86_64 LibreOffice_project/60da17e045e08f1793c57c00ba83cdfce946d0aa</Application>
  <Pages>3</Pages>
  <Words>779</Words>
  <Characters>4472</Characters>
  <CharactersWithSpaces>5339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2024-03-05T14:57:00Z</dcterms:created>
  <dc:creator>Grazia</dc:creator>
  <dc:description/>
  <cp:keywords/>
  <dc:language>hr-HR</dc:language>
  <cp:lastModifiedBy/>
  <cp:lastPrinted>2024-03-18T10:31:27Z</cp:lastPrinted>
  <dcterms:modified xsi:type="dcterms:W3CDTF">2024-03-18T12:16:39Z</dcterms:modified>
  <cp:revision>3</cp:revision>
  <dc:subject/>
  <dc:title/>
</cp:coreProperties>
</file>