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         </w:t>
      </w:r>
      <w:r>
        <w:rPr>
          <w:rFonts w:ascii="Times New Roman" w:hAnsi="Times New Roman"/>
          <w:b/>
          <w:bCs/>
          <w:sz w:val="22"/>
          <w:szCs w:val="22"/>
          <w:lang w:val="hr-HR" w:eastAsia="hr-HR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hr-HR" w:eastAsia="hr-HR"/>
        </w:rPr>
        <w:t>PRIJEDLOG</w:t>
      </w:r>
    </w:p>
    <w:p>
      <w:pPr>
        <w:pStyle w:val="Normal"/>
        <w:widowControl/>
        <w:jc w:val="both"/>
        <w:rPr>
          <w:sz w:val="24"/>
          <w:szCs w:val="24"/>
          <w:lang w:val="hr-HR" w:eastAsia="hr-HR"/>
        </w:rPr>
      </w:pPr>
      <w:r>
        <w:rPr>
          <w:rFonts w:ascii="Times New Roman" w:hAnsi="Times New Roman"/>
          <w:sz w:val="24"/>
          <w:szCs w:val="24"/>
          <w:lang w:val="hr-HR" w:eastAsia="hr-HR"/>
        </w:rPr>
        <w:tab/>
        <w:t>Temeljem članka 17. stavak 1. Zakona o sustavu civilne zaštite (Narodne novine br. 82/15, 118/18, 31/20, 20/21, 114/22) i članka 50. Statuta Grada Buja ( „Službene novine Grada Buja“ broj 11/09, 05/11, 11/11, 03/13, 05/18, 04/21), Gradsko vijeće Grada Buja-Buie, na  sjednici od _________</w:t>
      </w:r>
      <w:r>
        <w:rPr>
          <w:rFonts w:ascii="Times New Roman" w:hAnsi="Times New Roman"/>
          <w:bCs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2023. godine donosi</w:t>
      </w:r>
    </w:p>
    <w:p>
      <w:pPr>
        <w:pStyle w:val="Tijeloteksta"/>
        <w:rPr>
          <w:b/>
          <w:b/>
          <w:i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</w:r>
    </w:p>
    <w:p>
      <w:pPr>
        <w:pStyle w:val="Tijeloteksta"/>
        <w:spacing w:before="5" w:after="0"/>
        <w:rPr>
          <w:b/>
          <w:b/>
          <w:i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</w:r>
    </w:p>
    <w:p>
      <w:pPr>
        <w:pStyle w:val="Normal"/>
        <w:ind w:left="500" w:right="502" w:hanging="0"/>
        <w:jc w:val="center"/>
        <w:rPr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SMJERNICE</w:t>
      </w:r>
    </w:p>
    <w:p>
      <w:pPr>
        <w:pStyle w:val="Normal"/>
        <w:spacing w:before="4" w:after="0"/>
        <w:ind w:left="504" w:right="502" w:hanging="0"/>
        <w:jc w:val="center"/>
        <w:rPr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ZA ORGANIZACIJU I RAZVOJ SUSTAVA CIVILNE ZAŠTITE GRADA BUJA-BUIE ZA RAZDOBLJE OD 2024. DO 2028. GODINE</w:t>
      </w:r>
    </w:p>
    <w:p>
      <w:pPr>
        <w:pStyle w:val="Tijeloteksta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</w:r>
    </w:p>
    <w:p>
      <w:pPr>
        <w:pStyle w:val="Tijeloteksta"/>
        <w:spacing w:before="10" w:after="0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822" w:leader="none"/>
        </w:tabs>
        <w:ind w:left="821" w:hanging="705"/>
        <w:rPr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UVOD</w:t>
      </w:r>
    </w:p>
    <w:p>
      <w:pPr>
        <w:pStyle w:val="Tijeloteksta"/>
        <w:spacing w:before="3" w:after="0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</w:r>
    </w:p>
    <w:p>
      <w:pPr>
        <w:pStyle w:val="Tijeloteksta"/>
        <w:spacing w:before="1" w:after="0"/>
        <w:ind w:left="115" w:right="111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Zakonom o sustavu civilne zaštite (“Narodne novine“ </w:t>
      </w:r>
      <w:r>
        <w:rPr>
          <w:rFonts w:ascii="Times New Roman" w:hAnsi="Times New Roman"/>
          <w:sz w:val="24"/>
          <w:szCs w:val="24"/>
        </w:rPr>
        <w:t>br</w:t>
      </w:r>
      <w:r>
        <w:rPr>
          <w:rFonts w:ascii="Times New Roman" w:hAnsi="Times New Roman"/>
          <w:sz w:val="24"/>
          <w:szCs w:val="24"/>
          <w:lang w:val="hr-HR"/>
        </w:rPr>
        <w:t>. 82/15, 118/18, 31/20, 20/21 i 114/22) određeno je da sustav civilne zaštite obuhvaća mjere i aktivnosti (preventivne, planske, organizacijske, operativne, nadzorne i financijske) kojima se uređuju prava i obveze sudionika, ustroj i djelovanje svih sustava civilne zaštite i način povezivanja institucionalnih i funkcionalnih resursa sudionika koji se međusobno nadopunjuju u jedinstvenu cjelinu radi smanjenja rizika od katastrofa, te zaštite i spašavanja građana, materijalnih i kulturnih dobara i okoliša na teritoriju Republike Hrvatske od posljedica prirodnih, tehničko-tehnoloških velikih nesreća i katastrofa, otklanjanja posljedica terorizma i ratnih razaranja.</w:t>
      </w:r>
    </w:p>
    <w:p>
      <w:pPr>
        <w:pStyle w:val="Tijeloteksta"/>
        <w:ind w:left="115" w:right="111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Načela sustava civilne zaštite su opća načela (načelo humanosti i načelo zabrane diskriminacije), te načela operativnog djelovanja sustava civilne zaštite (načelo supsidijarnosti, načelo solidarnosti i načelo kontinuiteta djelovanja).</w:t>
      </w:r>
    </w:p>
    <w:p>
      <w:pPr>
        <w:pStyle w:val="Tijeloteksta"/>
        <w:ind w:left="115" w:right="107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Jedinice lokalne i područne (regionalne) samouprave za potrebe pripravnosti i reagiranja kod velikih nesreća i katastrofa dužne su jačati i nadopunjavati spremnost postojećih operativnih snaga sustava civilne zaštite na njihovom području sukladno procjeni rizika od velikih nesreća i planu djelovanja civilne zaštite, a ako postojećim operativnim snagama ne mogu odgovoriti na posljedice utvrđene procjenom rizika, dužne su osnovati dodatne postrojbe civilne zaštite.</w:t>
      </w:r>
    </w:p>
    <w:p>
      <w:pPr>
        <w:pStyle w:val="Tijeloteksta"/>
        <w:ind w:left="115" w:right="107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Brzo i učinkovito djelovanje operativnih snaga civilne zaštite u velikim nesrećama i katastrofama može spasiti mnoge živote, smanjiti socijalno-ekonomske, infrastrukturne i sigurnosne poremećaje i spriječiti naknadne nesreće koje mogu izazvati veće posljedice od utjecaja ugroze koja je već nastupila.</w:t>
      </w:r>
    </w:p>
    <w:p>
      <w:pPr>
        <w:pStyle w:val="Tijeloteksta"/>
        <w:ind w:left="115" w:right="107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Sukladno razmjeru opasnosti, prijetnji i posljedica, velikih nesreća i katastrofa, te ugroženosti stanovništva, materijalnih i kulturnih dobara i okoliša, utvrđenih Procjenom rizika od velikih nesreća za Grad Buje-Buie, a u cilju zaštite i spašavanja ljudi, materijalnih dobara, te okoliša kao i ravnomjernog razvoja svih nositelja sustava civilne zaštite (stožer  civilne zaštite , civilna zaštita, vatrogastvo, udruge građana od značaja za civilnu  zaštitu, službe i pravne osobe koje se zaštitom i spašavanjem bave u okviru redovne djelatnosti), a koristeći polazišta i zaključke iz godišnje Analize sustava civilne zaštite na području Grada  u 2023. godini, donose se Smjernice za organizaciju i razvoj sustava civilne zaštite Grada Buje-Buie 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za </w:t>
      </w:r>
      <w:r>
        <w:rPr>
          <w:rFonts w:ascii="Times New Roman" w:hAnsi="Times New Roman"/>
          <w:sz w:val="24"/>
          <w:szCs w:val="24"/>
          <w:lang w:val="hr-HR"/>
        </w:rPr>
        <w:t>razdoblje od 2024. do 2028. godine (u nastavku teksta:</w:t>
      </w:r>
      <w:r>
        <w:rPr>
          <w:rFonts w:ascii="Times New Roman" w:hAnsi="Times New Roman"/>
          <w:spacing w:val="-16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Smjernice).</w:t>
      </w:r>
    </w:p>
    <w:p>
      <w:pPr>
        <w:pStyle w:val="Tijeloteksta"/>
        <w:ind w:left="115" w:right="111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Cilj Smjernica je osigurati postupnu i kontinuiranu izgradnju sustava civilne zaštite koji će osigurati visoku razinu spremnosti za provedbu zadaća zaštite i spašavanja stanovništva i materijalnih dobara na području Grada Buja-Buie u složenim uvjetima prirodnih ili drugih većih nesreća, odnosno katastrofa.</w:t>
      </w:r>
    </w:p>
    <w:p>
      <w:pPr>
        <w:pStyle w:val="Tijeloteksta"/>
        <w:spacing w:before="2" w:after="0"/>
        <w:ind w:left="115" w:right="110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Smjernice se kratkoročno odnose na donošenje plana civilne zaštite, procjene rizika od velikih nesreća i plana djelovanja civilne zaštite kao temeljnih dokumenata za daljnje funkcioniranje samog sustava civilne zaštite, a dugoročno predstavlja kontinuirani proces</w:t>
      </w:r>
    </w:p>
    <w:p>
      <w:pPr>
        <w:pStyle w:val="Tijeloteksta"/>
        <w:spacing w:before="2" w:after="0"/>
        <w:ind w:left="115" w:right="110" w:firstLine="705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Tijeloteksta"/>
        <w:spacing w:before="2" w:after="0"/>
        <w:ind w:left="115" w:right="110" w:firstLine="705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Tijeloteksta"/>
        <w:spacing w:before="2" w:after="0"/>
        <w:ind w:left="115" w:right="110" w:firstLine="705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Tijeloteksta"/>
        <w:spacing w:before="2" w:after="0"/>
        <w:ind w:right="110" w:hanging="0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provođenja aktivnosti kojima će se iz godine u godinu razvijati i usavršavati sustav civilne zaštite kako bi se postigao najviši standard potreban za provedbu zadaća svih operativnih snaga.</w:t>
      </w:r>
    </w:p>
    <w:p>
      <w:pPr>
        <w:pStyle w:val="Tijeloteksta"/>
        <w:ind w:left="115" w:right="109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Ostvarivanje ciljeva i aktivnosti koje su predviđene ovim Smjernicama podrazumijeva potrebu izgradnje učinkovitog sustava civilne zaštite utemeljenog na realnoj Procjeni rizika  od opasnosti, nastanka i posljedica katastrofa i velikih nesreća 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za </w:t>
      </w:r>
      <w:r>
        <w:rPr>
          <w:rFonts w:ascii="Times New Roman" w:hAnsi="Times New Roman"/>
          <w:sz w:val="24"/>
          <w:szCs w:val="24"/>
          <w:lang w:val="hr-HR"/>
        </w:rPr>
        <w:t xml:space="preserve">područje Grada Buja-Buie, ali uz maksimalno uvažavanje dostignutog stupnja opremljenosti i uvježbanosti trenutnih operativnih snaga, čime 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će </w:t>
      </w:r>
      <w:r>
        <w:rPr>
          <w:rFonts w:ascii="Times New Roman" w:hAnsi="Times New Roman"/>
          <w:sz w:val="24"/>
          <w:szCs w:val="24"/>
          <w:lang w:val="hr-HR"/>
        </w:rPr>
        <w:t>se izbjeći dupliranje kapaciteta i osigurati racionalan pristup u trošenju proračunskog novca.</w:t>
      </w:r>
    </w:p>
    <w:p>
      <w:pPr>
        <w:pStyle w:val="Tijeloteksta"/>
        <w:ind w:left="115" w:right="115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Sukladno tomu razvoj civilne zaštite Grada Buja-Buie u razdoblju od 2024. do 2028. godine treba usmjeriti prema sljedećim aktivnostima:</w:t>
      </w:r>
    </w:p>
    <w:p>
      <w:pPr>
        <w:pStyle w:val="Tijeloteksta"/>
        <w:spacing w:before="6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Tijeloteksta"/>
        <w:spacing w:before="6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Stilnaslova1"/>
        <w:numPr>
          <w:ilvl w:val="0"/>
          <w:numId w:val="7"/>
        </w:numPr>
        <w:tabs>
          <w:tab w:val="clear" w:pos="720"/>
          <w:tab w:val="left" w:pos="822" w:leader="none"/>
        </w:tabs>
        <w:ind w:left="821" w:hanging="705"/>
        <w:rPr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SMJERNICE</w:t>
      </w:r>
    </w:p>
    <w:p>
      <w:pPr>
        <w:pStyle w:val="Tijeloteksta"/>
        <w:spacing w:before="3" w:after="0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822" w:leader="none"/>
        </w:tabs>
        <w:spacing w:before="1" w:after="0"/>
        <w:ind w:left="836" w:hanging="360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Temelj za izradu ovih Smjernica je Zakon o sustavu civilne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zaštite (NN  </w:t>
      </w:r>
      <w:r>
        <w:rPr>
          <w:rFonts w:ascii="Times New Roman" w:hAnsi="Times New Roman"/>
          <w:sz w:val="24"/>
          <w:szCs w:val="24"/>
        </w:rPr>
        <w:t>br</w:t>
      </w:r>
      <w:r>
        <w:rPr>
          <w:rFonts w:ascii="Times New Roman" w:hAnsi="Times New Roman"/>
          <w:sz w:val="24"/>
          <w:szCs w:val="24"/>
          <w:lang w:val="hr-HR"/>
        </w:rPr>
        <w:t>. 82/15, 118/18, 31/20, 20/21, 114/22)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822" w:leader="none"/>
        </w:tabs>
        <w:spacing w:lineRule="auto" w:line="235" w:before="3" w:after="0"/>
        <w:ind w:left="836" w:right="116" w:hanging="360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Ove Smjernice određuju razvoj sustava civilne zaštite u Gradu Buje-Buie u okviru jedinstvenog sustava civilne zaštite u Republici</w:t>
      </w:r>
      <w:r>
        <w:rPr>
          <w:rFonts w:ascii="Times New Roman" w:hAnsi="Times New Roman"/>
          <w:spacing w:val="6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Hrvatskoj.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822" w:leader="none"/>
        </w:tabs>
        <w:spacing w:before="1" w:after="0"/>
        <w:ind w:left="836" w:right="111" w:hanging="360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Razvoj sustava civilne zaštite je kontinuirani i kreativni proces kojim 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će se </w:t>
      </w:r>
      <w:r>
        <w:rPr>
          <w:rFonts w:ascii="Times New Roman" w:hAnsi="Times New Roman"/>
          <w:sz w:val="24"/>
          <w:szCs w:val="24"/>
          <w:lang w:val="hr-HR"/>
        </w:rPr>
        <w:t xml:space="preserve">sukcesivno razvijati i usavršavati sustav radi dosezanja najviših standarda potrebnih 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za </w:t>
      </w:r>
      <w:r>
        <w:rPr>
          <w:rFonts w:ascii="Times New Roman" w:hAnsi="Times New Roman"/>
          <w:sz w:val="24"/>
          <w:szCs w:val="24"/>
          <w:lang w:val="hr-HR"/>
        </w:rPr>
        <w:t>provedbu zadaća zaštite i spašavanja.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822" w:leader="none"/>
        </w:tabs>
        <w:ind w:left="836" w:right="110" w:hanging="360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Sustav civilne zaštite 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je </w:t>
      </w:r>
      <w:r>
        <w:rPr>
          <w:rFonts w:ascii="Times New Roman" w:hAnsi="Times New Roman"/>
          <w:sz w:val="24"/>
          <w:szCs w:val="24"/>
          <w:lang w:val="hr-HR"/>
        </w:rPr>
        <w:t>oblik pripremanja i sudjelovanja sudionika civilne zaštite u reagiranju na nesreće, velike nesreće i katastrofe, te ustrojavanja, pripremanja i sudjelovanja operativnih snaga civilne zaštite u prevenciji, reagiranju na nesreće, velike nesreće i katastrofe i otklanjanju njihovih mogućih uzroka i</w:t>
      </w:r>
      <w:r>
        <w:rPr>
          <w:rFonts w:ascii="Times New Roman" w:hAnsi="Times New Roman"/>
          <w:spacing w:val="-16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posljedica.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822" w:leader="none"/>
        </w:tabs>
        <w:spacing w:before="1" w:after="0"/>
        <w:ind w:left="836" w:right="110" w:hanging="360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Smjernicama se utvrđuju međusobna prava i obveze svih subjekata i sudionika civilne zaštite kroz plansko pripremanje, osposobljavanje, opremanje i uvježbavanje njihovih organiziranih operativnih snaga kao i način međusobne koordinacije u izvršavanju zadaća zaštite i spašavanja radi što kvalitetnijeg razvoja sustava civilne zaštite.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822" w:leader="none"/>
        </w:tabs>
        <w:ind w:left="836" w:right="110" w:hanging="360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Polazište za razvoj sustava civilne zaštite je Procjene rizika od velikih nesreća za Grad Buje-Buie, te Plan djelovanja civilne zaštite Grada Buje-Buie kao njegov sastavni dio i standardni operativni postupci koji iz toga proizlaze.</w:t>
      </w:r>
    </w:p>
    <w:p>
      <w:pPr>
        <w:pStyle w:val="Tijeloteksta"/>
        <w:spacing w:before="6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Tijeloteksta"/>
        <w:spacing w:before="6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Stilnaslova2"/>
        <w:numPr>
          <w:ilvl w:val="2"/>
          <w:numId w:val="7"/>
        </w:numPr>
        <w:tabs>
          <w:tab w:val="clear" w:pos="720"/>
          <w:tab w:val="left" w:pos="1196" w:leader="none"/>
        </w:tabs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PLANSKI</w:t>
      </w:r>
      <w:r>
        <w:rPr>
          <w:rFonts w:ascii="Times New Roman" w:hAnsi="Times New Roman"/>
          <w:spacing w:val="-5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DOKUMENTI</w:t>
      </w:r>
    </w:p>
    <w:p>
      <w:pPr>
        <w:pStyle w:val="Tijeloteksta"/>
        <w:spacing w:before="8" w:after="0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</w:r>
    </w:p>
    <w:p>
      <w:pPr>
        <w:pStyle w:val="Tijeloteksta"/>
        <w:ind w:left="115" w:right="111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Grad Buje ima izrađenu, ažuriranu i usklađenu Procjenu rizika od velikih nesreća i Plan djelovanja civilne zaštite Grada Buja-Buie u skladu s člankom 97. Zakona o sustavu civilne zaštite (NN </w:t>
      </w:r>
      <w:r>
        <w:rPr>
          <w:rFonts w:ascii="Times New Roman" w:hAnsi="Times New Roman"/>
          <w:sz w:val="24"/>
          <w:szCs w:val="24"/>
          <w:lang w:val="pl-PL"/>
        </w:rPr>
        <w:t>br</w:t>
      </w:r>
      <w:r>
        <w:rPr>
          <w:rFonts w:ascii="Times New Roman" w:hAnsi="Times New Roman"/>
          <w:sz w:val="24"/>
          <w:szCs w:val="24"/>
          <w:lang w:val="hr-HR"/>
        </w:rPr>
        <w:t>. 82/15, 118/18, 31/20, 20/21, 114/22), kao i važećim podzakonskim propisima navedenim u članku 93. Zakona o sustavu civilne zaštite.</w:t>
      </w:r>
    </w:p>
    <w:p>
      <w:pPr>
        <w:pStyle w:val="Tijeloteksta"/>
        <w:spacing w:before="73" w:after="0"/>
        <w:ind w:left="115" w:right="107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Nakon donošenja Procjene rizika izradio se Plan djelovanja civilne zaštite. </w:t>
      </w:r>
    </w:p>
    <w:p>
      <w:pPr>
        <w:pStyle w:val="Tijeloteksta"/>
        <w:spacing w:before="7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Tijeloteksta"/>
        <w:spacing w:before="7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Stilnaslova2"/>
        <w:numPr>
          <w:ilvl w:val="2"/>
          <w:numId w:val="7"/>
        </w:numPr>
        <w:tabs>
          <w:tab w:val="clear" w:pos="720"/>
          <w:tab w:val="left" w:pos="1196" w:leader="none"/>
        </w:tabs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OPERATIVNE SNAGE SUSTAVA CIVILNE</w:t>
      </w:r>
      <w:r>
        <w:rPr>
          <w:rFonts w:ascii="Times New Roman" w:hAnsi="Times New Roman"/>
          <w:spacing w:val="-4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ZAŠTITE</w:t>
      </w:r>
    </w:p>
    <w:p>
      <w:pPr>
        <w:pStyle w:val="Tijeloteksta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</w:r>
    </w:p>
    <w:p>
      <w:pPr>
        <w:pStyle w:val="Tijeloteksta"/>
        <w:ind w:left="115" w:right="115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Mjere i aktivnosti u sustavu civilne zaštite provode operativne snage sustava civilne zaštite na području Grada Buja-Buie:</w:t>
      </w:r>
    </w:p>
    <w:p>
      <w:pPr>
        <w:pStyle w:val="Tijeloteksta"/>
        <w:spacing w:before="6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ListParagraph"/>
        <w:numPr>
          <w:ilvl w:val="3"/>
          <w:numId w:val="7"/>
        </w:numPr>
        <w:tabs>
          <w:tab w:val="clear" w:pos="720"/>
          <w:tab w:val="left" w:pos="1432" w:leader="none"/>
        </w:tabs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Stožer civilne zaštite Grada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 </w:t>
      </w:r>
    </w:p>
    <w:p>
      <w:pPr>
        <w:pStyle w:val="ListParagraph"/>
        <w:numPr>
          <w:ilvl w:val="3"/>
          <w:numId w:val="7"/>
        </w:numPr>
        <w:tabs>
          <w:tab w:val="clear" w:pos="720"/>
          <w:tab w:val="left" w:pos="1432" w:leader="none"/>
        </w:tabs>
        <w:spacing w:before="2" w:after="0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Operativne snage vatrogastva</w:t>
      </w:r>
    </w:p>
    <w:p>
      <w:pPr>
        <w:pStyle w:val="ListParagraph"/>
        <w:numPr>
          <w:ilvl w:val="3"/>
          <w:numId w:val="7"/>
        </w:numPr>
        <w:tabs>
          <w:tab w:val="clear" w:pos="720"/>
          <w:tab w:val="left" w:pos="1432" w:leader="none"/>
        </w:tabs>
        <w:spacing w:before="1" w:after="0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Gradsko društvo Crvenog križa</w:t>
      </w:r>
    </w:p>
    <w:p>
      <w:pPr>
        <w:pStyle w:val="ListParagraph"/>
        <w:numPr>
          <w:ilvl w:val="3"/>
          <w:numId w:val="7"/>
        </w:numPr>
        <w:tabs>
          <w:tab w:val="clear" w:pos="720"/>
          <w:tab w:val="left" w:pos="1432" w:leader="none"/>
        </w:tabs>
        <w:spacing w:lineRule="exact" w:line="251" w:before="1" w:after="0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Hrvatska gorska služba spašavanja-Stanica Istra</w:t>
      </w:r>
    </w:p>
    <w:p>
      <w:pPr>
        <w:pStyle w:val="ListParagraph"/>
        <w:numPr>
          <w:ilvl w:val="3"/>
          <w:numId w:val="7"/>
        </w:numPr>
        <w:tabs>
          <w:tab w:val="clear" w:pos="720"/>
          <w:tab w:val="left" w:pos="1432" w:leader="none"/>
        </w:tabs>
        <w:spacing w:lineRule="exact" w:line="251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Udruge</w:t>
      </w:r>
    </w:p>
    <w:p>
      <w:pPr>
        <w:pStyle w:val="ListParagraph"/>
        <w:tabs>
          <w:tab w:val="clear" w:pos="720"/>
          <w:tab w:val="left" w:pos="1432" w:leader="none"/>
        </w:tabs>
        <w:spacing w:lineRule="exact" w:line="251"/>
        <w:rPr>
          <w:sz w:val="24"/>
          <w:szCs w:val="24"/>
          <w:lang w:val="hr-HR"/>
        </w:rPr>
      </w:pPr>
      <w:r>
        <w:rPr/>
      </w:r>
    </w:p>
    <w:p>
      <w:pPr>
        <w:pStyle w:val="ListParagraph"/>
        <w:tabs>
          <w:tab w:val="clear" w:pos="720"/>
          <w:tab w:val="left" w:pos="1432" w:leader="none"/>
        </w:tabs>
        <w:spacing w:lineRule="exact" w:line="251"/>
        <w:rPr>
          <w:sz w:val="24"/>
          <w:szCs w:val="24"/>
          <w:lang w:val="hr-HR"/>
        </w:rPr>
      </w:pPr>
      <w:r>
        <w:rPr/>
      </w:r>
    </w:p>
    <w:p>
      <w:pPr>
        <w:pStyle w:val="ListParagraph"/>
        <w:numPr>
          <w:ilvl w:val="3"/>
          <w:numId w:val="7"/>
        </w:numPr>
        <w:tabs>
          <w:tab w:val="clear" w:pos="720"/>
          <w:tab w:val="left" w:pos="1432" w:leader="none"/>
        </w:tabs>
        <w:spacing w:lineRule="exact" w:line="251" w:before="1" w:after="0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Povjerenici civilne</w:t>
      </w:r>
      <w:r>
        <w:rPr>
          <w:rFonts w:ascii="Times New Roman" w:hAnsi="Times New Roman"/>
          <w:spacing w:val="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zaštite</w:t>
      </w:r>
    </w:p>
    <w:p>
      <w:pPr>
        <w:pStyle w:val="ListParagraph"/>
        <w:numPr>
          <w:ilvl w:val="3"/>
          <w:numId w:val="7"/>
        </w:numPr>
        <w:tabs>
          <w:tab w:val="clear" w:pos="720"/>
          <w:tab w:val="left" w:pos="1432" w:leader="none"/>
        </w:tabs>
        <w:spacing w:before="2" w:after="0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Pravne osobe u sustavu civilne zaštite Grada</w:t>
      </w:r>
      <w:r>
        <w:rPr>
          <w:rFonts w:ascii="Times New Roman" w:hAnsi="Times New Roman"/>
          <w:spacing w:val="-5"/>
          <w:sz w:val="24"/>
          <w:szCs w:val="24"/>
          <w:lang w:val="hr-HR"/>
        </w:rPr>
        <w:t xml:space="preserve"> </w:t>
      </w:r>
    </w:p>
    <w:p>
      <w:pPr>
        <w:pStyle w:val="ListParagraph"/>
        <w:numPr>
          <w:ilvl w:val="3"/>
          <w:numId w:val="7"/>
        </w:numPr>
        <w:tabs>
          <w:tab w:val="clear" w:pos="720"/>
          <w:tab w:val="left" w:pos="1465" w:leader="none"/>
        </w:tabs>
        <w:spacing w:before="1" w:after="0"/>
        <w:ind w:left="1464" w:hanging="369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Ostale službe i pravne osobe koje 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se </w:t>
      </w:r>
      <w:r>
        <w:rPr>
          <w:rFonts w:ascii="Times New Roman" w:hAnsi="Times New Roman"/>
          <w:sz w:val="24"/>
          <w:szCs w:val="24"/>
          <w:lang w:val="hr-HR"/>
        </w:rPr>
        <w:t>bave civilnom</w:t>
      </w:r>
      <w:r>
        <w:rPr>
          <w:rFonts w:ascii="Times New Roman" w:hAnsi="Times New Roman"/>
          <w:spacing w:val="-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zaštitom</w:t>
      </w:r>
    </w:p>
    <w:p>
      <w:pPr>
        <w:pStyle w:val="Tijeloteksta"/>
        <w:spacing w:before="3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Tijeloteksta"/>
        <w:ind w:left="115" w:right="110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Cilj je osigurati adekvatnu veličinu operativnih snaga koje će na temelju svoje jačine, osposobljenosti i uvježbanosti, osobne i skupne opremljenosti, pravilnog i nedvosmislenog sustava upravljanja, zapovijedanja i nadzora moći učinkovito suprotstaviti ugrozi, preventivno djelovati na nastajanje nesreće, ako je ona neizbježna, na najmanju moguću mjeru i što prije osigurati uvjete za nastavak normalnog života i rada.</w:t>
      </w:r>
    </w:p>
    <w:p>
      <w:pPr>
        <w:pStyle w:val="Tijeloteksta"/>
        <w:spacing w:before="5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Tijeloteksta"/>
        <w:spacing w:before="5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Stilnaslova2"/>
        <w:tabs>
          <w:tab w:val="clear" w:pos="720"/>
          <w:tab w:val="left" w:pos="1531" w:leader="none"/>
        </w:tabs>
        <w:spacing w:before="1" w:after="0"/>
        <w:ind w:left="821" w:hanging="0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2.1.</w:t>
        <w:tab/>
        <w:t xml:space="preserve">STOŽER 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CIVILNE </w:t>
      </w:r>
      <w:r>
        <w:rPr>
          <w:rFonts w:ascii="Times New Roman" w:hAnsi="Times New Roman"/>
          <w:sz w:val="24"/>
          <w:szCs w:val="24"/>
          <w:lang w:val="hr-HR"/>
        </w:rPr>
        <w:t>ZAŠTITE GRADA</w:t>
      </w:r>
      <w:r>
        <w:rPr>
          <w:rFonts w:ascii="Times New Roman" w:hAnsi="Times New Roman"/>
          <w:spacing w:val="-2"/>
          <w:sz w:val="24"/>
          <w:szCs w:val="24"/>
          <w:lang w:val="hr-HR"/>
        </w:rPr>
        <w:t xml:space="preserve"> </w:t>
      </w:r>
    </w:p>
    <w:p>
      <w:pPr>
        <w:pStyle w:val="Tijeloteksta"/>
        <w:spacing w:before="9" w:after="0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</w:r>
    </w:p>
    <w:p>
      <w:pPr>
        <w:pStyle w:val="Tijeloteksta"/>
        <w:spacing w:lineRule="auto" w:line="235"/>
        <w:ind w:left="115" w:right="117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Stožer civilne zaštite je stručno, operativno i koordinativno tijelo za provođenje mjera i aktivnosti civilne zaštite u velikim nesrećama i katastrofama.</w:t>
      </w:r>
    </w:p>
    <w:p>
      <w:pPr>
        <w:pStyle w:val="Tijeloteksta"/>
        <w:spacing w:before="1" w:after="0"/>
        <w:ind w:left="115" w:right="111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Gradonačelnik je osnovao Stožer civilne zaštite Grada Buja-Buie.</w:t>
      </w:r>
    </w:p>
    <w:p>
      <w:pPr>
        <w:pStyle w:val="Tijeloteksta"/>
        <w:spacing w:before="1" w:after="0"/>
        <w:ind w:left="115" w:right="110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</w:t>
      </w:r>
    </w:p>
    <w:p>
      <w:pPr>
        <w:pStyle w:val="Tijeloteksta"/>
        <w:spacing w:lineRule="auto" w:line="235" w:before="5" w:after="0"/>
        <w:ind w:left="115" w:right="111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Radom Stožera civilne zaštite rukovodi načelnik stožera, a kada se proglasi velika nesreća, rukovođenje preuzima Gradonačelnik.</w:t>
      </w:r>
    </w:p>
    <w:p>
      <w:pPr>
        <w:pStyle w:val="Tijeloteksta"/>
        <w:spacing w:lineRule="auto" w:line="235" w:before="5" w:after="0"/>
        <w:ind w:left="115" w:right="111" w:firstLine="705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Tijeloteksta"/>
        <w:ind w:left="115" w:right="116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Da bi Stožer uspješno obavljao svoje zadaće u sustav civilne zaštite potrebno je u razdoblju 2024. – 2028. godine provesti sljedeće mjere i aktivnosti:</w:t>
      </w:r>
    </w:p>
    <w:p>
      <w:pPr>
        <w:pStyle w:val="Tijeloteksta"/>
        <w:spacing w:before="9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2" w:leader="none"/>
        </w:tabs>
        <w:spacing w:before="0" w:after="0"/>
        <w:ind w:left="833" w:right="107" w:hanging="360"/>
        <w:contextualSpacing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nastaviti s kontinuiranim osposobljavanjem članova Stožera kao stručnog tijela gradonačelnika, u cilju njihovog osposobljavanja za provođenje mjera zaštite i spašavanja stanovništva i imovine u slučaju nastanka prirodnih ili tehničko- tehnoloških nesreća, odnosno u slučaju nastanka akcidenta s opasnim tvarima koje mogu nastati u proizvodnji, prijevozu, skladištenju i korištenju opasnih</w:t>
      </w:r>
      <w:r>
        <w:rPr>
          <w:rFonts w:ascii="Times New Roman" w:hAnsi="Times New Roman"/>
          <w:spacing w:val="-1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tvari,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2" w:leader="none"/>
        </w:tabs>
        <w:spacing w:before="1" w:after="0"/>
        <w:ind w:left="833" w:right="115" w:hanging="360"/>
        <w:contextualSpacing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održati sjednice stožera civilne zaštite najmanje jedanput godišnje, a po potrebi i više, kako bi 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se </w:t>
      </w:r>
      <w:r>
        <w:rPr>
          <w:rFonts w:ascii="Times New Roman" w:hAnsi="Times New Roman"/>
          <w:sz w:val="24"/>
          <w:szCs w:val="24"/>
          <w:lang w:val="hr-HR"/>
        </w:rPr>
        <w:t xml:space="preserve">pravodobno izvršile pripreme za 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moguće </w:t>
      </w:r>
      <w:r>
        <w:rPr>
          <w:rFonts w:ascii="Times New Roman" w:hAnsi="Times New Roman"/>
          <w:sz w:val="24"/>
          <w:szCs w:val="24"/>
          <w:lang w:val="hr-HR"/>
        </w:rPr>
        <w:t xml:space="preserve">ugroze, odnosno izvršile sve predviđene zadaće zakonom 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2" w:leader="none"/>
        </w:tabs>
        <w:spacing w:before="73" w:after="0"/>
        <w:ind w:left="833" w:right="114" w:hanging="360"/>
        <w:contextualSpacing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potrebno je provoditi aktivnosti na jačanju značaja sustava civilne zaštite kroz organiziranje zajedničke simulacijske i pokazne vježbe svih operativnih snaga Grada, te sudjelovanje članova Stožera na vježbama drugih organizacija,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824" w:leader="none"/>
        </w:tabs>
        <w:spacing w:before="0" w:after="0"/>
        <w:ind w:left="833" w:hanging="346"/>
        <w:contextualSpacing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Nastaviti proces materijalno-tehničkog opremanja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Stožera;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824" w:leader="none"/>
        </w:tabs>
        <w:spacing w:lineRule="auto" w:line="276" w:before="0" w:after="0"/>
        <w:ind w:left="833" w:right="109" w:hanging="346"/>
        <w:contextualSpacing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Aplicirati u programima za prekograničnu suradnju Europske unije i osigurati sredstva za daljnju izgradnju sustava civilne</w:t>
      </w:r>
      <w:r>
        <w:rPr>
          <w:rFonts w:ascii="Times New Roman" w:hAnsi="Times New Roman"/>
          <w:spacing w:val="-5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zaštite;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2" w:leader="none"/>
        </w:tabs>
        <w:spacing w:before="0" w:after="0"/>
        <w:ind w:left="833" w:right="112" w:hanging="360"/>
        <w:contextualSpacing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osigurati potrebne tehničke, programske i prostorne uvjete 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za </w:t>
      </w:r>
      <w:r>
        <w:rPr>
          <w:rFonts w:ascii="Times New Roman" w:hAnsi="Times New Roman"/>
          <w:sz w:val="24"/>
          <w:szCs w:val="24"/>
          <w:lang w:val="hr-HR"/>
        </w:rPr>
        <w:t>rad Stožera;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2" w:leader="none"/>
        </w:tabs>
        <w:spacing w:before="0" w:after="0"/>
        <w:ind w:left="833" w:right="112" w:hanging="360"/>
        <w:contextualSpacing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uskladiti ustroj i ljudske potencijale potrebne 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za </w:t>
      </w:r>
      <w:r>
        <w:rPr>
          <w:rFonts w:ascii="Times New Roman" w:hAnsi="Times New Roman"/>
          <w:sz w:val="24"/>
          <w:szCs w:val="24"/>
          <w:lang w:val="hr-HR"/>
        </w:rPr>
        <w:t>učinkovito provođenje zakonom utvrđenih zadaća.</w:t>
      </w:r>
    </w:p>
    <w:p>
      <w:pPr>
        <w:pStyle w:val="Tijeloteksta"/>
        <w:spacing w:before="6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Stilnaslova2"/>
        <w:spacing w:before="1" w:after="0"/>
        <w:ind w:left="821" w:hanging="0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2.2 OPERATIVNE SNAGE VATROGASTVA</w:t>
      </w:r>
    </w:p>
    <w:p>
      <w:pPr>
        <w:pStyle w:val="Tijeloteksta"/>
        <w:spacing w:before="7" w:after="0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</w:r>
    </w:p>
    <w:p>
      <w:pPr>
        <w:pStyle w:val="Tijeloteksta"/>
        <w:ind w:left="115" w:right="112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Operativne snage vatrogastva temeljna su operativna snaga sustava civilne zaštite koje djeluju u sustavu civilne zaštite Grada Buja-Buie u skladu s odredbama posebnih propisa kojima se uređuje područje vatrogastva, Zakona o zaštiti od požara (“Narodne novine“, broj 92/10) i Zakona o vatrogastvu (“Narodne novine“, broj 125/19, 114/22) sa pripadajućim pravilnicima.</w:t>
      </w:r>
    </w:p>
    <w:p>
      <w:pPr>
        <w:pStyle w:val="Tijeloteksta"/>
        <w:ind w:left="115" w:right="112" w:firstLine="705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Tijeloteksta"/>
        <w:ind w:left="115" w:right="110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Procjenom ugroženosti od požara i tehnoloških eksplozija za Grad Buje-Buie, te Planom zaštite od požara 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za </w:t>
      </w:r>
      <w:r>
        <w:rPr>
          <w:rFonts w:ascii="Times New Roman" w:hAnsi="Times New Roman"/>
          <w:sz w:val="24"/>
          <w:szCs w:val="24"/>
          <w:lang w:val="hr-HR"/>
        </w:rPr>
        <w:t xml:space="preserve">Grad Buje-Buie, </w:t>
      </w:r>
      <w:r>
        <w:rPr>
          <w:rFonts w:eastAsia="Times New Roman" w:ascii="Times New Roman" w:hAnsi="Times New Roman"/>
          <w:color w:val="000000"/>
          <w:spacing w:val="-3"/>
          <w:sz w:val="24"/>
          <w:szCs w:val="24"/>
          <w:lang w:val="hr-HR" w:eastAsia="zh-CN"/>
        </w:rPr>
        <w:t xml:space="preserve">Klasa: </w:t>
      </w:r>
      <w:r>
        <w:rPr>
          <w:rFonts w:eastAsia="Times New Roman" w:ascii="Times New Roman" w:hAnsi="Times New Roman"/>
          <w:sz w:val="24"/>
          <w:szCs w:val="24"/>
          <w:lang w:val="hr-HR" w:eastAsia="zh-CN"/>
        </w:rPr>
        <w:t xml:space="preserve">245-02/22-01/01, </w:t>
      </w:r>
      <w:r>
        <w:rPr>
          <w:rFonts w:eastAsia="Times New Roman" w:ascii="Times New Roman" w:hAnsi="Times New Roman"/>
          <w:color w:val="000000"/>
          <w:spacing w:val="-3"/>
          <w:sz w:val="24"/>
          <w:szCs w:val="24"/>
          <w:lang w:val="hr-HR" w:eastAsia="zh-CN"/>
        </w:rPr>
        <w:t>Urbroj: 2163-2-02-23-20, od 06.09.2023.</w:t>
      </w:r>
      <w:r>
        <w:rPr>
          <w:rFonts w:ascii="Times New Roman" w:hAnsi="Times New Roman"/>
          <w:sz w:val="24"/>
          <w:szCs w:val="24"/>
          <w:lang w:val="hr-HR"/>
        </w:rPr>
        <w:t xml:space="preserve"> u kojoj su razrađeni resursi, postupanja i obaveze u sustavu zaštite od požara za područje Grada Buja-Buie, prikazan je stvarni broj, veličina, smještaj i ustroj vatrogasnih postrojbi, odnosno dobrovoljnih vatrogasnih društava, te njihova područja djelovanja i odgovornosti sukladno Pravilniku o planu zaštite od požara (“Narodne novine“, broj 51/12).</w:t>
      </w:r>
    </w:p>
    <w:p>
      <w:pPr>
        <w:pStyle w:val="Tijeloteksta"/>
        <w:ind w:left="115" w:right="114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Pravilnikom o minimumu tehničkih sredstava i opreme propisan je minimum tehničke opreme i sredstava potreban da bi vatrogasne postrojbe mogle obavljati vatrogasnu djelatnost sukladno odredbama Zakona o</w:t>
      </w:r>
      <w:r>
        <w:rPr>
          <w:rFonts w:ascii="Times New Roman" w:hAnsi="Times New Roman"/>
          <w:spacing w:val="5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vatrogastvu.</w:t>
      </w:r>
    </w:p>
    <w:p>
      <w:pPr>
        <w:pStyle w:val="Tijeloteksta"/>
        <w:ind w:left="115" w:right="111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Vatrogasnom djelatnošću razumijeva se i osposobljavanje vatrogasaca, te njihovo sudjelovanje u vježbama, natjecanjima i sl. kao i redovito obavljanje liječničkih pregleda sukladno posebnim propisima.</w:t>
      </w:r>
    </w:p>
    <w:p>
      <w:pPr>
        <w:pStyle w:val="Tijeloteksta"/>
        <w:ind w:left="115" w:right="107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Posebnu pažnju treba posvetiti 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radu </w:t>
      </w:r>
      <w:r>
        <w:rPr>
          <w:rFonts w:ascii="Times New Roman" w:hAnsi="Times New Roman"/>
          <w:sz w:val="24"/>
          <w:szCs w:val="24"/>
          <w:lang w:val="hr-HR"/>
        </w:rPr>
        <w:t xml:space="preserve">sa vatrogasnom mladeži 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kao </w:t>
      </w:r>
      <w:r>
        <w:rPr>
          <w:rFonts w:ascii="Times New Roman" w:hAnsi="Times New Roman"/>
          <w:sz w:val="24"/>
          <w:szCs w:val="24"/>
          <w:lang w:val="hr-HR"/>
        </w:rPr>
        <w:t xml:space="preserve">mogućim budućim vatrogascima, ali se ne smije zanemariti ni edukacija građana posebno poljoprivrednika u vezi spaljivanja biljnog otpada zbog mogućnosti izbijanja požara na otvorenim prostorima, ali i štetnosti na okoliš. Potrebno 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je </w:t>
      </w:r>
      <w:r>
        <w:rPr>
          <w:rFonts w:ascii="Times New Roman" w:hAnsi="Times New Roman"/>
          <w:sz w:val="24"/>
          <w:szCs w:val="24"/>
          <w:lang w:val="hr-HR"/>
        </w:rPr>
        <w:t>osvijestiti, upoznati javnost i provoditi preventivne aktivnosti u svrhu povećanja sigurnosti i smanjiti opasnost (ili rizike) od nastanka</w:t>
      </w:r>
      <w:r>
        <w:rPr>
          <w:rFonts w:ascii="Times New Roman" w:hAnsi="Times New Roman"/>
          <w:spacing w:val="-8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požara.</w:t>
      </w:r>
    </w:p>
    <w:p>
      <w:pPr>
        <w:pStyle w:val="Tijeloteksta"/>
        <w:ind w:left="115" w:right="108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razdoblju od 2024. do 2028. godine potrebno je prema Pravilniku o programu osposobljavanja i usavršavanja vatrogasnih kadrova (“Narodne novine“, broj 61/94), kao i prema članku 11., st. 2. Zakona o vatrogastvu, provoditi različite oblike osposobljavanja vatrogasaca (profesionalnih i dobrovoljnih).</w:t>
      </w:r>
    </w:p>
    <w:p>
      <w:pPr>
        <w:pStyle w:val="Tijeloteksta"/>
        <w:spacing w:lineRule="auto" w:line="240"/>
        <w:ind w:left="115" w:right="112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Sukladno Zakonu o zaštiti od požara („Narodne novine“, broj 92/10) u razmatranom razdoblju potrebno je:</w:t>
      </w:r>
    </w:p>
    <w:p>
      <w:pPr>
        <w:pStyle w:val="Tijeloteksta"/>
        <w:spacing w:before="6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2" w:leader="none"/>
        </w:tabs>
        <w:spacing w:lineRule="exact" w:line="251"/>
        <w:ind w:left="836" w:hanging="360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donijeti Godišnji provedbeni plan unapređenja zaštite od</w:t>
      </w:r>
      <w:r>
        <w:rPr>
          <w:rFonts w:ascii="Times New Roman" w:hAnsi="Times New Roman"/>
          <w:spacing w:val="-13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požara,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2" w:leader="none"/>
        </w:tabs>
        <w:ind w:left="836" w:right="115" w:hanging="360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izraditi Izvješće o stanju zaštite od požara na svom području i stanju provedbe godišnjeg provedbenog plana unapređenja zaštite od požara,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2" w:leader="none"/>
        </w:tabs>
        <w:spacing w:lineRule="auto" w:line="235" w:before="4" w:after="0"/>
        <w:ind w:left="836" w:right="112" w:hanging="360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donijeti Plan motriteljsko-dojavne službe za vrijeme povećane požarne opasnosti otvorenog</w:t>
      </w:r>
      <w:r>
        <w:rPr>
          <w:rFonts w:ascii="Times New Roman" w:hAnsi="Times New Roman"/>
          <w:spacing w:val="-2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prostora,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2" w:leader="none"/>
        </w:tabs>
        <w:spacing w:before="1" w:after="0"/>
        <w:ind w:left="836" w:hanging="360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usklađivati Plan zaštite od požara najmanje jednom godišnje s novonastalim</w:t>
      </w:r>
      <w:r>
        <w:rPr>
          <w:rFonts w:ascii="Times New Roman" w:hAnsi="Times New Roman"/>
          <w:spacing w:val="-17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uvjetima,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2" w:leader="none"/>
        </w:tabs>
        <w:spacing w:before="4" w:after="0"/>
        <w:ind w:left="836" w:right="112" w:hanging="360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održavati protupožarne vježbe Prema čl. 17. Zakona u cilju održavanja i provjere provedbe preventivnih mjera zaštite od požara, na način i u vremenu koje odredi ministar.</w:t>
      </w:r>
    </w:p>
    <w:p>
      <w:pPr>
        <w:pStyle w:val="ListParagraph"/>
        <w:tabs>
          <w:tab w:val="clear" w:pos="720"/>
          <w:tab w:val="left" w:pos="822" w:leader="none"/>
        </w:tabs>
        <w:spacing w:before="4" w:after="0"/>
        <w:ind w:left="836" w:right="112" w:hanging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Stilnaslova2"/>
        <w:numPr>
          <w:ilvl w:val="2"/>
          <w:numId w:val="5"/>
        </w:numPr>
        <w:tabs>
          <w:tab w:val="clear" w:pos="720"/>
          <w:tab w:val="left" w:pos="1532" w:leader="none"/>
        </w:tabs>
        <w:spacing w:before="94" w:after="0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JAVNA VATROGASNA POSTROJBA</w:t>
      </w:r>
      <w:r>
        <w:rPr>
          <w:rFonts w:ascii="Times New Roman" w:hAnsi="Times New Roman"/>
          <w:spacing w:val="-23"/>
          <w:sz w:val="24"/>
          <w:szCs w:val="24"/>
          <w:lang w:val="hr-HR"/>
        </w:rPr>
        <w:t xml:space="preserve"> UAMG</w:t>
      </w:r>
    </w:p>
    <w:p>
      <w:pPr>
        <w:pStyle w:val="Tijeloteksta"/>
        <w:spacing w:before="3" w:after="0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</w:r>
    </w:p>
    <w:p>
      <w:pPr>
        <w:pStyle w:val="Normal"/>
        <w:ind w:left="115" w:right="110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Javna vatrogasna postrojba Umag temeljna je operativna snaga sustava civilne zaštite u velikim nesrećama i katastrofama, sukladno Planu zaštite od požara. Javna vatrogasna postrojba  je dužna djelovati u sustavu civilne zaštite u skladu s odredbama posebnih propisa kojima 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se </w:t>
      </w:r>
      <w:r>
        <w:rPr>
          <w:rFonts w:ascii="Times New Roman" w:hAnsi="Times New Roman"/>
          <w:sz w:val="24"/>
          <w:szCs w:val="24"/>
          <w:lang w:val="hr-HR"/>
        </w:rPr>
        <w:t xml:space="preserve">uređuje područje vatrogastva, Zakona o sustavu civilne zaštite NN </w:t>
      </w:r>
      <w:r>
        <w:rPr>
          <w:rFonts w:ascii="Times New Roman" w:hAnsi="Times New Roman"/>
          <w:sz w:val="24"/>
          <w:szCs w:val="24"/>
        </w:rPr>
        <w:t>br</w:t>
      </w:r>
      <w:r>
        <w:rPr>
          <w:rFonts w:ascii="Times New Roman" w:hAnsi="Times New Roman"/>
          <w:sz w:val="24"/>
          <w:szCs w:val="24"/>
          <w:lang w:val="hr-HR"/>
        </w:rPr>
        <w:t>. 82/15, 118/18, 31/20, 20/21 i114/22   i Planu djelovanja civilne zaštite Grada Buja-Buie. Po stručnosti, opremljenosti, osposobljenosti i spremnosti najkvalitetnija su postojeća operativna i organizirana snaga civilne zaštite i njezin glavni nositelj na području Grada.</w:t>
      </w:r>
    </w:p>
    <w:p>
      <w:pPr>
        <w:pStyle w:val="Normal"/>
        <w:ind w:left="115" w:right="110" w:firstLine="705"/>
        <w:jc w:val="both"/>
        <w:rPr>
          <w:sz w:val="24"/>
          <w:szCs w:val="24"/>
          <w:lang w:val="hr-HR"/>
        </w:rPr>
      </w:pPr>
      <w:r>
        <w:rPr/>
      </w:r>
    </w:p>
    <w:p>
      <w:pPr>
        <w:pStyle w:val="Tijeloteksta"/>
        <w:spacing w:before="7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Stilnaslova2"/>
        <w:numPr>
          <w:ilvl w:val="2"/>
          <w:numId w:val="5"/>
        </w:numPr>
        <w:tabs>
          <w:tab w:val="clear" w:pos="720"/>
          <w:tab w:val="left" w:pos="1532" w:leader="none"/>
        </w:tabs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DOBROVOLJNO VATROGASNO</w:t>
      </w:r>
      <w:r>
        <w:rPr>
          <w:rFonts w:ascii="Times New Roman" w:hAnsi="Times New Roman"/>
          <w:spacing w:val="-17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DRUŠTVO GRADA BUJA-BUIE</w:t>
      </w:r>
    </w:p>
    <w:p>
      <w:pPr>
        <w:pStyle w:val="Tijeloteksta"/>
        <w:spacing w:before="3" w:after="0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</w:r>
    </w:p>
    <w:p>
      <w:pPr>
        <w:pStyle w:val="Tijeloteksta"/>
        <w:ind w:left="115" w:right="111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Dobrovoljno vatrogasno društvo tijekom ljetnih mjeseci provodi mjere zaštite od požara sukladno Programu aktivnosti u provedbi posebnih mjera zaštite od požara propisane od strane Vlade Republike Hrvatske, te po pozivu Javne vatrogasne postrojbe.</w:t>
      </w:r>
    </w:p>
    <w:p>
      <w:pPr>
        <w:pStyle w:val="Tijeloteksta"/>
        <w:ind w:left="115" w:right="111" w:firstLine="705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Tijeloteksta"/>
        <w:ind w:left="115" w:right="111" w:firstLine="705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Tijeloteksta"/>
        <w:ind w:left="115" w:right="111" w:firstLine="705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Tijeloteksta"/>
        <w:ind w:left="115" w:right="111" w:firstLine="705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Tijeloteksta"/>
        <w:spacing w:before="1" w:after="0"/>
        <w:ind w:left="115" w:right="115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Ustrojavanje dežurstava i motriteljsko-dojavne službe, izviđačko-preventivnih ophodnji, održavanje protupožarnih nerazvrstanih cesta i dr., mjere su koje se poduzimaju 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za </w:t>
      </w:r>
      <w:r>
        <w:rPr>
          <w:rFonts w:ascii="Times New Roman" w:hAnsi="Times New Roman"/>
          <w:sz w:val="24"/>
          <w:szCs w:val="24"/>
          <w:lang w:val="hr-HR"/>
        </w:rPr>
        <w:t>uklanjanje potencijalnih izvora opasnosti odnosno pravodobno otkrivanje, javljanje i gašenje požara u samom začetku.</w:t>
      </w:r>
    </w:p>
    <w:p>
      <w:pPr>
        <w:pStyle w:val="Tijeloteksta"/>
        <w:spacing w:before="9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Tijeloteksta"/>
        <w:spacing w:before="9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Stilnaslova2"/>
        <w:numPr>
          <w:ilvl w:val="1"/>
          <w:numId w:val="4"/>
        </w:numPr>
        <w:tabs>
          <w:tab w:val="clear" w:pos="720"/>
          <w:tab w:val="left" w:pos="1532" w:leader="none"/>
        </w:tabs>
        <w:ind w:left="1546" w:hanging="720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GRADSKO DRUŠTVO CRVENOG KRIŽA</w:t>
      </w:r>
      <w:r>
        <w:rPr>
          <w:rFonts w:ascii="Times New Roman" w:hAnsi="Times New Roman"/>
          <w:spacing w:val="-6"/>
          <w:sz w:val="24"/>
          <w:szCs w:val="24"/>
          <w:lang w:val="hr-HR"/>
        </w:rPr>
        <w:t xml:space="preserve"> </w:t>
      </w:r>
    </w:p>
    <w:p>
      <w:pPr>
        <w:pStyle w:val="Tijeloteksta"/>
        <w:spacing w:before="3" w:after="0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</w:r>
    </w:p>
    <w:p>
      <w:pPr>
        <w:pStyle w:val="Tijeloteksta"/>
        <w:ind w:left="115" w:right="111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Operativne snage Hrvatskog Crvenog križa koje djeluju na području Republike Hrvatske kao neprofitna pravna osoba, temeljna su operativna snaga sustava civilne zaštite u velikim nesrećama i katastrofama i izvršavaju obveze u sustavu civilne zaštite, sukladno posebnim propisima kojima 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se </w:t>
      </w:r>
      <w:r>
        <w:rPr>
          <w:rFonts w:ascii="Times New Roman" w:hAnsi="Times New Roman"/>
          <w:sz w:val="24"/>
          <w:szCs w:val="24"/>
          <w:lang w:val="hr-HR"/>
        </w:rPr>
        <w:t>uređuje područje djelovanja Hrvatskog Crvenog križa i planovima donesenih na temelju posebnog propisa kojim se uređuje područje djelovanja Hrvatskog Crvenog križa, odredbama ovog Zakona i Državnom planu djelovanja civilne zaštite, kao i planovima civilne zaštite Grada.</w:t>
      </w:r>
    </w:p>
    <w:p>
      <w:pPr>
        <w:pStyle w:val="Tijeloteksta"/>
        <w:ind w:left="115" w:right="109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Osim navedenog Gradsko društvo Crvenog križa traži, prima i raspoređuje humanitarnu pomoć za potrebe na području svog djelovanja, obučava i oprema ekipe za izvršavanje zadaća u slučaju velikih prirodnih, ekoloških i drugih nesreća s posljedicama masovnih stradanja i epidemija.</w:t>
      </w:r>
    </w:p>
    <w:p>
      <w:pPr>
        <w:pStyle w:val="Tijeloteksta"/>
        <w:ind w:left="115" w:right="109" w:firstLine="705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Tijeloteksta"/>
        <w:spacing w:lineRule="auto" w:line="235" w:before="3" w:after="0"/>
        <w:ind w:left="115" w:right="111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Gradsko društvo Crvenog križa strukturirano je i razvijeno društvo, sa sekcijama i radnim skupinama u brojnim</w:t>
      </w:r>
      <w:r>
        <w:rPr>
          <w:rFonts w:ascii="Times New Roman" w:hAnsi="Times New Roman"/>
          <w:spacing w:val="-13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područjima.</w:t>
      </w:r>
    </w:p>
    <w:p>
      <w:pPr>
        <w:pStyle w:val="Tijeloteksta"/>
        <w:ind w:left="821" w:hanging="0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Gradsko društvo Crvenog križa  će u idućem razdoblju izvršavati programe i aktivnosti iz</w:t>
      </w:r>
    </w:p>
    <w:p>
      <w:pPr>
        <w:pStyle w:val="Tijeloteksta"/>
        <w:ind w:hanging="0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svoje nadležnosti.</w:t>
      </w:r>
    </w:p>
    <w:p>
      <w:pPr>
        <w:pStyle w:val="Tijeloteksta"/>
        <w:spacing w:lineRule="auto" w:line="235"/>
        <w:ind w:left="115" w:firstLine="705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Grad Buje-Buie nastaviti će sa financiranjem Gradskog društva Crvenog križa sukladno važećim propisima.</w:t>
      </w:r>
    </w:p>
    <w:p>
      <w:pPr>
        <w:pStyle w:val="Tijeloteksta"/>
        <w:spacing w:before="9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Stilnaslova2"/>
        <w:numPr>
          <w:ilvl w:val="1"/>
          <w:numId w:val="4"/>
        </w:numPr>
        <w:tabs>
          <w:tab w:val="clear" w:pos="720"/>
          <w:tab w:val="left" w:pos="1532" w:leader="none"/>
        </w:tabs>
        <w:ind w:left="1546" w:hanging="720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HRVATSKA GORSKA SLUŽBA SPAŠAVANJA – STANICA</w:t>
      </w:r>
      <w:r>
        <w:rPr>
          <w:rFonts w:ascii="Times New Roman" w:hAnsi="Times New Roman"/>
          <w:spacing w:val="-26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 ISTRA</w:t>
      </w:r>
    </w:p>
    <w:p>
      <w:pPr>
        <w:pStyle w:val="Tijeloteksta"/>
        <w:spacing w:before="3" w:after="0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</w:r>
    </w:p>
    <w:p>
      <w:pPr>
        <w:pStyle w:val="Tijeloteksta"/>
        <w:ind w:left="115" w:right="111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Operativne snage Hrvatske gorske službe spašavanja koje djeluju na području Republike Hrvatske kao neprofitna pravna osoba, temeljna 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su </w:t>
      </w:r>
      <w:r>
        <w:rPr>
          <w:rFonts w:ascii="Times New Roman" w:hAnsi="Times New Roman"/>
          <w:sz w:val="24"/>
          <w:szCs w:val="24"/>
          <w:lang w:val="hr-HR"/>
        </w:rPr>
        <w:t>operativna snaga sustava civilne zaštite u velikim nesrećama i katastrofama i izvršavaju obveze u sustavu civilne zaštite sukladno posebnim propisima kojima se uređuje područje djelovanja</w:t>
      </w:r>
      <w:r>
        <w:rPr>
          <w:rFonts w:ascii="Times New Roman" w:hAnsi="Times New Roman"/>
          <w:spacing w:val="-16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HGSS.</w:t>
      </w:r>
    </w:p>
    <w:p>
      <w:pPr>
        <w:pStyle w:val="Tijeloteksta"/>
        <w:spacing w:before="1" w:after="0"/>
        <w:ind w:left="115" w:right="110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Operativne snage Hrvatske gorske službe spašavanja izvršavaju obveze u sustavu civilne zaštite sukladno Zakonu o sustavu civilne zaštite NN </w:t>
      </w:r>
      <w:r>
        <w:rPr>
          <w:rFonts w:ascii="Times New Roman" w:hAnsi="Times New Roman"/>
          <w:sz w:val="24"/>
          <w:szCs w:val="24"/>
        </w:rPr>
        <w:t>br</w:t>
      </w:r>
      <w:r>
        <w:rPr>
          <w:rFonts w:ascii="Times New Roman" w:hAnsi="Times New Roman"/>
          <w:sz w:val="24"/>
          <w:szCs w:val="24"/>
          <w:lang w:val="hr-HR"/>
        </w:rPr>
        <w:t>. 82/15, 118/18, 31/20, 20/21, 114/22, kao i planovima civilne zaštite Grada.</w:t>
      </w:r>
    </w:p>
    <w:p>
      <w:pPr>
        <w:pStyle w:val="Tijeloteksta"/>
        <w:ind w:left="115" w:right="112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Hrvatska gorska služba spašavanja- Stanica Istra organizira, unapređuje i obavlja djelatnosti spašavanja i zaštite ljudskih života u planinama, na svim drugim nepristupačnim područjima kao i svim izvanrednim okolnostima.</w:t>
      </w:r>
    </w:p>
    <w:p>
      <w:pPr>
        <w:pStyle w:val="Tijeloteksta"/>
        <w:ind w:left="115" w:right="150" w:firstLine="705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Grad Buje-Buie nastaviti će sa sufinanciranjem Hrvatske gorske službe spašavanja - Stanica Istra  sukladno važećim</w:t>
      </w:r>
      <w:r>
        <w:rPr>
          <w:rFonts w:ascii="Times New Roman" w:hAnsi="Times New Roman"/>
          <w:spacing w:val="-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propisima.</w:t>
      </w:r>
    </w:p>
    <w:p>
      <w:pPr>
        <w:pStyle w:val="Tijeloteksta"/>
        <w:spacing w:before="5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Stilnaslova2"/>
        <w:numPr>
          <w:ilvl w:val="1"/>
          <w:numId w:val="4"/>
        </w:numPr>
        <w:tabs>
          <w:tab w:val="clear" w:pos="720"/>
          <w:tab w:val="left" w:pos="1532" w:leader="none"/>
        </w:tabs>
        <w:ind w:left="1546" w:hanging="720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UDRUGE</w:t>
      </w:r>
    </w:p>
    <w:p>
      <w:pPr>
        <w:pStyle w:val="Tijeloteksta"/>
        <w:spacing w:before="8" w:after="0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</w:r>
    </w:p>
    <w:p>
      <w:pPr>
        <w:pStyle w:val="Tijeloteksta"/>
        <w:ind w:left="115" w:right="150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Udruge koje nemaju javne ovlasti, a od interesa su za sustav civilne zaštite (npr. kinološke djelatnosti, podvodne djelatnosti, radio komunikacijske, zrakoplovne i druge tehničke djelatnosti), pričuvni su dio operativnih snaga sustava civilne zaštite koji je osposobljen 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za </w:t>
      </w:r>
      <w:r>
        <w:rPr>
          <w:rFonts w:ascii="Times New Roman" w:hAnsi="Times New Roman"/>
          <w:sz w:val="24"/>
          <w:szCs w:val="24"/>
          <w:lang w:val="hr-HR"/>
        </w:rPr>
        <w:t xml:space="preserve">provođenje pojedinih mjera i aktivnosti sustava civilne zaštite. Svojim sposobnostima nadopunjuju sposobnosti temeljnih operativnih snaga, te 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se </w:t>
      </w:r>
      <w:r>
        <w:rPr>
          <w:rFonts w:ascii="Times New Roman" w:hAnsi="Times New Roman"/>
          <w:sz w:val="24"/>
          <w:szCs w:val="24"/>
          <w:lang w:val="hr-HR"/>
        </w:rPr>
        <w:t xml:space="preserve">uključuju u provođenje mjera i aktivnosti sustava civilne zaštite sukladno Zakonu o sustavu civilne zaštite (NN </w:t>
      </w:r>
      <w:r>
        <w:rPr>
          <w:rFonts w:ascii="Times New Roman" w:hAnsi="Times New Roman"/>
          <w:sz w:val="24"/>
          <w:szCs w:val="24"/>
        </w:rPr>
        <w:t>br</w:t>
      </w:r>
      <w:r>
        <w:rPr>
          <w:rFonts w:ascii="Times New Roman" w:hAnsi="Times New Roman"/>
          <w:sz w:val="24"/>
          <w:szCs w:val="24"/>
          <w:lang w:val="hr-HR"/>
        </w:rPr>
        <w:t>. 82/15, 118/18, 31/20, 20/21, 114/22), kao i planovima civilne zaštite Grada.</w:t>
      </w:r>
    </w:p>
    <w:p>
      <w:pPr>
        <w:pStyle w:val="Tijeloteksta"/>
        <w:ind w:left="115" w:right="150" w:firstLine="705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Tijeloteksta"/>
        <w:ind w:left="115" w:right="150" w:firstLine="705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Tijeloteksta"/>
        <w:ind w:left="115" w:right="150" w:firstLine="705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Tijeloteksta"/>
        <w:ind w:left="115" w:right="107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Grad će međusobne odnose s udrugama regulirati sporazumima kojima se utvrđuju zadaće udruga u sustavu civilne zaštite, uvjeti pod kojim se udruge uključuju u aktivnosti sustava civilne zaštite, te financijska sredstva (donacije) namijenjena jačanju sposobnosti udruga za provođenje mjera i aktivnosti u sustavu civilne zaštite u velikim nesrećama i katastrofama. </w:t>
      </w:r>
    </w:p>
    <w:p>
      <w:pPr>
        <w:pStyle w:val="Tijeloteksta"/>
        <w:ind w:left="115" w:right="107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Potrebno je nastaviti sa poticanjem daljnjeg razvoja udruga građana koje se zaštitom i spašavanjem bave kao svojom redovitom djelatnošću kroz osiguranje financijskih sredstava u proračunu Grada, potrebnih za nabavu opreme i sredstava kao i osposobljavanje pripadnika, kao temeljnom pretpostavkom za njihovo učinkovito reagiranje u slučaju nastanka prirodne ili tehničko-tehnološke nesreće.</w:t>
      </w:r>
    </w:p>
    <w:p>
      <w:pPr>
        <w:pStyle w:val="ListParagraph"/>
        <w:tabs>
          <w:tab w:val="clear" w:pos="720"/>
          <w:tab w:val="left" w:pos="1182" w:leader="none"/>
        </w:tabs>
        <w:spacing w:lineRule="exact" w:line="251"/>
        <w:ind w:left="821" w:hanging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Tijeloteksta"/>
        <w:spacing w:before="8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Stilnaslova2"/>
        <w:numPr>
          <w:ilvl w:val="1"/>
          <w:numId w:val="4"/>
        </w:numPr>
        <w:tabs>
          <w:tab w:val="clear" w:pos="720"/>
          <w:tab w:val="left" w:pos="1532" w:leader="none"/>
        </w:tabs>
        <w:ind w:left="1546" w:hanging="720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POVJERENICI CIVILNE</w:t>
      </w:r>
      <w:r>
        <w:rPr>
          <w:rFonts w:ascii="Times New Roman" w:hAnsi="Times New Roman"/>
          <w:spacing w:val="-2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ZAŠTITE</w:t>
      </w:r>
    </w:p>
    <w:p>
      <w:pPr>
        <w:pStyle w:val="Tijeloteksta"/>
        <w:spacing w:before="3" w:after="0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</w:r>
    </w:p>
    <w:p>
      <w:pPr>
        <w:pStyle w:val="Normal"/>
        <w:tabs>
          <w:tab w:val="clear" w:pos="720"/>
          <w:tab w:val="left" w:pos="942" w:leader="none"/>
        </w:tabs>
        <w:spacing w:before="0" w:after="0"/>
        <w:ind w:right="150" w:hanging="0"/>
        <w:contextualSpacing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</w:t>
      </w:r>
      <w:r>
        <w:rPr>
          <w:rFonts w:ascii="Times New Roman" w:hAnsi="Times New Roman"/>
          <w:sz w:val="24"/>
          <w:szCs w:val="24"/>
          <w:lang w:val="hr-HR"/>
        </w:rPr>
        <w:t xml:space="preserve">Za sudjelovanje u mjerama i aktivnostima u sustavu civilne zaštite, sukladno procjeni rizika, određeni su po gradskim četvrtima i mjesnim odborima povjerenici i njihovi zamjenici za područje Grada. Grad je imenovao povjerenike Odlukom o imenovanju povjerenika civilne zaštite za područje Grada Buje-Buie, Klasa: 810-01/18-01/03, </w:t>
      </w:r>
      <w:r>
        <w:rPr>
          <w:rFonts w:ascii="Times New Roman" w:hAnsi="Times New Roman"/>
          <w:iCs/>
          <w:sz w:val="24"/>
          <w:szCs w:val="24"/>
          <w:lang w:val="hr-HR"/>
        </w:rPr>
        <w:t>Urbroj: 2105/01-01-19-3 od 20.02.2019. godine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>
      <w:pPr>
        <w:pStyle w:val="Tijeloteksta"/>
        <w:ind w:left="115" w:right="110" w:firstLine="705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Tijeloteksta"/>
        <w:spacing w:before="1" w:after="0"/>
        <w:ind w:left="821" w:hanging="0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Povjerenik civilne zaštite i njegov zamjenik:</w:t>
      </w:r>
    </w:p>
    <w:p>
      <w:pPr>
        <w:pStyle w:val="Tijeloteksta"/>
        <w:spacing w:before="1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82" w:leader="none"/>
        </w:tabs>
        <w:spacing w:before="0" w:after="0"/>
        <w:ind w:left="1179" w:right="111" w:hanging="357"/>
        <w:contextualSpacing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sudjeluju u pripremanju građana 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za </w:t>
      </w:r>
      <w:r>
        <w:rPr>
          <w:rFonts w:ascii="Times New Roman" w:hAnsi="Times New Roman"/>
          <w:sz w:val="24"/>
          <w:szCs w:val="24"/>
          <w:lang w:val="hr-HR"/>
        </w:rPr>
        <w:t>osobnu i uzajamnu zaštitu, te usklađuju provođenje mjera osobne i uzajamne</w:t>
      </w:r>
      <w:r>
        <w:rPr>
          <w:rFonts w:ascii="Times New Roman" w:hAnsi="Times New Roman"/>
          <w:spacing w:val="-4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zaštite,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82" w:leader="none"/>
        </w:tabs>
        <w:spacing w:before="3" w:after="0"/>
        <w:ind w:left="1179" w:right="116" w:hanging="357"/>
        <w:contextualSpacing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daju obavijesti građanima o pravodobnom poduzimanju mjera civilne zaštite, te javne mobilizacije radi sudjelovanja u sustavu civilne zaštite,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82" w:leader="none"/>
        </w:tabs>
        <w:spacing w:before="73" w:after="0"/>
        <w:ind w:left="1179" w:right="115" w:hanging="357"/>
        <w:contextualSpacing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sudjeluju u organiziranju i provođenju evakuacije, sklanjanja, zbrinjavanja i drugih mjera civilne zaštite,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82" w:leader="none"/>
        </w:tabs>
        <w:spacing w:lineRule="exact" w:line="251" w:before="2" w:after="0"/>
        <w:ind w:left="1179" w:hanging="357"/>
        <w:contextualSpacing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organiziraju zaštitu i spašavanje pripadnika ranjivih</w:t>
      </w:r>
      <w:r>
        <w:rPr>
          <w:rFonts w:ascii="Times New Roman" w:hAnsi="Times New Roman"/>
          <w:spacing w:val="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skupina,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82" w:leader="none"/>
        </w:tabs>
        <w:spacing w:before="0" w:after="0"/>
        <w:ind w:left="1179" w:right="111" w:hanging="357"/>
        <w:contextualSpacing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provjeravaju postavljanje obavijesti o znakovima za uzbunjivanje u stambenim zgradama na području svoje nadležnosti i o propustima obavješćuju inspekciju civilne</w:t>
      </w:r>
      <w:r>
        <w:rPr>
          <w:rFonts w:ascii="Times New Roman" w:hAnsi="Times New Roman"/>
          <w:spacing w:val="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zaštite.</w:t>
      </w:r>
    </w:p>
    <w:p>
      <w:pPr>
        <w:pStyle w:val="Tijeloteksta"/>
        <w:spacing w:before="11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Tijeloteksta"/>
        <w:ind w:left="115" w:right="115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Do sada nije provedeno osposobljavanje povjerenika, ali bi 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se </w:t>
      </w:r>
      <w:r>
        <w:rPr>
          <w:rFonts w:ascii="Times New Roman" w:hAnsi="Times New Roman"/>
          <w:sz w:val="24"/>
          <w:szCs w:val="24"/>
          <w:lang w:val="hr-HR"/>
        </w:rPr>
        <w:t xml:space="preserve">osposobljavanje trebalo provesti tijekom </w:t>
      </w:r>
      <w:r>
        <w:rPr>
          <w:rFonts w:cs="Arial" w:ascii="Times New Roman" w:hAnsi="Times New Roman"/>
          <w:sz w:val="24"/>
          <w:szCs w:val="24"/>
          <w:lang w:val="hr-HR" w:eastAsia="en-US"/>
        </w:rPr>
        <w:t>narednog razdoblja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>
      <w:pPr>
        <w:pStyle w:val="Tijeloteksta"/>
        <w:spacing w:before="7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Stilnaslova2"/>
        <w:numPr>
          <w:ilvl w:val="1"/>
          <w:numId w:val="4"/>
        </w:numPr>
        <w:tabs>
          <w:tab w:val="clear" w:pos="720"/>
          <w:tab w:val="left" w:pos="1532" w:leader="none"/>
        </w:tabs>
        <w:spacing w:before="1" w:after="0"/>
        <w:ind w:left="1546" w:hanging="720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KOORDINATORI NA</w:t>
      </w:r>
      <w:r>
        <w:rPr>
          <w:rFonts w:ascii="Times New Roman" w:hAnsi="Times New Roman"/>
          <w:spacing w:val="-5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LOKACIJI</w:t>
      </w:r>
    </w:p>
    <w:p>
      <w:pPr>
        <w:pStyle w:val="Tijeloteksta"/>
        <w:spacing w:before="2" w:after="0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</w:r>
    </w:p>
    <w:p>
      <w:pPr>
        <w:pStyle w:val="Tijeloteksta"/>
        <w:spacing w:before="1" w:after="0"/>
        <w:ind w:left="115" w:right="115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Koordinator na lokaciji procjenjuje nastalu situaciju i njezine posljedice na terenu, te u suradnji s nadležnim stožerom civilne zaštite usklađuje djelovanje operativnih snaga sustava civilne zaštite.</w:t>
      </w:r>
    </w:p>
    <w:p>
      <w:pPr>
        <w:pStyle w:val="Tijeloteksta"/>
        <w:ind w:left="115" w:right="116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Koordinatora na lokaciji, sukladno specifičnostima izvanrednog događaja, određuje načelnik stožera civilne zaštite iz redova operativnih snaga sustava civilne zaštite. Grad nema imenovane koordinatore na lokaciji.</w:t>
      </w:r>
    </w:p>
    <w:p>
      <w:pPr>
        <w:pStyle w:val="Tijeloteksta"/>
        <w:spacing w:before="1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Stilnaslova2"/>
        <w:numPr>
          <w:ilvl w:val="1"/>
          <w:numId w:val="4"/>
        </w:numPr>
        <w:tabs>
          <w:tab w:val="clear" w:pos="720"/>
          <w:tab w:val="left" w:pos="1532" w:leader="none"/>
        </w:tabs>
        <w:ind w:left="1546" w:hanging="720"/>
        <w:rPr>
          <w:sz w:val="24"/>
          <w:szCs w:val="24"/>
          <w:lang w:val="hr-HR"/>
        </w:rPr>
      </w:pP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PRAVNE </w:t>
      </w:r>
      <w:r>
        <w:rPr>
          <w:rFonts w:ascii="Times New Roman" w:hAnsi="Times New Roman"/>
          <w:sz w:val="24"/>
          <w:szCs w:val="24"/>
          <w:lang w:val="hr-HR"/>
        </w:rPr>
        <w:t>OSOBE U SUSTAVU CIVILNE ZAŠTITE GRADA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 </w:t>
      </w:r>
    </w:p>
    <w:p>
      <w:pPr>
        <w:pStyle w:val="Tijeloteksta"/>
        <w:spacing w:before="3" w:after="0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</w:r>
    </w:p>
    <w:p>
      <w:pPr>
        <w:pStyle w:val="Tijeloteksta"/>
        <w:ind w:left="115" w:right="111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Pravne osobe koje se zaštitom i spašavanjem bave u okviru redovne djelatnosti s Javnom vatrogasnom postrojbom predstavljaju okosnicu sustava zaštite i spašavanja na području Grada. Imaju obvezu uključivanja u sustav civilne zaštite kroz redovnu djelatnost, posebno u slučajevima angažiranja prema Planu djelovanja civilne zaštite na području Grada. Utvrđeni su i načini dogradnje i jačanja dijela njihovih sposobnosti koji su posebno značajni za sustav civilne zaštite.</w:t>
      </w:r>
    </w:p>
    <w:p>
      <w:pPr>
        <w:pStyle w:val="Tijeloteksta"/>
        <w:ind w:left="115" w:right="111" w:firstLine="705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Tijeloteksta"/>
        <w:ind w:left="115" w:right="108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Odlukom o određivanju  pravnih osoba od interesa za sustav civilne zaštite  na području Grada, definirane su pravne osobe koje bi sudjelovale u provođenju pojedinih mjera zaštite i spašavanja, a s ciljem priprema i sudjelovanja u otklanjanju posljedica katastrofa i velikih nesreća.</w:t>
      </w:r>
    </w:p>
    <w:p>
      <w:pPr>
        <w:pStyle w:val="Tijeloteksta"/>
        <w:ind w:left="115" w:right="111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Pravne osobe koje obavljaju poslove zaštite i spašavanja kao redovnu djelatnost, djeluju sukladno svojim operativnim planovima i Planu djelovanja civilne zaštite za područje Grada. S pravnim osobama od interesa 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za </w:t>
      </w:r>
      <w:r>
        <w:rPr>
          <w:rFonts w:ascii="Times New Roman" w:hAnsi="Times New Roman"/>
          <w:sz w:val="24"/>
          <w:szCs w:val="24"/>
          <w:lang w:val="hr-HR"/>
        </w:rPr>
        <w:t xml:space="preserve">zaštitu i spašavanje potpisati će 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se </w:t>
      </w:r>
      <w:r>
        <w:rPr>
          <w:rFonts w:ascii="Times New Roman" w:hAnsi="Times New Roman"/>
          <w:sz w:val="24"/>
          <w:szCs w:val="24"/>
          <w:lang w:val="hr-HR"/>
        </w:rPr>
        <w:t>Ugovor o suradnji u slučaju katastrofa i velikih nesreća koji ne zahtijeva od pravnih osoba izdvajanje posebnih materijalnih sredstava izvan redovnog poslovanja, ali se aktivira u slučaju katastrofa i velikih nesreća, a naročito se definiraju potrebni ljudski resursi, materijalna sredstva, strojevi i oprema, kao i vrijeme i način njihovog aktiviranja i angažiranja u provedbi zadaća civilne zaštite na području Grada.</w:t>
      </w:r>
    </w:p>
    <w:p>
      <w:pPr>
        <w:pStyle w:val="Tijeloteksta"/>
        <w:spacing w:lineRule="auto" w:line="240"/>
        <w:ind w:left="115" w:right="111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Nakon donošenja Procjene rizika na prijedlog Gradonačelnika, sukladno članku 17. Zakona o sustavu civilne zaštite (NN </w:t>
      </w:r>
      <w:r>
        <w:rPr>
          <w:rFonts w:ascii="Times New Roman" w:hAnsi="Times New Roman"/>
          <w:sz w:val="24"/>
          <w:szCs w:val="24"/>
        </w:rPr>
        <w:t>br</w:t>
      </w:r>
      <w:r>
        <w:rPr>
          <w:rFonts w:ascii="Times New Roman" w:hAnsi="Times New Roman"/>
          <w:sz w:val="24"/>
          <w:szCs w:val="24"/>
          <w:lang w:val="hr-HR"/>
        </w:rPr>
        <w:t xml:space="preserve">. 82/15, 118/18, 31/20, 20/21, 114/22),  potvrditi će 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se </w:t>
      </w:r>
      <w:r>
        <w:rPr>
          <w:rFonts w:ascii="Times New Roman" w:hAnsi="Times New Roman"/>
          <w:sz w:val="24"/>
          <w:szCs w:val="24"/>
          <w:lang w:val="hr-HR"/>
        </w:rPr>
        <w:t>pravne osobe od interesa za  sustav civilne zaštite Grada</w:t>
      </w:r>
      <w:r>
        <w:rPr>
          <w:rFonts w:ascii="Times New Roman" w:hAnsi="Times New Roman"/>
          <w:spacing w:val="-1"/>
          <w:sz w:val="24"/>
          <w:szCs w:val="24"/>
          <w:lang w:val="hr-HR"/>
        </w:rPr>
        <w:t>.</w:t>
      </w:r>
    </w:p>
    <w:p>
      <w:pPr>
        <w:pStyle w:val="Tijeloteksta"/>
        <w:spacing w:before="1" w:after="0"/>
        <w:ind w:left="115" w:right="111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Pravne osobe od interesa za civilnu zaštitu su pokrenule proces ili su izradile, po Izvodu iz Procjene rizika od velikih nesreća za Grad  i Plana  djelovanja civilne zaštite, svoje Operativne planove za djelovanje civilne zaštite.</w:t>
      </w:r>
    </w:p>
    <w:p>
      <w:pPr>
        <w:pStyle w:val="Tijeloteksta"/>
        <w:spacing w:lineRule="auto" w:line="240"/>
        <w:ind w:left="115" w:right="111" w:firstLine="705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Tijeloteksta"/>
        <w:spacing w:before="8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Stilnaslova2"/>
        <w:numPr>
          <w:ilvl w:val="1"/>
          <w:numId w:val="4"/>
        </w:numPr>
        <w:tabs>
          <w:tab w:val="clear" w:pos="720"/>
          <w:tab w:val="left" w:pos="1532" w:leader="none"/>
        </w:tabs>
        <w:ind w:left="1546" w:right="112" w:hanging="720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OSTALE SLUŽBE I PRAVNE OSOBE KOJE SE </w:t>
      </w:r>
      <w:r>
        <w:rPr>
          <w:rFonts w:ascii="Times New Roman" w:hAnsi="Times New Roman"/>
          <w:spacing w:val="-4"/>
          <w:sz w:val="24"/>
          <w:szCs w:val="24"/>
          <w:lang w:val="hr-HR"/>
        </w:rPr>
        <w:t xml:space="preserve">BAVE </w:t>
      </w:r>
      <w:r>
        <w:rPr>
          <w:rFonts w:ascii="Times New Roman" w:hAnsi="Times New Roman"/>
          <w:sz w:val="24"/>
          <w:szCs w:val="24"/>
          <w:lang w:val="hr-HR"/>
        </w:rPr>
        <w:t>CIVILNOM ZAŠTITOM</w:t>
      </w:r>
    </w:p>
    <w:p>
      <w:pPr>
        <w:pStyle w:val="Tijeloteksta"/>
        <w:spacing w:before="4" w:after="0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</w:r>
    </w:p>
    <w:p>
      <w:pPr>
        <w:pStyle w:val="Tijeloteksta"/>
        <w:spacing w:before="0" w:after="0"/>
        <w:ind w:left="113" w:right="111" w:firstLine="705"/>
        <w:contextualSpacing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Odlukom o određivanju Pravnih osoba od interesa za sustav civilne zaštite na području Grada definirane su osim pravnih osoba od interesa za sustav civilne zaštite koje se bave u svojoj redovnoj djelatnosti i pravne osobe koje bi sudjelovale u provođenju pojedinih mjera iz sustava civilne zaštite, a čija redovna djelatnost nije u području civilne zaštite, ali koje bi sa svojim ljudskim i materijalno-tehničkim kapacitetima sudjelovale u aktivnostima civilne zaštite.</w:t>
      </w:r>
    </w:p>
    <w:p>
      <w:pPr>
        <w:pStyle w:val="Tijeloteksta"/>
        <w:spacing w:before="2" w:after="0"/>
        <w:ind w:left="115" w:right="110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pravne osobe kojima civilna zaštita nije redovna djelatnost spadaju pravne osobe koje imaju postrojbe i stručne timove za civilnu zaštitu (komunalna društva, građevinske tvrtke, tvrtke koje imaju posebne strojeve – dizalice, šlepere, plovila i sl.), pravne osobe koje pružaju usluge (npr. prijevoznička, usluge smještaja i prehrane i sl.).</w:t>
      </w:r>
    </w:p>
    <w:p>
      <w:pPr>
        <w:pStyle w:val="Tijeloteksta"/>
        <w:spacing w:before="2" w:after="0"/>
        <w:ind w:left="115" w:right="110" w:firstLine="705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Tijeloteksta"/>
        <w:spacing w:before="4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Stilnaslova2"/>
        <w:numPr>
          <w:ilvl w:val="0"/>
          <w:numId w:val="2"/>
        </w:numPr>
        <w:tabs>
          <w:tab w:val="clear" w:pos="720"/>
          <w:tab w:val="left" w:pos="1129" w:leader="none"/>
        </w:tabs>
        <w:spacing w:before="1" w:after="0"/>
        <w:ind w:left="1128" w:hanging="307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PROVOĐENJE POJEDINIH MJERA CIVILNE</w:t>
      </w:r>
      <w:r>
        <w:rPr>
          <w:rFonts w:ascii="Times New Roman" w:hAnsi="Times New Roman"/>
          <w:spacing w:val="-1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ZAŠTITE</w:t>
      </w:r>
    </w:p>
    <w:p>
      <w:pPr>
        <w:pStyle w:val="Stilnaslova2"/>
        <w:tabs>
          <w:tab w:val="clear" w:pos="720"/>
          <w:tab w:val="left" w:pos="1129" w:leader="none"/>
        </w:tabs>
        <w:spacing w:before="1" w:after="0"/>
        <w:ind w:left="1128" w:hanging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54" w:leader="none"/>
        </w:tabs>
        <w:spacing w:before="1" w:after="0"/>
        <w:rPr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pacing w:val="-3"/>
          <w:sz w:val="24"/>
          <w:szCs w:val="24"/>
          <w:lang w:val="hr-HR"/>
        </w:rPr>
        <w:t>SKLANJANJE</w:t>
      </w:r>
    </w:p>
    <w:p>
      <w:pPr>
        <w:pStyle w:val="Tijeloteksta"/>
        <w:spacing w:before="3" w:after="0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</w:r>
    </w:p>
    <w:p>
      <w:pPr>
        <w:pStyle w:val="Tijeloteksta"/>
        <w:ind w:left="115" w:right="110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Da bi se posljedice ugrožavanja ljudi, materijalnih dobara i okoliša smanjile na najmanju moguću mjeru, potrebno je uspostaviti optimalan odgovor na ugrožavanja sa stanovišta prostornog planiranja, uređenja, organizacije, razvoja i izgradnje prostora, te je neophodno i mjere civilne zaštite postaviti integralno, u svim vrstama sudjelovanja Grada u prostornom planiranju.</w:t>
      </w:r>
    </w:p>
    <w:p>
      <w:pPr>
        <w:pStyle w:val="Tijeloteksta"/>
        <w:spacing w:lineRule="auto" w:line="240"/>
        <w:ind w:left="115" w:right="173" w:firstLine="705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Stilnaslova2"/>
        <w:numPr>
          <w:ilvl w:val="1"/>
          <w:numId w:val="2"/>
        </w:numPr>
        <w:tabs>
          <w:tab w:val="clear" w:pos="720"/>
          <w:tab w:val="left" w:pos="1316" w:leader="none"/>
        </w:tabs>
        <w:ind w:left="1316" w:hanging="495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UZBUNJIVANJE</w:t>
      </w:r>
    </w:p>
    <w:p>
      <w:pPr>
        <w:pStyle w:val="Tijeloteksta"/>
        <w:spacing w:before="8" w:after="0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</w:r>
    </w:p>
    <w:p>
      <w:pPr>
        <w:pStyle w:val="Tijeloteksta"/>
        <w:ind w:left="115" w:right="111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Uzbunjivanje stanovništva i informiranje o vrsti i razmjerima ugroze u nadležnosti je Ravnateljstva civilne zaštite koji postupa sukladno Pravilniku o uzbunjivanju stanovništva. Iako gradovi nemaju obveze u razvijanju ovog sustava, potrebno 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je </w:t>
      </w:r>
      <w:r>
        <w:rPr>
          <w:rFonts w:ascii="Times New Roman" w:hAnsi="Times New Roman"/>
          <w:sz w:val="24"/>
          <w:szCs w:val="24"/>
          <w:lang w:val="hr-HR"/>
        </w:rPr>
        <w:t xml:space="preserve">osigurati informiranost o stanju sustava 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za </w:t>
      </w:r>
      <w:r>
        <w:rPr>
          <w:rFonts w:ascii="Times New Roman" w:hAnsi="Times New Roman"/>
          <w:sz w:val="24"/>
          <w:szCs w:val="24"/>
          <w:lang w:val="hr-HR"/>
        </w:rPr>
        <w:t>uzbunjivanje na području Grada.</w:t>
      </w:r>
    </w:p>
    <w:p>
      <w:pPr>
        <w:pStyle w:val="Tijeloteksta"/>
        <w:ind w:left="115" w:right="111" w:firstLine="705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Tijeloteksta"/>
        <w:ind w:left="115" w:right="111" w:firstLine="705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Tijeloteksta"/>
        <w:ind w:left="115" w:right="111" w:firstLine="705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Tijeloteksta"/>
        <w:ind w:left="475" w:hanging="0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</w:t>
      </w:r>
      <w:r>
        <w:rPr>
          <w:rFonts w:ascii="Times New Roman" w:hAnsi="Times New Roman"/>
          <w:sz w:val="24"/>
          <w:szCs w:val="24"/>
          <w:lang w:val="hr-HR"/>
        </w:rPr>
        <w:t>Informacija o stanju sustava za javno uzbunjivanje sadržava ažurirane podatke o:</w:t>
      </w:r>
    </w:p>
    <w:p>
      <w:pPr>
        <w:pStyle w:val="Tijeloteksta"/>
        <w:spacing w:before="3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2" w:leader="none"/>
        </w:tabs>
        <w:spacing w:lineRule="exact" w:line="251"/>
        <w:ind w:left="836" w:hanging="360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stupnju tehničke opremljenosti sustava na cijelom području Grada,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2" w:leader="none"/>
        </w:tabs>
        <w:ind w:left="836" w:right="116" w:hanging="360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kritična mjesta gdje sustav uzbunjivanja nije u funkciji ili je u stanju koji ne omogućava pravovremeno upozoravanje</w:t>
      </w:r>
      <w:r>
        <w:rPr>
          <w:rFonts w:ascii="Times New Roman" w:hAnsi="Times New Roman"/>
          <w:spacing w:val="-5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stanovništva,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2" w:leader="none"/>
        </w:tabs>
        <w:spacing w:before="1" w:after="0"/>
        <w:ind w:left="836" w:hanging="360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obavijest o planiranim ulaganja u sustav u narednom</w:t>
      </w:r>
      <w:r>
        <w:rPr>
          <w:rFonts w:ascii="Times New Roman" w:hAnsi="Times New Roman"/>
          <w:spacing w:val="-13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razdoblju.</w:t>
      </w:r>
    </w:p>
    <w:p>
      <w:pPr>
        <w:pStyle w:val="Tijeloteksta"/>
        <w:spacing w:before="1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Tijeloteksta"/>
        <w:spacing w:before="1" w:after="0"/>
        <w:ind w:left="115" w:right="107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Sukladno članku 39. Zakona o sustavu civilne zaštite (NN </w:t>
      </w:r>
      <w:r>
        <w:rPr>
          <w:rFonts w:ascii="Times New Roman" w:hAnsi="Times New Roman"/>
          <w:sz w:val="24"/>
          <w:szCs w:val="24"/>
        </w:rPr>
        <w:t>br</w:t>
      </w:r>
      <w:r>
        <w:rPr>
          <w:rFonts w:ascii="Times New Roman" w:hAnsi="Times New Roman"/>
          <w:sz w:val="24"/>
          <w:szCs w:val="24"/>
          <w:lang w:val="hr-HR"/>
        </w:rPr>
        <w:t>. 82/15, 118/18, 31/20, 20/21, 114/22), vlasnici i korisnici objekata u kojima se okuplja ili istodobno boravi više od 250 ljudi, te odgojne, obrazovne, zdravstvene i druge ustanove, prometni terminali, sportske dvorane, stadioni, trgovački centri, hoteli, autokampovi, proizvodni prostori i slično, u kojima se zbog buke ili akustične izolacije ne može osigurati dovoljna čujnost sustava za javno uzbunjivanje, dužni su:</w:t>
      </w:r>
    </w:p>
    <w:p>
      <w:pPr>
        <w:pStyle w:val="Tijeloteksta"/>
        <w:spacing w:before="1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2" w:leader="none"/>
        </w:tabs>
        <w:ind w:left="836" w:hanging="360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uspostaviti i održavati odgovarajući sustav uzbunjivanja</w:t>
      </w:r>
      <w:r>
        <w:rPr>
          <w:rFonts w:ascii="Times New Roman" w:hAnsi="Times New Roman"/>
          <w:spacing w:val="-16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građana,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2" w:leader="none"/>
        </w:tabs>
        <w:spacing w:before="1" w:after="0"/>
        <w:ind w:left="836" w:right="115" w:hanging="360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bez naknade, na zahtjev Ravnateljstva civilne zaštite dopustiti postavljanje uređaja za uzbunjivanje građana i korištenje električne</w:t>
      </w:r>
      <w:r>
        <w:rPr>
          <w:rFonts w:ascii="Times New Roman" w:hAnsi="Times New Roman"/>
          <w:spacing w:val="-2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energije,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2" w:leader="none"/>
        </w:tabs>
        <w:spacing w:lineRule="exact" w:line="251"/>
        <w:ind w:left="836" w:hanging="360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povezati sustav 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sa </w:t>
      </w:r>
      <w:r>
        <w:rPr>
          <w:rFonts w:ascii="Times New Roman" w:hAnsi="Times New Roman"/>
          <w:sz w:val="24"/>
          <w:szCs w:val="24"/>
          <w:lang w:val="hr-HR"/>
        </w:rPr>
        <w:t>Županijskim centrom</w:t>
      </w:r>
      <w:r>
        <w:rPr>
          <w:rFonts w:ascii="Times New Roman" w:hAnsi="Times New Roman"/>
          <w:spacing w:val="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112.</w:t>
      </w:r>
    </w:p>
    <w:p>
      <w:pPr>
        <w:pStyle w:val="ListParagraph"/>
        <w:tabs>
          <w:tab w:val="clear" w:pos="720"/>
          <w:tab w:val="left" w:pos="822" w:leader="none"/>
        </w:tabs>
        <w:spacing w:lineRule="exact" w:line="251"/>
        <w:ind w:left="836" w:hanging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ListParagraph"/>
        <w:tabs>
          <w:tab w:val="clear" w:pos="720"/>
          <w:tab w:val="left" w:pos="822" w:leader="none"/>
        </w:tabs>
        <w:spacing w:lineRule="exact" w:line="251"/>
        <w:ind w:left="836" w:hanging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Stilnaslova2"/>
        <w:numPr>
          <w:ilvl w:val="0"/>
          <w:numId w:val="2"/>
        </w:numPr>
        <w:tabs>
          <w:tab w:val="clear" w:pos="720"/>
          <w:tab w:val="left" w:pos="1134" w:leader="none"/>
        </w:tabs>
        <w:spacing w:before="68" w:after="0"/>
        <w:ind w:left="1133" w:hanging="312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ZAŠTITA</w:t>
      </w:r>
      <w:r>
        <w:rPr>
          <w:rFonts w:ascii="Times New Roman" w:hAnsi="Times New Roman"/>
          <w:spacing w:val="-1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OKOLIŠA</w:t>
      </w:r>
    </w:p>
    <w:p>
      <w:pPr>
        <w:pStyle w:val="Tijeloteksta"/>
        <w:spacing w:before="7" w:after="0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</w:r>
    </w:p>
    <w:p>
      <w:pPr>
        <w:pStyle w:val="Tijeloteksta"/>
        <w:ind w:left="115" w:right="110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Zakon o zaštiti okoliša, Nacionalna strategija zaštite okoliša i Strateški plan zaštite okoliša dale su odrednice i usmjerenja za dugoročno upravljanje okolišem u skladu s ukupnim gospodarskim, društvenim i kulturnim razvojem, kao i osnove za usklađivanje gospodarskih, tehničkih, znanstvenih, obrazovnih, organizacijskih i drugih mjera s ciljem zaštite okoliša.</w:t>
      </w:r>
    </w:p>
    <w:p>
      <w:pPr>
        <w:pStyle w:val="Tijeloteksta"/>
        <w:ind w:left="115" w:right="110" w:firstLine="700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Sukladno Uredbi o sprečavanju velikih nesreća koje uključuju opasne tvari (“Narodne novine“, broj 44/14), utvrđena je obveza izvješćivanja gospodarskih subjekata o činjenici proizvodnje, skladištenja, prerade, rukovanja, prijevoza i skupljanja opasnih tvari. Agencija  za zaštitu okoliša Republike Hrvatske formirala je registar rizičnih i potencijalno rizičnih postrojenja iz kojega će bit vidljivi gospodarski subjekti na prostoru grada koji proizvode, skladište, prerađuju, rukuju, prijevoze ili skupljaju opasne</w:t>
      </w:r>
      <w:r>
        <w:rPr>
          <w:rFonts w:ascii="Times New Roman" w:hAnsi="Times New Roman"/>
          <w:spacing w:val="-2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tvari.</w:t>
      </w:r>
    </w:p>
    <w:p>
      <w:pPr>
        <w:pStyle w:val="Tijeloteksta"/>
        <w:ind w:left="115" w:right="110" w:firstLine="7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Tijeloteksta"/>
        <w:spacing w:before="5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Stilnaslova2"/>
        <w:numPr>
          <w:ilvl w:val="0"/>
          <w:numId w:val="2"/>
        </w:numPr>
        <w:tabs>
          <w:tab w:val="clear" w:pos="720"/>
          <w:tab w:val="left" w:pos="1067" w:leader="none"/>
        </w:tabs>
        <w:ind w:left="1066" w:hanging="250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EDUKACIJA STANOVNIŠTVA NA PODRUČJU CIVILNE</w:t>
      </w:r>
      <w:r>
        <w:rPr>
          <w:rFonts w:ascii="Times New Roman" w:hAnsi="Times New Roman"/>
          <w:spacing w:val="-24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ZAŠTITE</w:t>
      </w:r>
    </w:p>
    <w:p>
      <w:pPr>
        <w:pStyle w:val="Tijeloteksta"/>
        <w:spacing w:before="3" w:after="0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</w:r>
    </w:p>
    <w:p>
      <w:pPr>
        <w:pStyle w:val="Tijeloteksta"/>
        <w:ind w:left="115" w:right="107" w:firstLine="700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Nesreća bilo kojeg oblika i obujma rijetko koga ostavlja ravnodušnim. Ljudi u takvim situacijama različito reagiraju, pojedini su skloni panici, neki traže pomoć, većina ne zna kako pravilno reagirati, što ponekad može imati kobne posljedice.</w:t>
      </w:r>
    </w:p>
    <w:p>
      <w:pPr>
        <w:pStyle w:val="Tijeloteksta"/>
        <w:spacing w:lineRule="auto" w:line="235" w:before="6" w:after="0"/>
        <w:ind w:left="115" w:firstLine="700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pravcu postizanja pravilnog postupanja i smanjenja štete potrebno je konstantno educirati stanovništvo na slijedeći način:</w:t>
      </w:r>
    </w:p>
    <w:p>
      <w:pPr>
        <w:pStyle w:val="Tijeloteksta"/>
        <w:spacing w:before="2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2" w:leader="none"/>
        </w:tabs>
        <w:spacing w:lineRule="exact" w:line="251" w:before="1" w:after="0"/>
        <w:ind w:left="836" w:hanging="360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informiranja građana, školske populacije i mladeži kroz školske ustanove i rad mjesnih odbora i drugih</w:t>
      </w:r>
      <w:r>
        <w:rPr>
          <w:rFonts w:ascii="Times New Roman" w:hAnsi="Times New Roman"/>
          <w:spacing w:val="-8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institucija,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2" w:leader="none"/>
        </w:tabs>
        <w:spacing w:lineRule="exact" w:line="251"/>
        <w:ind w:left="836" w:hanging="360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provođenje informiranja građana putem sredstava javnog</w:t>
      </w:r>
      <w:r>
        <w:rPr>
          <w:rFonts w:ascii="Times New Roman" w:hAnsi="Times New Roman"/>
          <w:spacing w:val="-7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informiranja,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2" w:leader="none"/>
        </w:tabs>
        <w:spacing w:before="1" w:after="0"/>
        <w:ind w:left="836" w:right="112" w:hanging="360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prema postojećem kalendaru obilježavanje svih datuma od značaja 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za </w:t>
      </w:r>
      <w:r>
        <w:rPr>
          <w:rFonts w:ascii="Times New Roman" w:hAnsi="Times New Roman"/>
          <w:sz w:val="24"/>
          <w:szCs w:val="24"/>
          <w:lang w:val="hr-HR"/>
        </w:rPr>
        <w:t>zaštitu i spašavanje,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2" w:leader="none"/>
        </w:tabs>
        <w:spacing w:lineRule="exact" w:line="251" w:before="3" w:after="0"/>
        <w:ind w:left="836" w:hanging="360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prezentacije rada redovnih snaga civilne</w:t>
      </w:r>
      <w:r>
        <w:rPr>
          <w:rFonts w:ascii="Times New Roman" w:hAnsi="Times New Roman"/>
          <w:spacing w:val="-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zaštite širokom krugu mladeži svih uzrasta i sa pokaznim vježbama,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2" w:leader="none"/>
        </w:tabs>
        <w:ind w:left="836" w:right="111" w:hanging="360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uvrštavanjem na web stranicu grada informacije o sustavu civilne zaštite, korisnih za informiranje građana o načinu ponašanja u kriznim situacijama, kao i sve ostale informacije koje 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će </w:t>
      </w:r>
      <w:r>
        <w:rPr>
          <w:rFonts w:ascii="Times New Roman" w:hAnsi="Times New Roman"/>
          <w:sz w:val="24"/>
          <w:szCs w:val="24"/>
          <w:lang w:val="hr-HR"/>
        </w:rPr>
        <w:t>doprinijeti osjećaju sigurnosti građana u funkcioniranje cjelokupnog sustava civilne</w:t>
      </w:r>
      <w:r>
        <w:rPr>
          <w:rFonts w:ascii="Times New Roman" w:hAnsi="Times New Roman"/>
          <w:spacing w:val="2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zaštite.</w:t>
      </w:r>
    </w:p>
    <w:p>
      <w:pPr>
        <w:pStyle w:val="Tijelotekst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Tijeloteksta"/>
        <w:ind w:left="115" w:right="111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Dan Civilne zaštite, Dan vatrogastva i Mjesec zaštite od požara, Međunarodni dan Crvenog križa, Dan broja 112, Dan planeta Zemlje, Dan voda i drugi datumi moraju biti u funkciji edukacije stanovništva i mladeži, a što znači da ove datume trebamo iskoristiti 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za </w:t>
      </w:r>
      <w:r>
        <w:rPr>
          <w:rFonts w:ascii="Times New Roman" w:hAnsi="Times New Roman"/>
          <w:sz w:val="24"/>
          <w:szCs w:val="24"/>
          <w:lang w:val="hr-HR"/>
        </w:rPr>
        <w:t>prezentaciju rada i dostignuća sudionika civilne zaštite.</w:t>
      </w:r>
    </w:p>
    <w:p>
      <w:pPr>
        <w:pStyle w:val="Tijeloteksta"/>
        <w:spacing w:before="4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Tijeloteksta"/>
        <w:spacing w:before="4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Stilnaslova2"/>
        <w:numPr>
          <w:ilvl w:val="0"/>
          <w:numId w:val="2"/>
        </w:numPr>
        <w:tabs>
          <w:tab w:val="clear" w:pos="720"/>
          <w:tab w:val="left" w:pos="1072" w:leader="none"/>
        </w:tabs>
        <w:spacing w:before="1" w:after="0"/>
        <w:ind w:left="1071" w:hanging="250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SURADNJA NA POLJU CIVILNE</w:t>
      </w:r>
      <w:r>
        <w:rPr>
          <w:rFonts w:ascii="Times New Roman" w:hAnsi="Times New Roman"/>
          <w:spacing w:val="-16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ZAŠTITE</w:t>
      </w:r>
    </w:p>
    <w:p>
      <w:pPr>
        <w:pStyle w:val="Stilnaslova2"/>
        <w:tabs>
          <w:tab w:val="clear" w:pos="720"/>
          <w:tab w:val="left" w:pos="1072" w:leader="none"/>
        </w:tabs>
        <w:spacing w:before="1" w:after="0"/>
        <w:ind w:left="821" w:hanging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Tijeloteksta"/>
        <w:spacing w:lineRule="auto" w:line="235"/>
        <w:ind w:left="115" w:hanging="0"/>
        <w:rPr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Suradnja na polju civilne zaštite ima za cilj razmjenu iskustava, podataka, znanja i vještina sa odgovarajućim institucijama civilne zaštite.</w:t>
      </w:r>
    </w:p>
    <w:p>
      <w:pPr>
        <w:pStyle w:val="T982"/>
        <w:tabs>
          <w:tab w:val="left" w:pos="540" w:leader="none"/>
          <w:tab w:val="left" w:pos="2153" w:leader="none"/>
        </w:tabs>
        <w:spacing w:lineRule="atLeast" w:line="198"/>
        <w:ind w:hanging="0"/>
        <w:rPr>
          <w:rFonts w:ascii="Arial" w:hAnsi="Arial" w:cs="Arial"/>
          <w:sz w:val="22"/>
          <w:szCs w:val="22"/>
        </w:rPr>
      </w:pPr>
      <w:r>
        <w:rPr>
          <w:rFonts w:cs="Arial" w:ascii="Times New Roman" w:hAnsi="Times New Roman"/>
          <w:sz w:val="24"/>
          <w:szCs w:val="24"/>
          <w:lang w:eastAsia="en-US"/>
        </w:rPr>
        <w:tab/>
        <w:t xml:space="preserve">   </w:t>
      </w:r>
      <w:r>
        <w:rPr>
          <w:rFonts w:cs="Arial" w:ascii="Times New Roman" w:hAnsi="Times New Roman"/>
          <w:sz w:val="24"/>
          <w:szCs w:val="24"/>
        </w:rPr>
        <w:t>Suradnja svih sudionika sustava civilne zaštite na području grada je iznimno dobra, a u razdoblju 2024.- 2028. suradnju će se još nastojati unaprijediti kroz poduzimanje zajedničkih napora za dodatnu edukaciju članstva različitih sudionika CZ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, </w:t>
      </w:r>
      <w:r>
        <w:rPr>
          <w:rFonts w:cs="Arial" w:ascii="Times New Roman" w:hAnsi="Times New Roman"/>
          <w:sz w:val="24"/>
          <w:szCs w:val="24"/>
        </w:rPr>
        <w:t>unaprjeđenje horizontalne suradnje unutar JLS, ali i vertikalne suradnje na razini Županija – JLS u cilju što kvalitetnijeg i racionalnijeg planiranja, a po potrebi i korištenja snaga i resursa</w:t>
      </w:r>
    </w:p>
    <w:p>
      <w:pPr>
        <w:pStyle w:val="T982"/>
        <w:tabs>
          <w:tab w:val="left" w:pos="540" w:leader="none"/>
          <w:tab w:val="left" w:pos="2153" w:leader="none"/>
        </w:tabs>
        <w:spacing w:lineRule="atLeast" w:line="198"/>
        <w:ind w:hanging="0"/>
        <w:rPr>
          <w:rFonts w:ascii="Arial" w:hAnsi="Arial" w:cs="Arial"/>
          <w:sz w:val="22"/>
          <w:szCs w:val="22"/>
        </w:rPr>
      </w:pPr>
      <w:r>
        <w:rPr>
          <w:rFonts w:cs="Arial" w:ascii="Times New Roman" w:hAnsi="Times New Roman"/>
          <w:sz w:val="24"/>
          <w:szCs w:val="24"/>
        </w:rPr>
        <w:tab/>
        <w:t xml:space="preserve">    Obzirom da nesreće ne poznaju granice nastojat ćemo održati i unaprijediti već do sada ostvarenu suradnju sa Civilnom zaštitom Kopra i Postojne ( Slovenije), te Italije.</w:t>
      </w:r>
    </w:p>
    <w:p>
      <w:pPr>
        <w:pStyle w:val="Tijeloteksta"/>
        <w:spacing w:before="9" w:after="0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</w:r>
    </w:p>
    <w:p>
      <w:pPr>
        <w:pStyle w:val="Tijeloteksta"/>
        <w:spacing w:before="1" w:after="0"/>
        <w:ind w:left="115" w:hanging="0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>
      <w:pPr>
        <w:pStyle w:val="Stilnaslova2"/>
        <w:numPr>
          <w:ilvl w:val="0"/>
          <w:numId w:val="2"/>
        </w:numPr>
        <w:tabs>
          <w:tab w:val="clear" w:pos="720"/>
          <w:tab w:val="left" w:pos="1072" w:leader="none"/>
        </w:tabs>
        <w:ind w:left="1071" w:hanging="250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FINANCIRANJE SUSTAVA CIVILNE</w:t>
      </w:r>
      <w:r>
        <w:rPr>
          <w:rFonts w:ascii="Times New Roman" w:hAnsi="Times New Roman"/>
          <w:spacing w:val="-2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ZAŠTITE</w:t>
      </w:r>
    </w:p>
    <w:p>
      <w:pPr>
        <w:pStyle w:val="Tijeloteksta"/>
        <w:spacing w:before="2" w:after="0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</w:r>
    </w:p>
    <w:p>
      <w:pPr>
        <w:pStyle w:val="Tijeloteksta"/>
        <w:spacing w:before="1" w:after="0"/>
        <w:ind w:left="113" w:firstLine="705"/>
        <w:contextualSpacing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Kroz financiranje sustava civilne zaštite potrebno je postići racionalno, funkcionalno i učinkovito djelovanje sustava civilne zaštite.</w:t>
      </w:r>
    </w:p>
    <w:p>
      <w:pPr>
        <w:pStyle w:val="Tijeloteksta"/>
        <w:spacing w:before="3" w:after="0"/>
        <w:ind w:left="113" w:right="150" w:firstLine="705"/>
        <w:contextualSpacing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Sukladno Zakonu o sustavu civilne zaštite NN </w:t>
      </w:r>
      <w:r>
        <w:rPr>
          <w:rFonts w:ascii="Times New Roman" w:hAnsi="Times New Roman"/>
          <w:sz w:val="24"/>
          <w:szCs w:val="24"/>
        </w:rPr>
        <w:t>br</w:t>
      </w:r>
      <w:r>
        <w:rPr>
          <w:rFonts w:ascii="Times New Roman" w:hAnsi="Times New Roman"/>
          <w:sz w:val="24"/>
          <w:szCs w:val="24"/>
          <w:lang w:val="hr-HR"/>
        </w:rPr>
        <w:t xml:space="preserve">. 82/15, 118/18, 31/20, 20/21, 114/22    potrebno je utvrditi izvore i način financiranja sustava civilne zaštite. U Proračunu Grada   </w:t>
      </w:r>
      <w:r>
        <w:rPr>
          <w:rFonts w:cs="Arial" w:ascii="Times New Roman" w:hAnsi="Times New Roman"/>
          <w:sz w:val="24"/>
          <w:szCs w:val="24"/>
          <w:lang w:val="hr-HR" w:eastAsia="en-US"/>
        </w:rPr>
        <w:t>planiraju se</w:t>
      </w:r>
      <w:r>
        <w:rPr>
          <w:rFonts w:ascii="Times New Roman" w:hAnsi="Times New Roman"/>
          <w:sz w:val="24"/>
          <w:szCs w:val="24"/>
          <w:lang w:val="hr-HR"/>
        </w:rPr>
        <w:t xml:space="preserve"> sredstva za financiranje sustava civilne zaštite imajući u vidu odredbe Zakona o sustavu civilne zaštite (NN </w:t>
      </w:r>
      <w:r>
        <w:rPr>
          <w:rFonts w:ascii="Times New Roman" w:hAnsi="Times New Roman"/>
          <w:sz w:val="24"/>
          <w:szCs w:val="24"/>
        </w:rPr>
        <w:t>br</w:t>
      </w:r>
      <w:r>
        <w:rPr>
          <w:rFonts w:ascii="Times New Roman" w:hAnsi="Times New Roman"/>
          <w:sz w:val="24"/>
          <w:szCs w:val="24"/>
          <w:lang w:val="hr-HR"/>
        </w:rPr>
        <w:t>. 82/15, 118/18, 31/20, 20/21, 114/22) i odredbe posebnih propisa.</w:t>
      </w:r>
    </w:p>
    <w:p>
      <w:pPr>
        <w:pStyle w:val="Tijeloteksta"/>
        <w:spacing w:before="6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Tijeloteksta"/>
        <w:spacing w:before="6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Stilnaslova1"/>
        <w:numPr>
          <w:ilvl w:val="0"/>
          <w:numId w:val="7"/>
        </w:numPr>
        <w:tabs>
          <w:tab w:val="clear" w:pos="720"/>
          <w:tab w:val="left" w:pos="481" w:leader="none"/>
        </w:tabs>
        <w:ind w:left="480" w:hanging="364"/>
        <w:rPr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ZAKLJUČAK</w:t>
      </w:r>
    </w:p>
    <w:p>
      <w:pPr>
        <w:pStyle w:val="Tijeloteksta"/>
        <w:spacing w:before="3" w:after="0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</w:r>
    </w:p>
    <w:p>
      <w:pPr>
        <w:pStyle w:val="Tijeloteksta"/>
        <w:spacing w:before="1" w:after="0"/>
        <w:ind w:left="115" w:right="115" w:firstLine="705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Jedino razvijen i usklađen sustav civilne zaštite u mogućnosti je odgovoriti na raznolike prijetnje i ugroze koje se mogu javiti i ugroziti živote građana i uništiti stečena materijalna dobra, te prekinuti funkcioniranje društvene zajednice na određeno vrijeme.</w:t>
      </w:r>
    </w:p>
    <w:p>
      <w:pPr>
        <w:pStyle w:val="Tijeloteksta"/>
        <w:ind w:left="115" w:right="108" w:firstLine="768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Dobra povezanost svih subjekata civilne zaštite doprinosi njegovoj učinkovitosti na može bitnom otklanjanju posljedica i ranjavanja od neke od ugroza, nesreća ili katastrofa, ali i doprinosi racionalnom trošenju financijskih sredstava iz proračuna.</w:t>
      </w:r>
    </w:p>
    <w:p>
      <w:pPr>
        <w:pStyle w:val="Tijeloteksta"/>
        <w:ind w:left="115" w:firstLine="705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Slijedeći ove Smjernice u aktivnostima i rokovima izvršavanja očekuje se da će Grad  na kraju planiranog razdoblja imati:</w:t>
      </w:r>
    </w:p>
    <w:p>
      <w:pPr>
        <w:pStyle w:val="Normal"/>
        <w:tabs>
          <w:tab w:val="clear" w:pos="720"/>
          <w:tab w:val="left" w:pos="1182" w:leader="none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82" w:leader="none"/>
        </w:tabs>
        <w:spacing w:before="2" w:after="0"/>
        <w:ind w:left="1181" w:right="116" w:hanging="360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završene sve aktivnosti oko izrade planskih dokumenata službe i pravne osobe koje 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se </w:t>
      </w:r>
      <w:r>
        <w:rPr>
          <w:rFonts w:ascii="Times New Roman" w:hAnsi="Times New Roman"/>
          <w:sz w:val="24"/>
          <w:szCs w:val="24"/>
          <w:lang w:val="hr-HR"/>
        </w:rPr>
        <w:t>zaštitom i spašavanjem bave u okviru svoje redovne</w:t>
      </w:r>
      <w:r>
        <w:rPr>
          <w:rFonts w:ascii="Times New Roman" w:hAnsi="Times New Roman"/>
          <w:spacing w:val="5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djelatnosti,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82" w:leader="none"/>
        </w:tabs>
        <w:spacing w:lineRule="auto" w:line="235" w:before="5" w:after="0"/>
        <w:ind w:left="1181" w:right="116" w:hanging="360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dobrim djelom izvršiti aktivnosti oko izrade planskih dokumenata jedinica lokalne samouprave,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82" w:leader="none"/>
        </w:tabs>
        <w:spacing w:lineRule="exact" w:line="251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educirane sudionike strukture upravljanja, zapovijedanja i</w:t>
      </w:r>
      <w:r>
        <w:rPr>
          <w:rFonts w:ascii="Times New Roman" w:hAnsi="Times New Roman"/>
          <w:spacing w:val="5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izvršenja,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82" w:leader="none"/>
        </w:tabs>
        <w:spacing w:lineRule="auto" w:line="235" w:before="3" w:after="0"/>
        <w:ind w:left="1181" w:right="116" w:hanging="360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višu razinu informiranosti građana o sustavu civilne zaštite, a samim time i veće povjerenje u sustav.</w:t>
      </w:r>
    </w:p>
    <w:p>
      <w:pPr>
        <w:pStyle w:val="Tijeloteksta"/>
        <w:spacing w:before="6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Tijeloteksta"/>
        <w:spacing w:lineRule="auto" w:line="235"/>
        <w:ind w:left="115" w:firstLine="705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Smjernice za organizaciju i razvoj sustava civilne zaštite Grada odnose se na razdoblje od 2024. do 2028. godine.</w:t>
      </w:r>
    </w:p>
    <w:p>
      <w:pPr>
        <w:pStyle w:val="Normal"/>
        <w:spacing w:lineRule="auto" w:line="235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spacing w:lineRule="auto" w:line="235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Stilnaslova1"/>
        <w:numPr>
          <w:ilvl w:val="0"/>
          <w:numId w:val="7"/>
        </w:numPr>
        <w:tabs>
          <w:tab w:val="clear" w:pos="720"/>
          <w:tab w:val="left" w:pos="832" w:leader="none"/>
        </w:tabs>
        <w:spacing w:before="87" w:after="0"/>
        <w:ind w:left="832" w:hanging="356"/>
        <w:rPr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ZAVRŠNE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ODREDBE</w:t>
      </w:r>
    </w:p>
    <w:p>
      <w:pPr>
        <w:pStyle w:val="Tijeloteksta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</w:r>
    </w:p>
    <w:p>
      <w:pPr>
        <w:pStyle w:val="Tijeloteksta"/>
        <w:tabs>
          <w:tab w:val="clear" w:pos="720"/>
          <w:tab w:val="left" w:pos="4134" w:leader="none"/>
        </w:tabs>
        <w:spacing w:before="211" w:after="0"/>
        <w:ind w:left="116" w:right="111" w:hanging="0"/>
        <w:jc w:val="both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</w:t>
      </w:r>
      <w:r>
        <w:rPr>
          <w:rFonts w:ascii="Times New Roman" w:hAnsi="Times New Roman"/>
          <w:sz w:val="24"/>
          <w:szCs w:val="24"/>
          <w:lang w:val="hr-HR"/>
        </w:rPr>
        <w:t xml:space="preserve">Ove Smjernice </w:t>
      </w:r>
      <w:r>
        <w:rPr>
          <w:rFonts w:ascii="Times New Roman" w:hAnsi="Times New Roman"/>
          <w:spacing w:val="-3"/>
          <w:sz w:val="24"/>
          <w:szCs w:val="24"/>
          <w:lang w:val="hr-HR"/>
        </w:rPr>
        <w:t xml:space="preserve">za </w:t>
      </w:r>
      <w:r>
        <w:rPr>
          <w:rFonts w:ascii="Times New Roman" w:hAnsi="Times New Roman"/>
          <w:sz w:val="24"/>
          <w:szCs w:val="24"/>
          <w:lang w:val="hr-HR"/>
        </w:rPr>
        <w:t xml:space="preserve">organizaciju i razvoj sustava civilne zaštite na području Grada Buja-Buie za razdoblje  od  2024.  do </w:t>
      </w:r>
      <w:r>
        <w:rPr>
          <w:rFonts w:ascii="Times New Roman" w:hAnsi="Times New Roman"/>
          <w:spacing w:val="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2028.</w:t>
      </w:r>
      <w:r>
        <w:rPr>
          <w:rFonts w:ascii="Times New Roman" w:hAnsi="Times New Roman"/>
          <w:spacing w:val="58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godine objavit će se u Službenim novinama Grada Buja-Buie i stupaju na snagu 01.01.2024. </w:t>
      </w:r>
    </w:p>
    <w:p>
      <w:pPr>
        <w:pStyle w:val="Tijelotekst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Tijelotekst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Tijeloteksta"/>
        <w:spacing w:before="4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Spacing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KLASA: </w:t>
      </w:r>
      <w:r>
        <w:rPr>
          <w:rFonts w:ascii="Times New Roman" w:hAnsi="Times New Roman"/>
          <w:sz w:val="24"/>
          <w:szCs w:val="24"/>
          <w:lang w:val="hr-HR"/>
        </w:rPr>
        <w:t>240-01/23-01/04</w:t>
      </w:r>
    </w:p>
    <w:p>
      <w:pPr>
        <w:pStyle w:val="NoSpacing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URBROJ: 2163-2-05/02-23-1 </w:t>
      </w:r>
    </w:p>
    <w:p>
      <w:pPr>
        <w:pStyle w:val="NoSpacing"/>
        <w:rPr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u w:val="single" w:color="FFFFFF"/>
          <w:lang w:val="hr-HR"/>
        </w:rPr>
        <w:t>Buje, 06.12.2023.</w:t>
      </w:r>
    </w:p>
    <w:p>
      <w:pPr>
        <w:pStyle w:val="NoSpacing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Spacing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Spacing"/>
        <w:jc w:val="center"/>
        <w:rPr>
          <w:sz w:val="24"/>
          <w:szCs w:val="24"/>
          <w:lang w:val="hr-HR"/>
        </w:rPr>
      </w:pPr>
      <w:r>
        <w:rPr>
          <w:rFonts w:ascii="Times New Roman" w:hAnsi="Times New Roman"/>
          <w:b/>
          <w:bCs/>
          <w:i w:val="false"/>
          <w:sz w:val="24"/>
          <w:szCs w:val="24"/>
          <w:lang w:val="hr-HR"/>
        </w:rPr>
        <w:t xml:space="preserve">GRADSKO VIJEĆE GRADA BUJA-BUIE       </w:t>
      </w:r>
    </w:p>
    <w:p>
      <w:pPr>
        <w:pStyle w:val="NoSpacing"/>
        <w:jc w:val="center"/>
        <w:rPr>
          <w:sz w:val="24"/>
          <w:szCs w:val="24"/>
          <w:lang w:val="hr-HR"/>
        </w:rPr>
      </w:pPr>
      <w:r>
        <w:rPr>
          <w:rFonts w:ascii="Times New Roman" w:hAnsi="Times New Roman"/>
          <w:b/>
          <w:bCs/>
          <w:i w:val="false"/>
          <w:sz w:val="24"/>
          <w:szCs w:val="24"/>
          <w:lang w:val="hr-HR"/>
        </w:rPr>
        <w:t>Predsjednik</w:t>
      </w:r>
    </w:p>
    <w:p>
      <w:pPr>
        <w:pStyle w:val="NoSpacing"/>
        <w:jc w:val="center"/>
        <w:rPr>
          <w:sz w:val="24"/>
          <w:szCs w:val="24"/>
          <w:lang w:val="hr-HR"/>
        </w:rPr>
      </w:pPr>
      <w:r>
        <w:rPr>
          <w:rFonts w:ascii="Times New Roman" w:hAnsi="Times New Roman"/>
          <w:i w:val="false"/>
          <w:sz w:val="24"/>
          <w:szCs w:val="24"/>
          <w:lang w:val="hr-HR"/>
        </w:rPr>
        <w:t>Franko Gergorić</w:t>
      </w:r>
    </w:p>
    <w:p>
      <w:pPr>
        <w:pStyle w:val="Normal"/>
        <w:spacing w:before="95" w:after="0"/>
        <w:ind w:right="112" w:hanging="0"/>
        <w:jc w:val="center"/>
        <w:rPr>
          <w:sz w:val="24"/>
          <w:szCs w:val="24"/>
          <w:lang w:val="hr-HR"/>
        </w:rPr>
      </w:pPr>
      <w:r>
        <w:rPr/>
      </w:r>
    </w:p>
    <w:sectPr>
      <w:footerReference w:type="default" r:id="rId2"/>
      <w:type w:val="nextPage"/>
      <w:pgSz w:w="11906" w:h="16838"/>
      <w:pgMar w:left="1160" w:right="1300" w:header="0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-NewRoman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jeloteksta"/>
      <w:spacing w:lineRule="auto" w:line="9"/>
      <w:rPr>
        <w:sz w:val="2"/>
      </w:rPr>
    </w:pPr>
    <w:r>
      <w:rPr>
        <w:sz w:val="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181" w:hanging="360"/>
      </w:pPr>
      <w:rPr>
        <w:rFonts w:ascii="Arial" w:hAnsi="Arial" w:cs="Arial" w:hint="default"/>
        <w:sz w:val="22"/>
        <w:w w:val="100"/>
        <w:rFonts w:cs="Arial"/>
      </w:rPr>
    </w:lvl>
    <w:lvl w:ilvl="1">
      <w:start w:val="1"/>
      <w:numFmt w:val="bullet"/>
      <w:lvlText w:val=""/>
      <w:lvlJc w:val="left"/>
      <w:pPr>
        <w:ind w:left="1992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61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429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242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05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866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679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3"/>
      <w:numFmt w:val="decimal"/>
      <w:lvlText w:val="%1."/>
      <w:lvlJc w:val="left"/>
      <w:pPr>
        <w:ind w:left="1128" w:hanging="308"/>
      </w:pPr>
      <w:rPr>
        <w:sz w:val="22"/>
        <w:spacing w:val="0"/>
        <w:b/>
        <w:szCs w:val="22"/>
        <w:bCs/>
        <w:w w:val="100"/>
        <w:rFonts w:eastAsia="Times New Roman" w:cs="Arial"/>
      </w:rPr>
    </w:lvl>
    <w:lvl w:ilvl="1">
      <w:start w:val="1"/>
      <w:numFmt w:val="decimal"/>
      <w:lvlText w:val="%1.%2."/>
      <w:lvlJc w:val="left"/>
      <w:pPr>
        <w:ind w:left="1253" w:hanging="432"/>
      </w:pPr>
      <w:rPr>
        <w:sz w:val="22"/>
        <w:spacing w:val="-3"/>
        <w:b/>
        <w:szCs w:val="22"/>
        <w:bCs/>
        <w:w w:val="100"/>
        <w:rFonts w:eastAsia="Times New Roman" w:cs="Arial"/>
      </w:rPr>
    </w:lvl>
    <w:lvl w:ilvl="2">
      <w:start w:val="1"/>
      <w:numFmt w:val="bullet"/>
      <w:lvlText w:val=""/>
      <w:lvlJc w:val="left"/>
      <w:pPr>
        <w:ind w:left="2153" w:hanging="432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047" w:hanging="432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941" w:hanging="432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835" w:hanging="432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728" w:hanging="432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622" w:hanging="432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516" w:hanging="432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-"/>
      <w:lvlJc w:val="left"/>
      <w:pPr>
        <w:ind w:left="1181" w:hanging="360"/>
      </w:pPr>
      <w:rPr>
        <w:rFonts w:ascii="Arial" w:hAnsi="Arial" w:cs="Arial" w:hint="default"/>
        <w:sz w:val="22"/>
        <w:w w:val="100"/>
        <w:rFonts w:cs="Arial"/>
      </w:rPr>
    </w:lvl>
    <w:lvl w:ilvl="1">
      <w:start w:val="1"/>
      <w:numFmt w:val="bullet"/>
      <w:lvlText w:val=""/>
      <w:lvlJc w:val="left"/>
      <w:pPr>
        <w:ind w:left="1992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61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429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242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05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866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679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2"/>
      <w:numFmt w:val="decimal"/>
      <w:lvlText w:val="%1"/>
      <w:lvlJc w:val="left"/>
      <w:pPr>
        <w:ind w:left="1532" w:hanging="706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546" w:hanging="706"/>
      </w:pPr>
      <w:rPr>
        <w:sz w:val="22"/>
        <w:spacing w:val="-3"/>
        <w:b/>
        <w:szCs w:val="22"/>
        <w:bCs/>
        <w:w w:val="100"/>
        <w:rFonts w:eastAsia="Times New Roman" w:cs="Arial"/>
      </w:rPr>
    </w:lvl>
    <w:lvl w:ilvl="2">
      <w:start w:val="1"/>
      <w:numFmt w:val="bullet"/>
      <w:lvlText w:val=""/>
      <w:lvlJc w:val="left"/>
      <w:pPr>
        <w:ind w:left="3092" w:hanging="706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869" w:hanging="706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645" w:hanging="706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422" w:hanging="706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198" w:hanging="706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974" w:hanging="706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751" w:hanging="706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2"/>
      <w:numFmt w:val="decimal"/>
      <w:lvlText w:val="%1"/>
      <w:lvlJc w:val="left"/>
      <w:pPr>
        <w:ind w:left="1532" w:hanging="711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532" w:hanging="71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32" w:hanging="711"/>
      </w:pPr>
      <w:rPr>
        <w:sz w:val="22"/>
        <w:spacing w:val="-3"/>
        <w:b/>
        <w:szCs w:val="22"/>
        <w:bCs/>
        <w:w w:val="100"/>
        <w:rFonts w:eastAsia="Times New Roman" w:cs="Arial"/>
      </w:rPr>
    </w:lvl>
    <w:lvl w:ilvl="3">
      <w:start w:val="1"/>
      <w:numFmt w:val="bullet"/>
      <w:lvlText w:val=""/>
      <w:lvlJc w:val="left"/>
      <w:pPr>
        <w:ind w:left="3374" w:hanging="711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221" w:hanging="711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068" w:hanging="711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915" w:hanging="711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762" w:hanging="711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609" w:hanging="711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1"/>
      <w:numFmt w:val="bullet"/>
      <w:lvlText w:val="-"/>
      <w:lvlJc w:val="left"/>
      <w:pPr>
        <w:ind w:left="836" w:hanging="346"/>
      </w:pPr>
      <w:rPr>
        <w:rFonts w:ascii="Arial" w:hAnsi="Arial" w:cs="Arial" w:hint="default"/>
        <w:sz w:val="22"/>
        <w:w w:val="100"/>
        <w:rFonts w:cs="Arial"/>
      </w:rPr>
    </w:lvl>
    <w:lvl w:ilvl="1">
      <w:start w:val="1"/>
      <w:numFmt w:val="bullet"/>
      <w:lvlText w:val="-"/>
      <w:lvlJc w:val="left"/>
      <w:pPr>
        <w:ind w:left="1181" w:hanging="360"/>
      </w:pPr>
      <w:rPr>
        <w:rFonts w:ascii="Times New Roman" w:hAnsi="Times New Roman" w:cs="Times New Roman" w:hint="default"/>
        <w:sz w:val="22"/>
        <w:b/>
        <w:w w:val="100"/>
        <w:rFonts w:cs="Times New Roman"/>
      </w:rPr>
    </w:lvl>
    <w:lvl w:ilvl="2">
      <w:start w:val="1"/>
      <w:numFmt w:val="bullet"/>
      <w:lvlText w:val=""/>
      <w:lvlJc w:val="left"/>
      <w:pPr>
        <w:ind w:left="2082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888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79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69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596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498" w:hanging="360"/>
      </w:pPr>
      <w:rPr>
        <w:rFonts w:ascii="Symbol" w:hAnsi="Symbol" w:cs="Symbol" w:hint="default"/>
        <w:rFonts w:cs="Symbol"/>
      </w:rPr>
    </w:lvl>
  </w:abstractNum>
  <w:abstractNum w:abstractNumId="7">
    <w:lvl w:ilvl="0">
      <w:start w:val="1"/>
      <w:numFmt w:val="upperRoman"/>
      <w:lvlText w:val="%1."/>
      <w:lvlJc w:val="left"/>
      <w:pPr>
        <w:ind w:left="821" w:hanging="706"/>
      </w:pPr>
      <w:rPr>
        <w:spacing w:val="-5"/>
        <w:b/>
        <w:bCs/>
        <w:w w:val="99"/>
        <w:rFonts w:cs="Times New Roman"/>
      </w:rPr>
    </w:lvl>
    <w:lvl w:ilvl="1">
      <w:start w:val="1"/>
      <w:numFmt w:val="decimal"/>
      <w:lvlText w:val="%2."/>
      <w:lvlJc w:val="left"/>
      <w:pPr>
        <w:ind w:left="836" w:hanging="346"/>
      </w:pPr>
      <w:rPr>
        <w:sz w:val="22"/>
        <w:spacing w:val="0"/>
        <w:szCs w:val="22"/>
        <w:w w:val="100"/>
        <w:rFonts w:eastAsia="Times New Roman" w:cs="Arial"/>
      </w:rPr>
    </w:lvl>
    <w:lvl w:ilvl="2">
      <w:start w:val="1"/>
      <w:numFmt w:val="decimal"/>
      <w:lvlText w:val="%3."/>
      <w:lvlJc w:val="left"/>
      <w:pPr>
        <w:ind w:left="1196" w:hanging="360"/>
      </w:pPr>
      <w:rPr>
        <w:sz w:val="22"/>
        <w:spacing w:val="0"/>
        <w:b/>
        <w:szCs w:val="22"/>
        <w:bCs/>
        <w:w w:val="100"/>
        <w:rFonts w:eastAsia="Times New Roman" w:cs="Arial"/>
      </w:rPr>
    </w:lvl>
    <w:lvl w:ilvl="3">
      <w:start w:val="1"/>
      <w:numFmt w:val="decimal"/>
      <w:lvlText w:val="%4."/>
      <w:lvlJc w:val="left"/>
      <w:pPr>
        <w:ind w:left="1431" w:hanging="250"/>
      </w:pPr>
      <w:rPr>
        <w:sz w:val="22"/>
        <w:spacing w:val="0"/>
        <w:b w:val="false"/>
        <w:szCs w:val="22"/>
        <w:bCs/>
        <w:w w:val="100"/>
        <w:rFonts w:eastAsia="Times New Roman" w:cs="Arial"/>
      </w:rPr>
    </w:lvl>
    <w:lvl w:ilvl="4">
      <w:start w:val="1"/>
      <w:numFmt w:val="bullet"/>
      <w:lvlText w:val=""/>
      <w:lvlJc w:val="left"/>
      <w:pPr>
        <w:ind w:left="2563" w:hanging="25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3686" w:hanging="25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4810" w:hanging="25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5933" w:hanging="25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057" w:hanging="250"/>
      </w:pPr>
      <w:rPr>
        <w:rFonts w:ascii="Symbol" w:hAnsi="Symbol" w:cs="Symbol" w:hint="default"/>
        <w:rFonts w:cs="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0639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2"/>
      <w:szCs w:val="22"/>
      <w:lang w:val="en-US" w:eastAsia="en-US" w:bidi="ar-SA"/>
    </w:rPr>
  </w:style>
  <w:style w:type="paragraph" w:styleId="Stilnaslova1">
    <w:name w:val="Heading 1"/>
    <w:basedOn w:val="Normal"/>
    <w:link w:val="Heading1Char"/>
    <w:uiPriority w:val="99"/>
    <w:qFormat/>
    <w:rsid w:val="00590639"/>
    <w:pPr>
      <w:ind w:left="821" w:hanging="705"/>
      <w:outlineLvl w:val="0"/>
    </w:pPr>
    <w:rPr>
      <w:b/>
      <w:bCs/>
      <w:sz w:val="24"/>
      <w:szCs w:val="24"/>
    </w:rPr>
  </w:style>
  <w:style w:type="paragraph" w:styleId="Stilnaslova2">
    <w:name w:val="Heading 2"/>
    <w:basedOn w:val="Normal"/>
    <w:link w:val="Heading2Char"/>
    <w:uiPriority w:val="99"/>
    <w:qFormat/>
    <w:rsid w:val="00590639"/>
    <w:pPr>
      <w:ind w:left="1546" w:hanging="720"/>
      <w:outlineLvl w:val="1"/>
    </w:pPr>
    <w:rPr>
      <w:b/>
      <w:bCs/>
    </w:rPr>
  </w:style>
  <w:style w:type="paragraph" w:styleId="Stilnaslova3">
    <w:name w:val="Heading 3"/>
    <w:basedOn w:val="Normal"/>
    <w:link w:val="Heading3Char"/>
    <w:uiPriority w:val="99"/>
    <w:qFormat/>
    <w:rsid w:val="00590639"/>
    <w:pPr>
      <w:ind w:left="115" w:hanging="0"/>
      <w:outlineLvl w:val="2"/>
    </w:pPr>
    <w:rPr>
      <w:b/>
      <w:bCs/>
      <w:i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2e462e"/>
    <w:rPr>
      <w:rFonts w:ascii="Cambria" w:hAnsi="Cambria" w:cs="Times New Roman"/>
      <w:b/>
      <w:bCs/>
      <w:kern w:val="2"/>
      <w:sz w:val="32"/>
      <w:szCs w:val="32"/>
      <w:lang w:val="en-US" w:eastAsia="en-US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2e462e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2e462e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2e462e"/>
    <w:rPr>
      <w:rFonts w:ascii="Arial" w:hAnsi="Arial" w:cs="Arial"/>
      <w:lang w:val="en-US"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4159c1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BodyTextChar"/>
    <w:uiPriority w:val="99"/>
    <w:rsid w:val="00590639"/>
    <w:pPr/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590639"/>
    <w:pPr>
      <w:ind w:left="836" w:hanging="360"/>
    </w:pPr>
    <w:rPr/>
  </w:style>
  <w:style w:type="paragraph" w:styleId="TableParagraph" w:customStyle="1">
    <w:name w:val="Table Paragraph"/>
    <w:basedOn w:val="Normal"/>
    <w:uiPriority w:val="99"/>
    <w:qFormat/>
    <w:rsid w:val="00590639"/>
    <w:pPr/>
    <w:rPr/>
  </w:style>
  <w:style w:type="paragraph" w:styleId="BalloonText">
    <w:name w:val="Balloon Text"/>
    <w:basedOn w:val="Normal"/>
    <w:link w:val="BalloonTextChar"/>
    <w:uiPriority w:val="99"/>
    <w:semiHidden/>
    <w:qFormat/>
    <w:rsid w:val="004159c1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434de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2"/>
      <w:szCs w:val="22"/>
      <w:lang w:val="en-US" w:eastAsia="en-US" w:bidi="ar-SA"/>
    </w:rPr>
  </w:style>
  <w:style w:type="paragraph" w:styleId="T982" w:customStyle="1">
    <w:name w:val="T-9/8-2"/>
    <w:uiPriority w:val="99"/>
    <w:qFormat/>
    <w:rsid w:val="004e4477"/>
    <w:pPr>
      <w:widowControl w:val="false"/>
      <w:tabs>
        <w:tab w:val="clear" w:pos="720"/>
        <w:tab w:val="left" w:pos="2153" w:leader="none"/>
      </w:tabs>
      <w:suppressAutoHyphens w:val="true"/>
      <w:bidi w:val="0"/>
      <w:spacing w:before="0" w:after="43"/>
      <w:ind w:firstLine="342"/>
      <w:jc w:val="both"/>
    </w:pPr>
    <w:rPr>
      <w:rFonts w:ascii="Times-NewRoman" w:hAnsi="Times-NewRoman" w:eastAsia="Calibri" w:cs="Times New Roman"/>
      <w:color w:val="auto"/>
      <w:kern w:val="0"/>
      <w:sz w:val="19"/>
      <w:szCs w:val="19"/>
      <w:lang w:val="hr-HR" w:eastAsia="hr-HR" w:bidi="ar-SA"/>
    </w:rPr>
  </w:style>
  <w:style w:type="paragraph" w:styleId="Zaglavljeipodnoje">
    <w:name w:val="Zaglavlje i podnožje"/>
    <w:basedOn w:val="Normal"/>
    <w:qFormat/>
    <w:pPr/>
    <w:rPr/>
  </w:style>
  <w:style w:type="paragraph" w:styleId="Podnoje">
    <w:name w:val="Footer"/>
    <w:basedOn w:val="Zaglavljeipodnoj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590639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Application>LibreOffice/6.4.3.2$Windows_X86_64 LibreOffice_project/747b5d0ebf89f41c860ec2a39efd7cb15b54f2d8</Application>
  <Pages>10</Pages>
  <Words>3849</Words>
  <Characters>24392</Characters>
  <CharactersWithSpaces>28116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2019-12-09T07:58:00Z</dcterms:created>
  <dc:creator>Ante Glavurtić</dc:creator>
  <dc:description/>
  <dc:language>hr-HR</dc:language>
  <cp:lastModifiedBy/>
  <cp:lastPrinted>2019-12-09T08:43:00Z</cp:lastPrinted>
  <dcterms:modified xsi:type="dcterms:W3CDTF">2023-12-06T15:14:18Z</dcterms:modified>
  <cp:revision>27</cp:revision>
  <dc:subject/>
  <dc:title>Microsoft Word - SMJERNICE ZA ORGANIZACIJU I RAZVOJ SUSTAVA CIVILNE ZAŠTUITE GRADA ZADRA ZA RAZDOBLJE OD 2016  DO 2019  GODINE.doc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