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firstLine="708"/>
        <w:jc w:val="both"/>
        <w:rPr>
          <w:sz w:val="22"/>
          <w:szCs w:val="22"/>
        </w:rPr>
      </w:pPr>
      <w:r>
        <w:rPr>
          <w:b/>
          <w:bCs/>
          <w:sz w:val="22"/>
          <w:szCs w:val="22"/>
        </w:rPr>
        <w:t>PRIJEDLOG</w:t>
      </w:r>
    </w:p>
    <w:p>
      <w:pPr>
        <w:pStyle w:val="Standard"/>
        <w:ind w:firstLine="708"/>
        <w:jc w:val="both"/>
        <w:rPr>
          <w:sz w:val="22"/>
          <w:szCs w:val="22"/>
        </w:rPr>
      </w:pPr>
      <w:r>
        <w:rPr>
          <w:sz w:val="22"/>
          <w:szCs w:val="22"/>
        </w:rPr>
        <w:t>Temeljem članka 78. Zakona o komunalnom gospodarstvu (NN br. 68/18, 110/18, 32/20) i članka 50. Statuta Grada Buja (“Službene novine Grada Buja” broj 11/09, 05/11, 11/11, 03/13, 05/18, 04/21) Gradsko vijeće Grada Buja-Buie, dana _______2023. godine donosi,</w:t>
      </w:r>
    </w:p>
    <w:p>
      <w:pPr>
        <w:pStyle w:val="Standard"/>
        <w:ind w:firstLine="708"/>
        <w:jc w:val="both"/>
        <w:rPr>
          <w:sz w:val="22"/>
          <w:szCs w:val="22"/>
        </w:rPr>
      </w:pPr>
      <w:r>
        <w:rPr>
          <w:sz w:val="22"/>
          <w:szCs w:val="22"/>
        </w:rPr>
      </w:r>
    </w:p>
    <w:p>
      <w:pPr>
        <w:pStyle w:val="Standard"/>
        <w:rPr>
          <w:sz w:val="22"/>
          <w:szCs w:val="22"/>
        </w:rPr>
      </w:pPr>
      <w:r>
        <w:rPr>
          <w:sz w:val="22"/>
          <w:szCs w:val="22"/>
        </w:rPr>
      </w:r>
    </w:p>
    <w:p>
      <w:pPr>
        <w:pStyle w:val="Standard"/>
        <w:jc w:val="center"/>
        <w:rPr>
          <w:sz w:val="22"/>
          <w:szCs w:val="22"/>
        </w:rPr>
      </w:pPr>
      <w:r>
        <w:rPr>
          <w:b/>
          <w:sz w:val="22"/>
          <w:szCs w:val="22"/>
          <w:lang w:val="pl-PL"/>
        </w:rPr>
        <w:t>O D L U K U</w:t>
      </w:r>
    </w:p>
    <w:p>
      <w:pPr>
        <w:pStyle w:val="Standard"/>
        <w:jc w:val="center"/>
        <w:rPr>
          <w:sz w:val="22"/>
          <w:szCs w:val="22"/>
        </w:rPr>
      </w:pPr>
      <w:r>
        <w:rPr>
          <w:b/>
          <w:sz w:val="22"/>
          <w:szCs w:val="22"/>
          <w:lang w:val="pl-PL"/>
        </w:rPr>
        <w:t>o komunalnom doprinosu</w:t>
      </w:r>
    </w:p>
    <w:p>
      <w:pPr>
        <w:pStyle w:val="Standard"/>
        <w:jc w:val="center"/>
        <w:rPr>
          <w:b/>
          <w:b/>
          <w:lang w:val="pl-PL"/>
        </w:rPr>
      </w:pPr>
      <w:r>
        <w:rPr>
          <w:b/>
          <w:lang w:val="pl-PL"/>
        </w:rPr>
      </w:r>
    </w:p>
    <w:p>
      <w:pPr>
        <w:pStyle w:val="Standard"/>
        <w:rPr>
          <w:lang w:val="pl-PL"/>
        </w:rPr>
      </w:pPr>
      <w:r>
        <w:rPr>
          <w:lang w:val="pl-PL"/>
        </w:rPr>
      </w:r>
    </w:p>
    <w:p>
      <w:pPr>
        <w:pStyle w:val="Standard"/>
        <w:rPr>
          <w:sz w:val="22"/>
          <w:szCs w:val="22"/>
        </w:rPr>
      </w:pPr>
      <w:r>
        <w:rPr>
          <w:b/>
          <w:sz w:val="22"/>
          <w:szCs w:val="22"/>
          <w:lang w:val="pl-PL"/>
        </w:rPr>
        <w:t>I. OPĆE  ODREDBE</w:t>
      </w:r>
    </w:p>
    <w:p>
      <w:pPr>
        <w:pStyle w:val="Standard"/>
        <w:rPr>
          <w:b/>
          <w:b/>
          <w:lang w:val="pl-PL"/>
        </w:rPr>
      </w:pPr>
      <w:r>
        <w:rPr>
          <w:b/>
          <w:lang w:val="pl-PL"/>
        </w:rPr>
      </w:r>
    </w:p>
    <w:p>
      <w:pPr>
        <w:pStyle w:val="Standard"/>
        <w:jc w:val="center"/>
        <w:rPr>
          <w:sz w:val="22"/>
          <w:szCs w:val="22"/>
        </w:rPr>
      </w:pPr>
      <w:r>
        <w:rPr>
          <w:b/>
          <w:sz w:val="22"/>
          <w:szCs w:val="22"/>
          <w:lang w:val="pl-PL"/>
        </w:rPr>
        <w:t>Članak 1.</w:t>
      </w:r>
    </w:p>
    <w:p>
      <w:pPr>
        <w:pStyle w:val="Standard"/>
        <w:rPr>
          <w:lang w:val="pl-PL"/>
        </w:rPr>
      </w:pPr>
      <w:r>
        <w:rPr>
          <w:lang w:val="pl-PL"/>
        </w:rPr>
      </w:r>
    </w:p>
    <w:p>
      <w:pPr>
        <w:pStyle w:val="Standard"/>
        <w:jc w:val="both"/>
        <w:rPr>
          <w:sz w:val="22"/>
          <w:szCs w:val="22"/>
        </w:rPr>
      </w:pPr>
      <w:r>
        <w:rPr>
          <w:sz w:val="22"/>
          <w:szCs w:val="22"/>
          <w:lang w:val="pl-PL"/>
        </w:rPr>
        <w:t>Ovom Odlukom utvrđuju se:</w:t>
      </w:r>
    </w:p>
    <w:p>
      <w:pPr>
        <w:pStyle w:val="Tijeloteksta"/>
        <w:spacing w:lineRule="auto" w:line="240" w:before="0" w:after="0"/>
        <w:rPr>
          <w:sz w:val="22"/>
          <w:szCs w:val="22"/>
        </w:rPr>
      </w:pPr>
      <w:r>
        <w:rPr>
          <w:sz w:val="22"/>
          <w:szCs w:val="22"/>
        </w:rPr>
        <w:t>- zone  za plaćanje komunalnog doprinosa</w:t>
      </w:r>
    </w:p>
    <w:p>
      <w:pPr>
        <w:pStyle w:val="Tijeloteksta"/>
        <w:spacing w:lineRule="auto" w:line="240" w:before="0" w:after="0"/>
        <w:rPr>
          <w:sz w:val="22"/>
          <w:szCs w:val="22"/>
        </w:rPr>
      </w:pPr>
      <w:r>
        <w:rPr>
          <w:sz w:val="22"/>
          <w:szCs w:val="22"/>
        </w:rPr>
        <w:t>- jedinična vrijednost komunalnog doprinosa po pojedinim zonama</w:t>
      </w:r>
    </w:p>
    <w:p>
      <w:pPr>
        <w:pStyle w:val="Tijeloteksta"/>
        <w:spacing w:lineRule="auto" w:line="240" w:before="0" w:after="0"/>
        <w:rPr>
          <w:sz w:val="22"/>
          <w:szCs w:val="22"/>
        </w:rPr>
      </w:pPr>
      <w:r>
        <w:rPr>
          <w:sz w:val="22"/>
          <w:szCs w:val="22"/>
        </w:rPr>
        <w:t>- način i rokovi plaćanja komunalnog doprinosa</w:t>
      </w:r>
    </w:p>
    <w:p>
      <w:pPr>
        <w:pStyle w:val="Tijeloteksta"/>
        <w:spacing w:lineRule="auto" w:line="240" w:before="0" w:after="0"/>
        <w:rPr>
          <w:sz w:val="22"/>
          <w:szCs w:val="22"/>
        </w:rPr>
      </w:pPr>
      <w:r>
        <w:rPr>
          <w:sz w:val="22"/>
          <w:szCs w:val="22"/>
        </w:rPr>
        <w:t xml:space="preserve">- </w:t>
      </w:r>
      <w:bookmarkStart w:id="0" w:name="__DdeLink__1194_1610375536"/>
      <w:r>
        <w:rPr>
          <w:sz w:val="22"/>
          <w:szCs w:val="22"/>
        </w:rPr>
        <w:t>opći uvjeti i razlozi zbog kojih se u pojedinačnim slučajevima odobrava oslobađanje od plaćanja komunalnog doprinosa</w:t>
      </w:r>
      <w:bookmarkEnd w:id="0"/>
      <w:r>
        <w:rPr>
          <w:sz w:val="22"/>
          <w:szCs w:val="22"/>
        </w:rPr>
        <w:t>.</w:t>
      </w:r>
    </w:p>
    <w:p>
      <w:pPr>
        <w:pStyle w:val="Tijeloteksta"/>
        <w:spacing w:lineRule="auto" w:line="240" w:before="0" w:after="0"/>
        <w:rPr>
          <w:sz w:val="22"/>
          <w:szCs w:val="22"/>
        </w:rPr>
      </w:pPr>
      <w:r>
        <w:rPr>
          <w:sz w:val="22"/>
          <w:szCs w:val="22"/>
        </w:rPr>
      </w:r>
    </w:p>
    <w:p>
      <w:pPr>
        <w:pStyle w:val="Standard"/>
        <w:jc w:val="center"/>
        <w:rPr>
          <w:sz w:val="22"/>
          <w:szCs w:val="22"/>
        </w:rPr>
      </w:pPr>
      <w:r>
        <w:rPr>
          <w:b/>
          <w:sz w:val="22"/>
          <w:szCs w:val="22"/>
          <w:lang w:val="pl-PL"/>
        </w:rPr>
        <w:t>Članak 2.</w:t>
      </w:r>
    </w:p>
    <w:p>
      <w:pPr>
        <w:pStyle w:val="Standard"/>
        <w:rPr>
          <w:lang w:val="pl-PL"/>
        </w:rPr>
      </w:pPr>
      <w:r>
        <w:rPr>
          <w:lang w:val="pl-PL"/>
        </w:rPr>
      </w:r>
    </w:p>
    <w:p>
      <w:pPr>
        <w:pStyle w:val="Standard"/>
        <w:ind w:firstLine="708"/>
        <w:jc w:val="both"/>
        <w:rPr>
          <w:sz w:val="22"/>
          <w:szCs w:val="22"/>
        </w:rPr>
      </w:pPr>
      <w:r>
        <w:rPr>
          <w:sz w:val="22"/>
          <w:szCs w:val="22"/>
          <w:lang w:val="pl-PL"/>
        </w:rPr>
        <w:t>Komunalni doprinos je novčano javno davanje koje se plaća za korištenje komunalne infrastrukture na području Grada Buje-Buie (dalje u tekstu: Grad) i položajne pogodnosti građevinskog zemljišta u naselju prilikom građenja ili ozakonjenja građevine, ako Zakonom o komunalnom gospodarstvu (dalje u tekstu:Zakon) nije propisano drugačije.</w:t>
      </w:r>
    </w:p>
    <w:p>
      <w:pPr>
        <w:pStyle w:val="Standard"/>
        <w:jc w:val="both"/>
        <w:rPr>
          <w:sz w:val="22"/>
          <w:szCs w:val="22"/>
        </w:rPr>
      </w:pPr>
      <w:r>
        <w:rPr>
          <w:sz w:val="22"/>
          <w:szCs w:val="22"/>
          <w:lang w:val="pl-PL"/>
        </w:rPr>
        <w:tab/>
        <w:t>Komunalni doprinos je prihod proračuna Grada koji se koristi samo za financiranje građenja i održavanja komunalne infrastrukture.</w:t>
      </w:r>
    </w:p>
    <w:p>
      <w:pPr>
        <w:pStyle w:val="Standard"/>
        <w:jc w:val="both"/>
        <w:rPr>
          <w:lang w:val="pl-PL"/>
        </w:rPr>
      </w:pPr>
      <w:r>
        <w:rPr>
          <w:lang w:val="pl-PL"/>
        </w:rPr>
      </w:r>
    </w:p>
    <w:p>
      <w:pPr>
        <w:pStyle w:val="Standard"/>
        <w:rPr>
          <w:lang w:val="pl-PL"/>
        </w:rPr>
      </w:pPr>
      <w:r>
        <w:rPr>
          <w:lang w:val="pl-PL"/>
        </w:rPr>
      </w:r>
    </w:p>
    <w:p>
      <w:pPr>
        <w:pStyle w:val="Standard"/>
        <w:rPr>
          <w:sz w:val="22"/>
          <w:szCs w:val="22"/>
        </w:rPr>
      </w:pPr>
      <w:r>
        <w:rPr>
          <w:b/>
          <w:sz w:val="22"/>
          <w:szCs w:val="22"/>
          <w:lang w:val="pl-PL"/>
        </w:rPr>
        <w:t>II. ZONE ZA PLAĆANJE KOMUNALNOG DOPRINOSA</w:t>
      </w:r>
    </w:p>
    <w:p>
      <w:pPr>
        <w:pStyle w:val="Standard"/>
        <w:rPr>
          <w:lang w:val="pl-PL"/>
        </w:rPr>
      </w:pPr>
      <w:r>
        <w:rPr>
          <w:lang w:val="pl-PL"/>
        </w:rPr>
      </w:r>
    </w:p>
    <w:p>
      <w:pPr>
        <w:pStyle w:val="Standard"/>
        <w:jc w:val="center"/>
        <w:rPr>
          <w:sz w:val="22"/>
          <w:szCs w:val="22"/>
        </w:rPr>
      </w:pPr>
      <w:r>
        <w:rPr>
          <w:b/>
          <w:sz w:val="22"/>
          <w:szCs w:val="22"/>
          <w:lang w:val="pl-PL"/>
        </w:rPr>
        <w:t>Članak 3.</w:t>
      </w:r>
    </w:p>
    <w:p>
      <w:pPr>
        <w:pStyle w:val="Standard"/>
        <w:rPr>
          <w:lang w:val="pl-PL"/>
        </w:rPr>
      </w:pPr>
      <w:r>
        <w:rPr>
          <w:lang w:val="pl-PL"/>
        </w:rPr>
      </w:r>
    </w:p>
    <w:p>
      <w:pPr>
        <w:pStyle w:val="Standard"/>
        <w:jc w:val="both"/>
        <w:rPr>
          <w:sz w:val="22"/>
          <w:szCs w:val="22"/>
        </w:rPr>
      </w:pPr>
      <w:r>
        <w:rPr>
          <w:sz w:val="22"/>
          <w:szCs w:val="22"/>
          <w:lang w:val="pl-PL"/>
        </w:rPr>
        <w:t xml:space="preserve">    </w:t>
      </w:r>
      <w:r>
        <w:rPr>
          <w:sz w:val="22"/>
          <w:szCs w:val="22"/>
          <w:lang w:val="pl-PL"/>
        </w:rPr>
        <w:tab/>
        <w:t>Područje Grada dijeli se, ovisno o pogodnosti položaja određenog područja grada i stupnju opremljenosti objekatima i uređajima komunalne infrastrukture, na dvije zone i to:</w:t>
      </w:r>
    </w:p>
    <w:p>
      <w:pPr>
        <w:pStyle w:val="Standard"/>
        <w:jc w:val="both"/>
        <w:rPr>
          <w:sz w:val="22"/>
          <w:szCs w:val="22"/>
        </w:rPr>
      </w:pPr>
      <w:r>
        <w:rPr>
          <w:sz w:val="22"/>
          <w:szCs w:val="22"/>
        </w:rPr>
      </w:r>
    </w:p>
    <w:p>
      <w:pPr>
        <w:pStyle w:val="Standard"/>
        <w:jc w:val="both"/>
        <w:rPr>
          <w:sz w:val="22"/>
          <w:szCs w:val="22"/>
        </w:rPr>
      </w:pPr>
      <w:r>
        <w:rPr>
          <w:b/>
          <w:sz w:val="22"/>
          <w:szCs w:val="22"/>
        </w:rPr>
        <w:t>I ZONA</w:t>
      </w:r>
      <w:r>
        <w:rPr>
          <w:sz w:val="22"/>
          <w:szCs w:val="22"/>
        </w:rPr>
        <w:t>:  Bibali, Bracanija, Brajki, Brdo, Brešani, Brič, Buje, Buroli, Bužin, Črnci, Donje Baredine, Dorina, Dragoćevac, Dramac, Fratrija,  Gadari, Gamboci, Glavači, Glavica (golf naselje), Gornje Baredine, Grmunija, Jelići, Jugovci, Juki, Jurcanija, Kakovići, Kaldanija, Kanegra, Kaštel, Kažete, Kluni, Kortina, Krasica, Kremenje, Križine, Kršete, Krug, Kruj, Kukov Vrh, Lozari, Ljubljanija, Malotija, Markocija, Markovac, Marušići, Matelići (golf naselje), Merišće, Mlini, Momjan, Montrin, Most, Mužolini Donji, Mužolini Gornji, Oskuruš, Paliski, Plac, Plovanija, Porta Madona, Punta, Rožmanija, Simonetija, Smilovići, Soline, Specijarija, Stancija Frfuja, Stancija Loj, Stancija Rossa, Stancija Vigini, Stancija Zubin, Stražice, Sv. Mavar, Šćavonija, Škrile, Škudelini, Todeški, Triban, Veli Mlin, Vinela, Vinjarija, Vižinada, Volpija, Vrh (Kašel), Vrh Ćinić,</w:t>
      </w:r>
    </w:p>
    <w:p>
      <w:pPr>
        <w:pStyle w:val="Standard"/>
        <w:jc w:val="both"/>
        <w:rPr>
          <w:szCs w:val="24"/>
        </w:rPr>
      </w:pPr>
      <w:r>
        <w:rPr>
          <w:szCs w:val="24"/>
        </w:rPr>
      </w:r>
    </w:p>
    <w:p>
      <w:pPr>
        <w:pStyle w:val="Standard"/>
        <w:jc w:val="both"/>
        <w:rPr>
          <w:lang w:val="pl-PL"/>
        </w:rPr>
      </w:pPr>
      <w:r>
        <w:rPr>
          <w:b/>
          <w:sz w:val="22"/>
          <w:szCs w:val="22"/>
          <w:lang w:val="pl-PL"/>
        </w:rPr>
        <w:t>II ZONA</w:t>
      </w:r>
      <w:r>
        <w:rPr>
          <w:sz w:val="22"/>
          <w:szCs w:val="22"/>
          <w:lang w:val="pl-PL"/>
        </w:rPr>
        <w:t xml:space="preserve">: Bazuje, Baracija, Bekari, Benečani, Bošketo, Bucaji, Cingarela, Čulihi, Dugo Brdo, Fabijančići, Fornaže, Gambocija, Gopci, Jarice, Jurini, Kanedo, Kanedolo, Kazarole, </w:t>
      </w:r>
      <w:r>
        <w:rPr>
          <w:color w:val="CE181E"/>
          <w:sz w:val="22"/>
          <w:szCs w:val="22"/>
          <w:lang w:val="pl-PL"/>
        </w:rPr>
        <w:t xml:space="preserve">, </w:t>
      </w:r>
      <w:r>
        <w:rPr>
          <w:sz w:val="22"/>
          <w:szCs w:val="22"/>
          <w:lang w:val="pl-PL"/>
        </w:rPr>
        <w:t>Kontarini, Kortivi, Kostelac, Krč, Kremenje Mlini, Kučibreg, Lalovići, Mali Breg, Matelići Matići, Medigija, Mikorići, Morožija, Paroni, Paldigija, Pontiće, Stancija Petrinja, Stancija Zrinjska, Stancijeta (Momjan), Stancijeta (Merišće),  Stancija (kod M. Brega), Stanovići,  Srbar-Šibenija, Stancija Torčelo, Šaini, Škarjevac, Škrlići, Škrlini, Špečić, Tiola, Trkusi, Vale, Veli Breg, i druga naselja te poslovna zona Mazurija i dr. poslovne zone prema PPU.</w:t>
      </w:r>
    </w:p>
    <w:p>
      <w:pPr>
        <w:pStyle w:val="Standard"/>
        <w:rPr>
          <w:lang w:val="pl-PL"/>
        </w:rPr>
      </w:pPr>
      <w:r>
        <w:rPr>
          <w:lang w:val="pl-PL"/>
        </w:rPr>
      </w:r>
    </w:p>
    <w:p>
      <w:pPr>
        <w:pStyle w:val="Tijeloteksta"/>
        <w:spacing w:lineRule="auto" w:line="240" w:before="0" w:after="0"/>
        <w:rPr>
          <w:lang w:val="pl-PL"/>
        </w:rPr>
      </w:pPr>
      <w:r>
        <w:rPr>
          <w:lang w:val="pl-PL"/>
        </w:rPr>
      </w:r>
    </w:p>
    <w:p>
      <w:pPr>
        <w:pStyle w:val="Tijeloteksta"/>
        <w:spacing w:lineRule="auto" w:line="240" w:before="0" w:after="0"/>
        <w:jc w:val="both"/>
        <w:rPr>
          <w:b/>
          <w:b/>
          <w:bCs/>
          <w:lang w:val="pl-PL"/>
        </w:rPr>
      </w:pPr>
      <w:r>
        <w:rPr>
          <w:b/>
          <w:bCs/>
          <w:sz w:val="22"/>
          <w:szCs w:val="22"/>
          <w:lang w:val="pl-PL"/>
        </w:rPr>
        <w:t>III. JEDINIČNA VRIJEDNOST KOMUNALNOG DOPRINOSA PO POJEDINIM ZONAMA</w:t>
      </w:r>
    </w:p>
    <w:p>
      <w:pPr>
        <w:pStyle w:val="Standard"/>
        <w:rPr>
          <w:lang w:val="pl-PL"/>
        </w:rPr>
      </w:pPr>
      <w:r>
        <w:rPr>
          <w:lang w:val="pl-PL"/>
        </w:rPr>
      </w:r>
    </w:p>
    <w:p>
      <w:pPr>
        <w:pStyle w:val="Standard"/>
        <w:jc w:val="center"/>
        <w:rPr>
          <w:b/>
          <w:b/>
          <w:bCs/>
          <w:lang w:val="pl-PL"/>
        </w:rPr>
      </w:pPr>
      <w:r>
        <w:rPr>
          <w:b/>
          <w:bCs/>
          <w:sz w:val="22"/>
          <w:szCs w:val="22"/>
          <w:lang w:val="pl-PL"/>
        </w:rPr>
        <w:t>Članak  4.</w:t>
      </w:r>
    </w:p>
    <w:p>
      <w:pPr>
        <w:pStyle w:val="Standard"/>
        <w:jc w:val="both"/>
        <w:rPr>
          <w:b/>
          <w:b/>
          <w:bCs/>
          <w:lang w:val="pl-PL"/>
        </w:rPr>
      </w:pPr>
      <w:r>
        <w:rPr>
          <w:b/>
          <w:bCs/>
          <w:lang w:val="pl-PL"/>
        </w:rPr>
      </w:r>
    </w:p>
    <w:p>
      <w:pPr>
        <w:pStyle w:val="Tijeloteksta"/>
        <w:spacing w:lineRule="auto" w:line="240" w:before="0" w:after="0"/>
        <w:jc w:val="both"/>
        <w:rPr>
          <w:sz w:val="22"/>
          <w:szCs w:val="22"/>
        </w:rPr>
      </w:pPr>
      <w:r>
        <w:rPr>
          <w:sz w:val="22"/>
          <w:szCs w:val="22"/>
        </w:rPr>
        <w:tab/>
        <w:t>Komunalni doprinos za zgrade obračunava se množenjem obujma zgrade koja se gradi ili je izgrađena izraženog u kubnim metrima (m³) s jediničnom vrijednošću komunalnog doprinosa u zoni u kojoj se zgrada gradi ili je izgrađena.</w:t>
      </w:r>
    </w:p>
    <w:p>
      <w:pPr>
        <w:pStyle w:val="Tijeloteksta"/>
        <w:spacing w:lineRule="auto" w:line="240" w:before="0" w:after="0"/>
        <w:jc w:val="both"/>
        <w:rPr>
          <w:sz w:val="22"/>
          <w:szCs w:val="22"/>
        </w:rPr>
      </w:pPr>
      <w:r>
        <w:rPr>
          <w:sz w:val="22"/>
          <w:szCs w:val="22"/>
        </w:rPr>
        <w:tab/>
        <w:t>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p>
    <w:p>
      <w:pPr>
        <w:pStyle w:val="Tijeloteksta"/>
        <w:spacing w:lineRule="auto" w:line="240" w:before="0" w:after="0"/>
        <w:rPr>
          <w:sz w:val="22"/>
          <w:szCs w:val="22"/>
        </w:rPr>
      </w:pPr>
      <w:r>
        <w:rPr>
          <w:sz w:val="22"/>
          <w:szCs w:val="22"/>
        </w:rPr>
      </w:r>
    </w:p>
    <w:p>
      <w:pPr>
        <w:pStyle w:val="Standard"/>
        <w:jc w:val="center"/>
        <w:rPr>
          <w:b/>
          <w:b/>
          <w:bCs/>
          <w:lang w:val="pl-PL"/>
        </w:rPr>
      </w:pPr>
      <w:r>
        <w:rPr>
          <w:b/>
          <w:bCs/>
          <w:sz w:val="22"/>
          <w:szCs w:val="22"/>
          <w:lang w:val="pl-PL"/>
        </w:rPr>
        <w:t>Članak 5.</w:t>
      </w:r>
    </w:p>
    <w:p>
      <w:pPr>
        <w:pStyle w:val="Standard"/>
        <w:rPr>
          <w:lang w:val="pl-PL"/>
        </w:rPr>
      </w:pPr>
      <w:r>
        <w:rPr>
          <w:lang w:val="pl-PL"/>
        </w:rPr>
      </w:r>
    </w:p>
    <w:p>
      <w:pPr>
        <w:pStyle w:val="Tijeloteksta"/>
        <w:rPr>
          <w:sz w:val="22"/>
          <w:szCs w:val="22"/>
        </w:rPr>
      </w:pPr>
      <w:r>
        <w:rPr>
          <w:sz w:val="22"/>
          <w:szCs w:val="22"/>
        </w:rPr>
        <w:tab/>
        <w:t>Jedinična vrijednost komunalnog doprinosa određuje se za pojedine zone na području Grada kako slijedi:</w:t>
      </w:r>
    </w:p>
    <w:tbl>
      <w:tblPr>
        <w:tblW w:w="9332" w:type="dxa"/>
        <w:jc w:val="left"/>
        <w:tblInd w:w="0" w:type="dxa"/>
        <w:tblCellMar>
          <w:top w:w="55" w:type="dxa"/>
          <w:left w:w="50" w:type="dxa"/>
          <w:bottom w:w="55" w:type="dxa"/>
          <w:right w:w="55" w:type="dxa"/>
        </w:tblCellMar>
        <w:tblLook w:firstRow="1" w:noVBand="1" w:lastRow="0" w:firstColumn="1" w:lastColumn="0" w:noHBand="0" w:val="04a0"/>
      </w:tblPr>
      <w:tblGrid>
        <w:gridCol w:w="3110"/>
        <w:gridCol w:w="3111"/>
        <w:gridCol w:w="3111"/>
      </w:tblGrid>
      <w:tr>
        <w:trPr/>
        <w:tc>
          <w:tcPr>
            <w:tcW w:w="3110" w:type="dxa"/>
            <w:tcBorders>
              <w:top w:val="single" w:sz="4" w:space="0" w:color="000000"/>
              <w:left w:val="single" w:sz="4" w:space="0" w:color="000000"/>
              <w:bottom w:val="single" w:sz="4" w:space="0" w:color="000000"/>
            </w:tcBorders>
            <w:shd w:color="auto" w:fill="auto" w:val="clear"/>
          </w:tcPr>
          <w:p>
            <w:pPr>
              <w:pStyle w:val="Sadrajitablice"/>
              <w:jc w:val="center"/>
              <w:rPr>
                <w:color w:val="000000"/>
                <w:sz w:val="22"/>
                <w:szCs w:val="22"/>
              </w:rPr>
            </w:pPr>
            <w:r>
              <w:rPr>
                <w:color w:val="000000"/>
                <w:sz w:val="22"/>
                <w:szCs w:val="22"/>
              </w:rPr>
              <w:t>GRAĐEVINA</w:t>
            </w:r>
          </w:p>
        </w:tc>
        <w:tc>
          <w:tcPr>
            <w:tcW w:w="3111" w:type="dxa"/>
            <w:tcBorders>
              <w:top w:val="single" w:sz="4" w:space="0" w:color="000000"/>
              <w:left w:val="single" w:sz="4" w:space="0" w:color="000000"/>
              <w:bottom w:val="single" w:sz="4" w:space="0" w:color="000000"/>
            </w:tcBorders>
            <w:shd w:color="auto" w:fill="auto" w:val="clear"/>
          </w:tcPr>
          <w:p>
            <w:pPr>
              <w:pStyle w:val="Sadrajitablice"/>
              <w:jc w:val="center"/>
              <w:rPr>
                <w:color w:val="000000"/>
                <w:sz w:val="22"/>
                <w:szCs w:val="22"/>
              </w:rPr>
            </w:pPr>
            <w:r>
              <w:rPr>
                <w:color w:val="000000"/>
                <w:sz w:val="22"/>
                <w:szCs w:val="22"/>
              </w:rPr>
              <w:t>I. ZONA</w:t>
            </w:r>
          </w:p>
        </w:tc>
        <w:tc>
          <w:tcPr>
            <w:tcW w:w="3111" w:type="dxa"/>
            <w:tcBorders>
              <w:top w:val="single" w:sz="4" w:space="0" w:color="000000"/>
              <w:left w:val="single" w:sz="4" w:space="0" w:color="000000"/>
              <w:bottom w:val="single" w:sz="4" w:space="0" w:color="000000"/>
              <w:right w:val="single" w:sz="4" w:space="0" w:color="000000"/>
            </w:tcBorders>
            <w:shd w:color="auto" w:fill="auto" w:val="clear"/>
          </w:tcPr>
          <w:p>
            <w:pPr>
              <w:pStyle w:val="Sadrajitablice"/>
              <w:jc w:val="center"/>
              <w:rPr>
                <w:color w:val="000000"/>
                <w:sz w:val="22"/>
                <w:szCs w:val="22"/>
              </w:rPr>
            </w:pPr>
            <w:r>
              <w:rPr>
                <w:color w:val="000000"/>
                <w:sz w:val="22"/>
                <w:szCs w:val="22"/>
              </w:rPr>
              <w:t>II. ZONA</w:t>
            </w:r>
          </w:p>
        </w:tc>
      </w:tr>
      <w:tr>
        <w:trPr/>
        <w:tc>
          <w:tcPr>
            <w:tcW w:w="3110" w:type="dxa"/>
            <w:tcBorders>
              <w:top w:val="single" w:sz="4" w:space="0" w:color="000000"/>
              <w:left w:val="single" w:sz="4" w:space="0" w:color="000000"/>
              <w:bottom w:val="single" w:sz="4" w:space="0" w:color="000000"/>
            </w:tcBorders>
            <w:shd w:color="auto" w:fill="auto" w:val="clear"/>
          </w:tcPr>
          <w:p>
            <w:pPr>
              <w:pStyle w:val="Sadrajitablice"/>
              <w:jc w:val="center"/>
              <w:rPr>
                <w:color w:val="000000"/>
                <w:sz w:val="22"/>
                <w:szCs w:val="22"/>
              </w:rPr>
            </w:pPr>
            <w:r>
              <w:rPr>
                <w:color w:val="000000"/>
                <w:sz w:val="22"/>
                <w:szCs w:val="22"/>
              </w:rPr>
              <w:t>Zgrade</w:t>
            </w:r>
          </w:p>
        </w:tc>
        <w:tc>
          <w:tcPr>
            <w:tcW w:w="3111" w:type="dxa"/>
            <w:tcBorders>
              <w:top w:val="single" w:sz="4" w:space="0" w:color="000000"/>
              <w:left w:val="single" w:sz="4" w:space="0" w:color="000000"/>
              <w:bottom w:val="single" w:sz="4" w:space="0" w:color="000000"/>
            </w:tcBorders>
            <w:shd w:color="auto" w:fill="auto" w:val="clear"/>
          </w:tcPr>
          <w:p>
            <w:pPr>
              <w:pStyle w:val="Sadrajitablice"/>
              <w:jc w:val="center"/>
              <w:rPr>
                <w:color w:val="000000"/>
                <w:sz w:val="22"/>
                <w:szCs w:val="22"/>
              </w:rPr>
            </w:pPr>
            <w:r>
              <w:rPr>
                <w:color w:val="000000"/>
                <w:sz w:val="22"/>
                <w:szCs w:val="22"/>
              </w:rPr>
              <w:t>18,00 EUR</w:t>
            </w:r>
          </w:p>
        </w:tc>
        <w:tc>
          <w:tcPr>
            <w:tcW w:w="3111" w:type="dxa"/>
            <w:tcBorders>
              <w:top w:val="single" w:sz="4" w:space="0" w:color="000000"/>
              <w:left w:val="single" w:sz="4" w:space="0" w:color="000000"/>
              <w:bottom w:val="single" w:sz="4" w:space="0" w:color="000000"/>
              <w:right w:val="single" w:sz="4" w:space="0" w:color="000000"/>
            </w:tcBorders>
            <w:shd w:color="auto" w:fill="auto" w:val="clear"/>
          </w:tcPr>
          <w:p>
            <w:pPr>
              <w:pStyle w:val="Sadrajitablice"/>
              <w:jc w:val="center"/>
              <w:rPr>
                <w:color w:val="000000"/>
                <w:sz w:val="22"/>
                <w:szCs w:val="22"/>
              </w:rPr>
            </w:pPr>
            <w:r>
              <w:rPr>
                <w:color w:val="000000"/>
                <w:sz w:val="22"/>
                <w:szCs w:val="22"/>
              </w:rPr>
              <w:t>16,60 EUR</w:t>
            </w:r>
          </w:p>
        </w:tc>
      </w:tr>
      <w:tr>
        <w:trPr/>
        <w:tc>
          <w:tcPr>
            <w:tcW w:w="3110" w:type="dxa"/>
            <w:tcBorders>
              <w:top w:val="single" w:sz="4" w:space="0" w:color="000000"/>
              <w:left w:val="single" w:sz="4" w:space="0" w:color="000000"/>
              <w:bottom w:val="single" w:sz="4" w:space="0" w:color="000000"/>
            </w:tcBorders>
            <w:shd w:color="auto" w:fill="auto" w:val="clear"/>
          </w:tcPr>
          <w:p>
            <w:pPr>
              <w:pStyle w:val="Sadrajitablice"/>
              <w:jc w:val="center"/>
              <w:rPr>
                <w:sz w:val="22"/>
                <w:szCs w:val="22"/>
              </w:rPr>
            </w:pPr>
            <w:r>
              <w:rPr>
                <w:color w:val="000000"/>
                <w:sz w:val="22"/>
                <w:szCs w:val="22"/>
              </w:rPr>
              <w:t>Otvorene građevine (otvoreni bazeni i druge otvorene građevine te spremnici za naftu i druge tekućine s pokrovom čija visina se mijenja )</w:t>
            </w:r>
          </w:p>
        </w:tc>
        <w:tc>
          <w:tcPr>
            <w:tcW w:w="3111" w:type="dxa"/>
            <w:tcBorders>
              <w:top w:val="single" w:sz="4" w:space="0" w:color="000000"/>
              <w:left w:val="single" w:sz="4" w:space="0" w:color="000000"/>
              <w:bottom w:val="single" w:sz="4" w:space="0" w:color="000000"/>
            </w:tcBorders>
            <w:shd w:color="auto" w:fill="auto" w:val="clear"/>
          </w:tcPr>
          <w:p>
            <w:pPr>
              <w:pStyle w:val="Sadrajitablice"/>
              <w:jc w:val="center"/>
              <w:rPr>
                <w:color w:val="000000"/>
                <w:sz w:val="22"/>
                <w:szCs w:val="22"/>
              </w:rPr>
            </w:pPr>
            <w:r>
              <w:rPr>
                <w:color w:val="000000"/>
                <w:sz w:val="22"/>
                <w:szCs w:val="22"/>
              </w:rPr>
              <w:t>18,00 EUR</w:t>
            </w:r>
          </w:p>
        </w:tc>
        <w:tc>
          <w:tcPr>
            <w:tcW w:w="3111" w:type="dxa"/>
            <w:tcBorders>
              <w:top w:val="single" w:sz="4" w:space="0" w:color="000000"/>
              <w:left w:val="single" w:sz="4" w:space="0" w:color="000000"/>
              <w:bottom w:val="single" w:sz="4" w:space="0" w:color="000000"/>
              <w:right w:val="single" w:sz="4" w:space="0" w:color="000000"/>
            </w:tcBorders>
            <w:shd w:color="auto" w:fill="auto" w:val="clear"/>
          </w:tcPr>
          <w:p>
            <w:pPr>
              <w:pStyle w:val="Sadrajitablice"/>
              <w:jc w:val="center"/>
              <w:rPr>
                <w:color w:val="000000"/>
                <w:sz w:val="22"/>
                <w:szCs w:val="22"/>
              </w:rPr>
            </w:pPr>
            <w:r>
              <w:rPr>
                <w:color w:val="000000"/>
                <w:sz w:val="22"/>
                <w:szCs w:val="22"/>
              </w:rPr>
              <w:t>16,60 EUR</w:t>
            </w:r>
          </w:p>
        </w:tc>
      </w:tr>
    </w:tbl>
    <w:p>
      <w:pPr>
        <w:pStyle w:val="Tijeloteksta"/>
        <w:rPr>
          <w:lang w:val="pl-PL"/>
        </w:rPr>
      </w:pPr>
      <w:r>
        <w:rPr>
          <w:lang w:val="pl-PL"/>
        </w:rPr>
      </w:r>
    </w:p>
    <w:p>
      <w:pPr>
        <w:pStyle w:val="Standard"/>
        <w:rPr>
          <w:sz w:val="22"/>
          <w:szCs w:val="22"/>
        </w:rPr>
      </w:pPr>
      <w:r>
        <w:rPr>
          <w:b/>
          <w:sz w:val="22"/>
          <w:szCs w:val="22"/>
          <w:lang w:val="pl-PL"/>
        </w:rPr>
        <w:t>IV. NAČIN I ROKOVI PLAĆANJA KOMUNALNOG DOPRINOSA</w:t>
      </w:r>
    </w:p>
    <w:p>
      <w:pPr>
        <w:pStyle w:val="Standard"/>
        <w:rPr>
          <w:lang w:val="pl-PL"/>
        </w:rPr>
      </w:pPr>
      <w:r>
        <w:rPr>
          <w:lang w:val="pl-PL"/>
        </w:rPr>
      </w:r>
    </w:p>
    <w:p>
      <w:pPr>
        <w:pStyle w:val="Standard"/>
        <w:jc w:val="center"/>
        <w:rPr>
          <w:sz w:val="22"/>
          <w:szCs w:val="22"/>
        </w:rPr>
      </w:pPr>
      <w:r>
        <w:rPr>
          <w:b/>
          <w:sz w:val="22"/>
          <w:szCs w:val="22"/>
          <w:lang w:val="pl-PL"/>
        </w:rPr>
        <w:t>Članak 6.</w:t>
      </w:r>
    </w:p>
    <w:p>
      <w:pPr>
        <w:pStyle w:val="Standard"/>
        <w:rPr>
          <w:lang w:val="pl-PL"/>
        </w:rPr>
      </w:pPr>
      <w:r>
        <w:rPr>
          <w:lang w:val="pl-PL"/>
        </w:rPr>
      </w:r>
    </w:p>
    <w:p>
      <w:pPr>
        <w:pStyle w:val="Standard"/>
        <w:ind w:firstLine="708"/>
        <w:jc w:val="both"/>
        <w:rPr>
          <w:szCs w:val="24"/>
        </w:rPr>
      </w:pPr>
      <w:r>
        <w:rPr>
          <w:sz w:val="22"/>
          <w:szCs w:val="22"/>
          <w:lang w:val="pl-PL"/>
        </w:rPr>
        <w:t>Komunalni doprinos plaća se odjednom ili obročno.</w:t>
      </w:r>
    </w:p>
    <w:p>
      <w:pPr>
        <w:pStyle w:val="Standard"/>
        <w:ind w:firstLine="708"/>
        <w:jc w:val="both"/>
        <w:rPr>
          <w:szCs w:val="24"/>
        </w:rPr>
      </w:pPr>
      <w:r>
        <w:rPr>
          <w:sz w:val="22"/>
          <w:szCs w:val="22"/>
          <w:lang w:val="pl-PL"/>
        </w:rPr>
        <w:t>Komunalni doprinos obveznik je dužan platiti u roku od 15 dana od dana izvršnosti rješenja kojim je utvrđena visina komunalnog doprinosa, osim u slučaju  odobrene obročne otplate komunalnog doprinosa kada se rok dospijeća utvrđuje posebnim ugovorom između Grada i obveznika.</w:t>
      </w:r>
    </w:p>
    <w:p>
      <w:pPr>
        <w:pStyle w:val="Standard"/>
        <w:ind w:firstLine="708"/>
        <w:jc w:val="both"/>
        <w:rPr>
          <w:szCs w:val="24"/>
        </w:rPr>
      </w:pPr>
      <w:r>
        <w:rPr>
          <w:sz w:val="22"/>
          <w:szCs w:val="22"/>
          <w:lang w:val="pl-PL"/>
        </w:rPr>
        <w:t>Na nepravovremeno uplaćene iznose komunalnog doprinosa plaćaju se zatezne kamate u visini propisanoj za nepravovremeno uplaćene iznose javnih prihoda.</w:t>
      </w:r>
    </w:p>
    <w:p>
      <w:pPr>
        <w:pStyle w:val="Standard"/>
        <w:ind w:firstLine="708"/>
        <w:jc w:val="both"/>
        <w:rPr>
          <w:szCs w:val="24"/>
        </w:rPr>
      </w:pPr>
      <w:r>
        <w:rPr>
          <w:sz w:val="22"/>
          <w:szCs w:val="22"/>
          <w:lang w:val="pl-PL"/>
        </w:rPr>
        <w:t>Obvezniku komunalnog doprinosa koji rješava stambeno pitanje i obvezniku komunalnog doprinosa u postupku ozakonjenja građevine, na zahtjev obveznika plaćanja komunalnog doprinosa, može se odobriti obročno plaćanje do 12 (dvanaest) mjesečnih obroka uz primjenu godišnje kamate od 4,5 %, uz uvjete iz članka 7. stavka 1. ove Odluke i uvjet da prvi obrok ne može biti manji od 20% ukupne obveze plaćanja komunalnog doprinosa.</w:t>
      </w:r>
    </w:p>
    <w:p>
      <w:pPr>
        <w:pStyle w:val="Standard"/>
        <w:ind w:firstLine="708"/>
        <w:jc w:val="both"/>
        <w:rPr>
          <w:szCs w:val="24"/>
        </w:rPr>
      </w:pPr>
      <w:r>
        <w:rPr>
          <w:szCs w:val="24"/>
        </w:rPr>
      </w:r>
    </w:p>
    <w:p>
      <w:pPr>
        <w:pStyle w:val="Standard"/>
        <w:jc w:val="center"/>
        <w:rPr>
          <w:sz w:val="22"/>
          <w:szCs w:val="22"/>
        </w:rPr>
      </w:pPr>
      <w:r>
        <w:rPr>
          <w:b/>
          <w:sz w:val="22"/>
          <w:szCs w:val="22"/>
          <w:lang w:val="de-DE"/>
        </w:rPr>
        <w:t>Članak 7.</w:t>
      </w:r>
    </w:p>
    <w:p>
      <w:pPr>
        <w:pStyle w:val="Standard"/>
        <w:jc w:val="center"/>
        <w:rPr>
          <w:b/>
          <w:b/>
          <w:bCs/>
          <w:lang w:val="de-DE"/>
        </w:rPr>
      </w:pPr>
      <w:r>
        <w:rPr>
          <w:b/>
          <w:bCs/>
          <w:lang w:val="de-DE"/>
        </w:rPr>
      </w:r>
    </w:p>
    <w:p>
      <w:pPr>
        <w:pStyle w:val="Standard"/>
        <w:ind w:firstLine="708"/>
        <w:jc w:val="both"/>
        <w:rPr>
          <w:szCs w:val="24"/>
        </w:rPr>
      </w:pPr>
      <w:r>
        <w:rPr>
          <w:sz w:val="22"/>
          <w:szCs w:val="22"/>
          <w:lang w:val="de-DE"/>
        </w:rPr>
        <w:t xml:space="preserve">Obročno plaćanje komunalnog doprinosa iz članka 6. stavka 4. ove Odluke odobrit će se </w:t>
      </w:r>
      <w:r>
        <w:rPr>
          <w:rFonts w:cs="Arial"/>
          <w:bCs/>
          <w:sz w:val="22"/>
          <w:szCs w:val="22"/>
          <w:lang w:val="de-DE"/>
        </w:rPr>
        <w:t xml:space="preserve">ako obveznik nema dospjelih dugovanja prema Gradu i pruži odgovarajuće osiguranje </w:t>
      </w:r>
      <w:r>
        <w:rPr>
          <w:color w:val="000000"/>
          <w:sz w:val="22"/>
          <w:szCs w:val="22"/>
          <w:lang w:val="de-DE"/>
        </w:rPr>
        <w:t>(založno pravo ili bjanko zadužnicu za iznos obveze do/i 5.000,00 EUR)</w:t>
      </w:r>
      <w:r>
        <w:rPr>
          <w:sz w:val="22"/>
          <w:szCs w:val="22"/>
          <w:lang w:val="de-DE"/>
        </w:rPr>
        <w:t xml:space="preserve"> radi naplate cjelokupe tražbine Grada s osnova komunalnog doprinosa.</w:t>
      </w:r>
    </w:p>
    <w:p>
      <w:pPr>
        <w:pStyle w:val="Standard"/>
        <w:ind w:firstLine="708"/>
        <w:jc w:val="both"/>
        <w:rPr>
          <w:szCs w:val="24"/>
        </w:rPr>
      </w:pPr>
      <w:r>
        <w:rPr>
          <w:rFonts w:cs="Arial"/>
          <w:bCs/>
          <w:sz w:val="22"/>
          <w:szCs w:val="22"/>
          <w:lang w:val="de-DE"/>
        </w:rPr>
        <w:t>U slučaju kada je obveznik ispunio uvjete za obročno plaćanje komunalnog doprinosa zaključuje se ugovor o obročnoj otplati.</w:t>
      </w:r>
    </w:p>
    <w:p>
      <w:pPr>
        <w:pStyle w:val="Standard"/>
        <w:jc w:val="both"/>
        <w:rPr>
          <w:rFonts w:cs="Arial"/>
          <w:bCs/>
          <w:szCs w:val="24"/>
          <w:lang w:val="de-DE"/>
        </w:rPr>
      </w:pPr>
      <w:r>
        <w:rPr>
          <w:rFonts w:cs="Arial"/>
          <w:bCs/>
          <w:szCs w:val="24"/>
          <w:lang w:val="de-DE"/>
        </w:rPr>
      </w:r>
    </w:p>
    <w:p>
      <w:pPr>
        <w:pStyle w:val="Standard"/>
        <w:jc w:val="both"/>
        <w:rPr>
          <w:rFonts w:cs="Arial"/>
          <w:bCs/>
          <w:szCs w:val="24"/>
          <w:lang w:val="de-DE"/>
        </w:rPr>
      </w:pPr>
      <w:r>
        <w:rPr>
          <w:rFonts w:cs="Arial"/>
          <w:bCs/>
          <w:szCs w:val="24"/>
          <w:lang w:val="de-DE"/>
        </w:rPr>
      </w:r>
    </w:p>
    <w:p>
      <w:pPr>
        <w:pStyle w:val="Standard"/>
        <w:jc w:val="both"/>
        <w:rPr>
          <w:rFonts w:cs="Arial"/>
          <w:bCs/>
          <w:szCs w:val="24"/>
          <w:lang w:val="de-DE"/>
        </w:rPr>
      </w:pPr>
      <w:r>
        <w:rPr>
          <w:rFonts w:cs="Arial"/>
          <w:bCs/>
          <w:szCs w:val="24"/>
          <w:lang w:val="de-DE"/>
        </w:rPr>
      </w:r>
    </w:p>
    <w:p>
      <w:pPr>
        <w:pStyle w:val="Standard"/>
        <w:jc w:val="both"/>
        <w:rPr>
          <w:rFonts w:cs="Arial"/>
          <w:bCs/>
          <w:szCs w:val="24"/>
          <w:lang w:val="de-DE"/>
        </w:rPr>
      </w:pPr>
      <w:r>
        <w:rPr>
          <w:rFonts w:cs="Arial"/>
          <w:bCs/>
          <w:szCs w:val="24"/>
          <w:lang w:val="de-DE"/>
        </w:rPr>
      </w:r>
    </w:p>
    <w:p>
      <w:pPr>
        <w:pStyle w:val="Standard"/>
        <w:jc w:val="both"/>
        <w:rPr>
          <w:rFonts w:cs="Arial"/>
          <w:bCs/>
          <w:szCs w:val="24"/>
          <w:lang w:val="de-DE"/>
        </w:rPr>
      </w:pPr>
      <w:r>
        <w:rPr>
          <w:rFonts w:cs="Arial"/>
          <w:bCs/>
          <w:szCs w:val="24"/>
          <w:lang w:val="de-DE"/>
        </w:rPr>
      </w:r>
    </w:p>
    <w:p>
      <w:pPr>
        <w:pStyle w:val="Standard"/>
        <w:jc w:val="both"/>
        <w:rPr>
          <w:rFonts w:cs="Arial"/>
          <w:bCs/>
          <w:szCs w:val="24"/>
          <w:lang w:val="de-DE"/>
        </w:rPr>
      </w:pPr>
      <w:r>
        <w:rPr>
          <w:rFonts w:cs="Arial"/>
          <w:bCs/>
          <w:szCs w:val="24"/>
          <w:lang w:val="de-DE"/>
        </w:rPr>
      </w:r>
    </w:p>
    <w:p>
      <w:pPr>
        <w:pStyle w:val="Standard"/>
        <w:jc w:val="center"/>
        <w:rPr>
          <w:sz w:val="22"/>
          <w:szCs w:val="22"/>
        </w:rPr>
      </w:pPr>
      <w:r>
        <w:rPr>
          <w:b/>
          <w:sz w:val="22"/>
          <w:szCs w:val="22"/>
          <w:lang w:val="de-DE"/>
        </w:rPr>
        <w:t>Članak 8.</w:t>
      </w:r>
    </w:p>
    <w:p>
      <w:pPr>
        <w:pStyle w:val="Standard"/>
        <w:jc w:val="center"/>
        <w:rPr>
          <w:lang w:val="de-DE"/>
        </w:rPr>
      </w:pPr>
      <w:r>
        <w:rPr>
          <w:lang w:val="de-DE"/>
        </w:rPr>
      </w:r>
    </w:p>
    <w:p>
      <w:pPr>
        <w:pStyle w:val="Standard"/>
        <w:ind w:firstLine="708"/>
        <w:jc w:val="both"/>
        <w:rPr>
          <w:sz w:val="22"/>
          <w:szCs w:val="22"/>
        </w:rPr>
      </w:pPr>
      <w:r>
        <w:rPr>
          <w:rFonts w:cs="Arial"/>
          <w:bCs/>
          <w:sz w:val="22"/>
          <w:szCs w:val="22"/>
          <w:lang w:val="de-DE"/>
        </w:rPr>
        <w:t>Mjesečni obroci dospijevaju na naplatu 15-tog dana u mjesecu</w:t>
      </w:r>
      <w:r>
        <w:rPr>
          <w:b/>
          <w:bCs/>
          <w:sz w:val="22"/>
          <w:szCs w:val="22"/>
          <w:lang w:val="de-DE"/>
        </w:rPr>
        <w:t>.</w:t>
      </w:r>
    </w:p>
    <w:p>
      <w:pPr>
        <w:pStyle w:val="Standard"/>
        <w:ind w:firstLine="708"/>
        <w:jc w:val="both"/>
        <w:rPr>
          <w:sz w:val="22"/>
          <w:szCs w:val="22"/>
        </w:rPr>
      </w:pPr>
      <w:r>
        <w:rPr>
          <w:sz w:val="22"/>
          <w:szCs w:val="22"/>
          <w:lang w:val="de-DE"/>
        </w:rPr>
        <w:t>Kamata se obračunava za razdoblje od dana izvršnosti rješenja do dana dospijeća svakog pojedinog obroka.</w:t>
      </w:r>
    </w:p>
    <w:p>
      <w:pPr>
        <w:pStyle w:val="Standard"/>
        <w:ind w:firstLine="708"/>
        <w:jc w:val="both"/>
        <w:rPr>
          <w:lang w:val="de-DE"/>
        </w:rPr>
      </w:pPr>
      <w:r>
        <w:rPr>
          <w:lang w:val="de-DE"/>
        </w:rPr>
      </w:r>
    </w:p>
    <w:p>
      <w:pPr>
        <w:pStyle w:val="Standard"/>
        <w:jc w:val="center"/>
        <w:rPr>
          <w:sz w:val="22"/>
          <w:szCs w:val="22"/>
        </w:rPr>
      </w:pPr>
      <w:r>
        <w:rPr>
          <w:rFonts w:cs="Arial"/>
          <w:b/>
          <w:bCs/>
          <w:sz w:val="22"/>
          <w:szCs w:val="22"/>
          <w:lang w:val="de-DE"/>
        </w:rPr>
        <w:t>Članak 9.</w:t>
      </w:r>
    </w:p>
    <w:p>
      <w:pPr>
        <w:pStyle w:val="Standard"/>
        <w:rPr>
          <w:rFonts w:cs="Arial"/>
          <w:bCs/>
          <w:lang w:val="de-DE"/>
        </w:rPr>
      </w:pPr>
      <w:r>
        <w:rPr>
          <w:rFonts w:cs="Arial"/>
          <w:bCs/>
          <w:lang w:val="de-DE"/>
        </w:rPr>
      </w:r>
    </w:p>
    <w:p>
      <w:pPr>
        <w:pStyle w:val="Standard"/>
        <w:ind w:firstLine="708"/>
        <w:jc w:val="both"/>
        <w:rPr>
          <w:sz w:val="22"/>
          <w:szCs w:val="22"/>
        </w:rPr>
      </w:pPr>
      <w:r>
        <w:rPr>
          <w:sz w:val="22"/>
          <w:szCs w:val="22"/>
          <w:lang w:val="de-DE"/>
        </w:rPr>
        <w:t>Obveznik plaćanja komunalnog doprinosa može ostvariti pravo na obročnu otplatu komunalnog doprinosa</w:t>
      </w:r>
      <w:r>
        <w:rPr>
          <w:rFonts w:cs="Arial"/>
          <w:sz w:val="22"/>
          <w:szCs w:val="22"/>
          <w:lang w:val="de-DE"/>
        </w:rPr>
        <w:t xml:space="preserve">, prilikom utvrđivanja obveze plaćanja komunalnog doprinosa  ukoliko </w:t>
      </w:r>
      <w:r>
        <w:rPr>
          <w:sz w:val="22"/>
          <w:szCs w:val="22"/>
          <w:lang w:val="de-DE"/>
        </w:rPr>
        <w:t xml:space="preserve">u roku od 8 dana od dana primitka rješenja o komunalnom doprinosu dostavi pisani zahtjev gradskom </w:t>
      </w:r>
      <w:r>
        <w:rPr>
          <w:rFonts w:cs="Arial"/>
          <w:sz w:val="22"/>
          <w:szCs w:val="22"/>
          <w:lang w:val="de-DE"/>
        </w:rPr>
        <w:t>upravnom</w:t>
      </w:r>
      <w:r>
        <w:rPr>
          <w:rFonts w:cs="Arial"/>
          <w:sz w:val="22"/>
          <w:szCs w:val="22"/>
          <w:lang w:val="hr-HR"/>
        </w:rPr>
        <w:t xml:space="preserve"> </w:t>
      </w:r>
      <w:r>
        <w:rPr>
          <w:rFonts w:cs="Arial"/>
          <w:sz w:val="22"/>
          <w:szCs w:val="22"/>
          <w:lang w:val="de-DE"/>
        </w:rPr>
        <w:t>tijelu</w:t>
      </w:r>
      <w:r>
        <w:rPr>
          <w:rFonts w:cs="Arial"/>
          <w:sz w:val="22"/>
          <w:szCs w:val="22"/>
          <w:lang w:val="hr-HR"/>
        </w:rPr>
        <w:t xml:space="preserve"> </w:t>
      </w:r>
      <w:r>
        <w:rPr>
          <w:rFonts w:cs="Arial"/>
          <w:sz w:val="22"/>
          <w:szCs w:val="22"/>
          <w:lang w:val="de-DE"/>
        </w:rPr>
        <w:t>nadle</w:t>
      </w:r>
      <w:r>
        <w:rPr>
          <w:rFonts w:cs="Arial"/>
          <w:sz w:val="22"/>
          <w:szCs w:val="22"/>
          <w:lang w:val="hr-HR"/>
        </w:rPr>
        <w:t>ž</w:t>
      </w:r>
      <w:r>
        <w:rPr>
          <w:rFonts w:cs="Arial"/>
          <w:sz w:val="22"/>
          <w:szCs w:val="22"/>
          <w:lang w:val="de-DE"/>
        </w:rPr>
        <w:t>nom</w:t>
      </w:r>
      <w:r>
        <w:rPr>
          <w:rFonts w:cs="Arial"/>
          <w:sz w:val="22"/>
          <w:szCs w:val="22"/>
          <w:lang w:val="hr-HR"/>
        </w:rPr>
        <w:t xml:space="preserve"> </w:t>
      </w:r>
      <w:r>
        <w:rPr>
          <w:rFonts w:cs="Arial"/>
          <w:sz w:val="22"/>
          <w:szCs w:val="22"/>
          <w:lang w:val="de-DE"/>
        </w:rPr>
        <w:t>za</w:t>
      </w:r>
      <w:r>
        <w:rPr>
          <w:rFonts w:cs="Arial"/>
          <w:sz w:val="22"/>
          <w:szCs w:val="22"/>
          <w:lang w:val="hr-HR"/>
        </w:rPr>
        <w:t xml:space="preserve"> poslove </w:t>
      </w:r>
      <w:r>
        <w:rPr>
          <w:rFonts w:cs="Arial"/>
          <w:sz w:val="22"/>
          <w:szCs w:val="22"/>
          <w:lang w:val="de-DE"/>
        </w:rPr>
        <w:t>komunalnog</w:t>
      </w:r>
      <w:r>
        <w:rPr>
          <w:rFonts w:cs="Arial"/>
          <w:sz w:val="22"/>
          <w:szCs w:val="22"/>
          <w:lang w:val="hr-HR"/>
        </w:rPr>
        <w:t xml:space="preserve"> </w:t>
      </w:r>
      <w:r>
        <w:rPr>
          <w:rFonts w:cs="Arial"/>
          <w:sz w:val="22"/>
          <w:szCs w:val="22"/>
          <w:lang w:val="de-DE"/>
        </w:rPr>
        <w:t>gospodarstva</w:t>
      </w:r>
      <w:r>
        <w:rPr>
          <w:sz w:val="22"/>
          <w:szCs w:val="22"/>
          <w:lang w:val="de-DE"/>
        </w:rPr>
        <w:t xml:space="preserve"> sa dokazima o ispunjenju uvjeta iz članka 7. ove Odluke.</w:t>
      </w:r>
    </w:p>
    <w:p>
      <w:pPr>
        <w:pStyle w:val="Standard"/>
        <w:ind w:firstLine="708"/>
        <w:jc w:val="both"/>
        <w:rPr>
          <w:lang w:val="de-DE"/>
        </w:rPr>
      </w:pPr>
      <w:r>
        <w:rPr>
          <w:lang w:val="de-DE"/>
        </w:rPr>
      </w:r>
    </w:p>
    <w:p>
      <w:pPr>
        <w:pStyle w:val="Standard"/>
        <w:jc w:val="center"/>
        <w:rPr>
          <w:sz w:val="22"/>
          <w:szCs w:val="22"/>
        </w:rPr>
      </w:pPr>
      <w:r>
        <w:rPr>
          <w:b/>
          <w:sz w:val="22"/>
          <w:szCs w:val="22"/>
          <w:lang w:val="de-DE"/>
        </w:rPr>
        <w:t>Članak 10.</w:t>
      </w:r>
    </w:p>
    <w:p>
      <w:pPr>
        <w:pStyle w:val="Standard"/>
        <w:rPr>
          <w:b/>
          <w:b/>
          <w:bCs/>
          <w:lang w:val="de-DE"/>
        </w:rPr>
      </w:pPr>
      <w:r>
        <w:rPr>
          <w:b/>
          <w:bCs/>
          <w:lang w:val="de-DE"/>
        </w:rPr>
      </w:r>
    </w:p>
    <w:p>
      <w:pPr>
        <w:pStyle w:val="Standard"/>
        <w:ind w:firstLine="708"/>
        <w:rPr>
          <w:sz w:val="22"/>
          <w:szCs w:val="22"/>
        </w:rPr>
      </w:pPr>
      <w:r>
        <w:rPr>
          <w:rFonts w:cs="Arial"/>
          <w:bCs/>
          <w:sz w:val="22"/>
          <w:szCs w:val="22"/>
          <w:lang w:val="de-DE"/>
        </w:rPr>
        <w:t>U slučaju kada je obveznik ispunio uvjete za obročno plaćanje komunalnog doprinosa zaključuje se ugovor o obročnoj otplati.</w:t>
      </w:r>
    </w:p>
    <w:p>
      <w:pPr>
        <w:pStyle w:val="Standard"/>
        <w:ind w:firstLine="708"/>
        <w:rPr>
          <w:sz w:val="22"/>
          <w:szCs w:val="22"/>
        </w:rPr>
      </w:pPr>
      <w:r>
        <w:rPr>
          <w:rFonts w:cs="Arial"/>
          <w:bCs/>
          <w:sz w:val="22"/>
          <w:szCs w:val="22"/>
          <w:lang w:val="de-DE"/>
        </w:rPr>
        <w:t>Ugovor obvezatno sadrži:</w:t>
      </w:r>
    </w:p>
    <w:p>
      <w:pPr>
        <w:pStyle w:val="Standard"/>
        <w:rPr>
          <w:sz w:val="22"/>
          <w:szCs w:val="22"/>
        </w:rPr>
      </w:pPr>
      <w:r>
        <w:rPr>
          <w:rFonts w:cs="Arial"/>
          <w:bCs/>
          <w:sz w:val="22"/>
          <w:szCs w:val="22"/>
          <w:lang w:val="de-DE"/>
        </w:rPr>
        <w:t>-</w:t>
        <w:tab/>
        <w:t>podatke o obvezniku komunalnog doprinosa</w:t>
      </w:r>
    </w:p>
    <w:p>
      <w:pPr>
        <w:pStyle w:val="Standard"/>
        <w:rPr>
          <w:sz w:val="22"/>
          <w:szCs w:val="22"/>
        </w:rPr>
      </w:pPr>
      <w:r>
        <w:rPr>
          <w:rFonts w:cs="Arial"/>
          <w:bCs/>
          <w:sz w:val="22"/>
          <w:szCs w:val="22"/>
          <w:lang w:val="de-DE"/>
        </w:rPr>
        <w:t>-</w:t>
        <w:tab/>
        <w:t>iznos komunalnog doprinosa za koji se utvrđuje obročna otplata</w:t>
      </w:r>
    </w:p>
    <w:p>
      <w:pPr>
        <w:pStyle w:val="Standard"/>
        <w:rPr>
          <w:sz w:val="22"/>
          <w:szCs w:val="22"/>
        </w:rPr>
      </w:pPr>
      <w:r>
        <w:rPr>
          <w:rFonts w:cs="Arial"/>
          <w:bCs/>
          <w:sz w:val="22"/>
          <w:szCs w:val="22"/>
          <w:lang w:val="de-DE"/>
        </w:rPr>
        <w:t>-</w:t>
        <w:tab/>
        <w:t>iznos kamate</w:t>
      </w:r>
    </w:p>
    <w:p>
      <w:pPr>
        <w:pStyle w:val="Standard"/>
        <w:rPr>
          <w:sz w:val="22"/>
          <w:szCs w:val="22"/>
        </w:rPr>
      </w:pPr>
      <w:r>
        <w:rPr>
          <w:rFonts w:cs="Arial"/>
          <w:bCs/>
          <w:sz w:val="22"/>
          <w:szCs w:val="22"/>
          <w:lang w:val="pl-PL"/>
        </w:rPr>
        <w:t>-</w:t>
        <w:tab/>
        <w:t>plan otplate i rok otplate ukupnog potraživanja</w:t>
      </w:r>
    </w:p>
    <w:p>
      <w:pPr>
        <w:pStyle w:val="Standard"/>
        <w:rPr>
          <w:sz w:val="22"/>
          <w:szCs w:val="22"/>
        </w:rPr>
      </w:pPr>
      <w:r>
        <w:rPr>
          <w:rFonts w:cs="Arial"/>
          <w:bCs/>
          <w:sz w:val="22"/>
          <w:szCs w:val="22"/>
          <w:lang w:val="pl-PL"/>
        </w:rPr>
        <w:t>-</w:t>
        <w:tab/>
        <w:t>sredstvo osiguranja</w:t>
      </w:r>
    </w:p>
    <w:p>
      <w:pPr>
        <w:pStyle w:val="Standard"/>
        <w:rPr>
          <w:sz w:val="22"/>
          <w:szCs w:val="22"/>
        </w:rPr>
      </w:pPr>
      <w:r>
        <w:rPr>
          <w:rFonts w:cs="Arial"/>
          <w:bCs/>
          <w:sz w:val="22"/>
          <w:szCs w:val="22"/>
          <w:lang w:val="pl-PL"/>
        </w:rPr>
        <w:t>-</w:t>
        <w:tab/>
        <w:t>u privitku: uvjerenje da nije dužan Gradu i ostale uvjete za odobrenje obročne otplate.</w:t>
      </w:r>
    </w:p>
    <w:p>
      <w:pPr>
        <w:pStyle w:val="Standard"/>
        <w:rPr>
          <w:rFonts w:cs="Arial"/>
          <w:bCs/>
          <w:lang w:val="pl-PL"/>
        </w:rPr>
      </w:pPr>
      <w:r>
        <w:rPr>
          <w:rFonts w:cs="Arial"/>
          <w:bCs/>
          <w:lang w:val="pl-PL"/>
        </w:rPr>
      </w:r>
    </w:p>
    <w:p>
      <w:pPr>
        <w:pStyle w:val="Standard"/>
        <w:jc w:val="center"/>
        <w:rPr>
          <w:sz w:val="22"/>
          <w:szCs w:val="22"/>
        </w:rPr>
      </w:pPr>
      <w:r>
        <w:rPr>
          <w:rFonts w:cs="Arial"/>
          <w:b/>
          <w:sz w:val="22"/>
          <w:szCs w:val="22"/>
          <w:lang w:val="de-DE"/>
        </w:rPr>
        <w:t>Članak 11.</w:t>
      </w:r>
    </w:p>
    <w:p>
      <w:pPr>
        <w:pStyle w:val="Standard"/>
        <w:rPr>
          <w:rFonts w:cs="Arial"/>
          <w:lang w:val="hr-HR"/>
        </w:rPr>
      </w:pPr>
      <w:r>
        <w:rPr>
          <w:rFonts w:cs="Arial"/>
          <w:lang w:val="hr-HR"/>
        </w:rPr>
      </w:r>
    </w:p>
    <w:p>
      <w:pPr>
        <w:pStyle w:val="Standard"/>
        <w:ind w:firstLine="708"/>
        <w:jc w:val="both"/>
        <w:rPr>
          <w:lang w:val="pl-PL"/>
        </w:rPr>
      </w:pPr>
      <w:r>
        <w:rPr>
          <w:rFonts w:cs="Arial"/>
          <w:sz w:val="22"/>
          <w:szCs w:val="22"/>
          <w:lang w:val="de-DE"/>
        </w:rPr>
        <w:t xml:space="preserve">U slučaju kada obveznik kome je odobreno obročno plaćanje komunalnog doprinosa, </w:t>
      </w:r>
      <w:r>
        <w:rPr>
          <w:rFonts w:cs="Arial"/>
          <w:sz w:val="22"/>
          <w:szCs w:val="22"/>
          <w:lang w:val="pl-PL"/>
        </w:rPr>
        <w:t>ne</w:t>
      </w:r>
      <w:r>
        <w:rPr>
          <w:rFonts w:cs="Arial"/>
          <w:sz w:val="22"/>
          <w:szCs w:val="22"/>
          <w:lang w:val="hr-HR"/>
        </w:rPr>
        <w:t xml:space="preserve"> </w:t>
      </w:r>
      <w:r>
        <w:rPr>
          <w:rFonts w:cs="Arial"/>
          <w:sz w:val="22"/>
          <w:szCs w:val="22"/>
          <w:lang w:val="pl-PL"/>
        </w:rPr>
        <w:t>plati</w:t>
      </w:r>
      <w:r>
        <w:rPr>
          <w:rFonts w:cs="Arial"/>
          <w:sz w:val="22"/>
          <w:szCs w:val="22"/>
          <w:lang w:val="hr-HR"/>
        </w:rPr>
        <w:t xml:space="preserve"> </w:t>
      </w:r>
      <w:r>
        <w:rPr>
          <w:rFonts w:cs="Arial"/>
          <w:sz w:val="22"/>
          <w:szCs w:val="22"/>
          <w:lang w:val="pl-PL"/>
        </w:rPr>
        <w:t>tri</w:t>
      </w:r>
      <w:r>
        <w:rPr>
          <w:rFonts w:cs="Arial"/>
          <w:sz w:val="22"/>
          <w:szCs w:val="22"/>
          <w:lang w:val="hr-HR"/>
        </w:rPr>
        <w:t xml:space="preserve"> (3)  </w:t>
      </w:r>
      <w:r>
        <w:rPr>
          <w:rFonts w:cs="Arial"/>
          <w:sz w:val="22"/>
          <w:szCs w:val="22"/>
          <w:lang w:val="pl-PL"/>
        </w:rPr>
        <w:t>uzastopna</w:t>
      </w:r>
      <w:r>
        <w:rPr>
          <w:rFonts w:cs="Arial"/>
          <w:sz w:val="22"/>
          <w:szCs w:val="22"/>
          <w:lang w:val="hr-HR"/>
        </w:rPr>
        <w:t xml:space="preserve"> </w:t>
      </w:r>
      <w:r>
        <w:rPr>
          <w:rFonts w:cs="Arial"/>
          <w:sz w:val="22"/>
          <w:szCs w:val="22"/>
          <w:lang w:val="pl-PL"/>
        </w:rPr>
        <w:t>mjese</w:t>
      </w:r>
      <w:r>
        <w:rPr>
          <w:rFonts w:cs="Arial"/>
          <w:sz w:val="22"/>
          <w:szCs w:val="22"/>
          <w:lang w:val="hr-HR"/>
        </w:rPr>
        <w:t>č</w:t>
      </w:r>
      <w:r>
        <w:rPr>
          <w:rFonts w:cs="Arial"/>
          <w:sz w:val="22"/>
          <w:szCs w:val="22"/>
          <w:lang w:val="pl-PL"/>
        </w:rPr>
        <w:t>na</w:t>
      </w:r>
      <w:r>
        <w:rPr>
          <w:rFonts w:cs="Arial"/>
          <w:sz w:val="22"/>
          <w:szCs w:val="22"/>
          <w:lang w:val="hr-HR"/>
        </w:rPr>
        <w:t xml:space="preserve"> </w:t>
      </w:r>
      <w:r>
        <w:rPr>
          <w:rFonts w:cs="Arial"/>
          <w:sz w:val="22"/>
          <w:szCs w:val="22"/>
          <w:lang w:val="pl-PL"/>
        </w:rPr>
        <w:t>obroka</w:t>
      </w:r>
      <w:r>
        <w:rPr>
          <w:rFonts w:cs="Arial"/>
          <w:sz w:val="22"/>
          <w:szCs w:val="22"/>
          <w:lang w:val="hr-HR"/>
        </w:rPr>
        <w:t xml:space="preserve">, </w:t>
      </w:r>
      <w:r>
        <w:rPr>
          <w:rFonts w:cs="Arial"/>
          <w:sz w:val="22"/>
          <w:szCs w:val="22"/>
          <w:lang w:val="pl-PL"/>
        </w:rPr>
        <w:t>cijelokupni</w:t>
      </w:r>
      <w:r>
        <w:rPr>
          <w:rFonts w:cs="Arial"/>
          <w:sz w:val="22"/>
          <w:szCs w:val="22"/>
          <w:lang w:val="hr-HR"/>
        </w:rPr>
        <w:t xml:space="preserve"> </w:t>
      </w:r>
      <w:r>
        <w:rPr>
          <w:rFonts w:cs="Arial"/>
          <w:sz w:val="22"/>
          <w:szCs w:val="22"/>
          <w:lang w:val="pl-PL"/>
        </w:rPr>
        <w:t>iznos</w:t>
      </w:r>
      <w:r>
        <w:rPr>
          <w:rFonts w:cs="Arial"/>
          <w:sz w:val="22"/>
          <w:szCs w:val="22"/>
          <w:lang w:val="hr-HR"/>
        </w:rPr>
        <w:t xml:space="preserve"> </w:t>
      </w:r>
      <w:r>
        <w:rPr>
          <w:rFonts w:cs="Arial"/>
          <w:sz w:val="22"/>
          <w:szCs w:val="22"/>
          <w:lang w:val="pl-PL"/>
        </w:rPr>
        <w:t>komunalnog</w:t>
      </w:r>
      <w:r>
        <w:rPr>
          <w:rFonts w:cs="Arial"/>
          <w:sz w:val="22"/>
          <w:szCs w:val="22"/>
          <w:lang w:val="hr-HR"/>
        </w:rPr>
        <w:t xml:space="preserve"> </w:t>
      </w:r>
      <w:r>
        <w:rPr>
          <w:rFonts w:cs="Arial"/>
          <w:sz w:val="22"/>
          <w:szCs w:val="22"/>
          <w:lang w:val="pl-PL"/>
        </w:rPr>
        <w:t>doprinosa</w:t>
      </w:r>
      <w:r>
        <w:rPr>
          <w:rFonts w:cs="Arial"/>
          <w:sz w:val="22"/>
          <w:szCs w:val="22"/>
          <w:lang w:val="hr-HR"/>
        </w:rPr>
        <w:t xml:space="preserve">  </w:t>
      </w:r>
      <w:r>
        <w:rPr>
          <w:rFonts w:cs="Arial"/>
          <w:sz w:val="22"/>
          <w:szCs w:val="22"/>
          <w:lang w:val="pl-PL"/>
        </w:rPr>
        <w:t>dospijeva</w:t>
      </w:r>
      <w:r>
        <w:rPr>
          <w:rFonts w:cs="Arial"/>
          <w:sz w:val="22"/>
          <w:szCs w:val="22"/>
          <w:lang w:val="hr-HR"/>
        </w:rPr>
        <w:t xml:space="preserve"> </w:t>
      </w:r>
      <w:r>
        <w:rPr>
          <w:rFonts w:cs="Arial"/>
          <w:sz w:val="22"/>
          <w:szCs w:val="22"/>
          <w:lang w:val="pl-PL"/>
        </w:rPr>
        <w:t>na</w:t>
      </w:r>
      <w:r>
        <w:rPr>
          <w:rFonts w:cs="Arial"/>
          <w:sz w:val="22"/>
          <w:szCs w:val="22"/>
          <w:lang w:val="hr-HR"/>
        </w:rPr>
        <w:t xml:space="preserve"> </w:t>
      </w:r>
      <w:r>
        <w:rPr>
          <w:rFonts w:cs="Arial"/>
          <w:sz w:val="22"/>
          <w:szCs w:val="22"/>
          <w:lang w:val="pl-PL"/>
        </w:rPr>
        <w:t>naplatu</w:t>
      </w:r>
      <w:r>
        <w:rPr>
          <w:rFonts w:cs="Arial"/>
          <w:sz w:val="22"/>
          <w:szCs w:val="22"/>
          <w:lang w:val="hr-HR"/>
        </w:rPr>
        <w:t xml:space="preserve"> </w:t>
      </w:r>
      <w:r>
        <w:rPr>
          <w:rFonts w:cs="Arial"/>
          <w:sz w:val="22"/>
          <w:szCs w:val="22"/>
          <w:lang w:val="pl-PL"/>
        </w:rPr>
        <w:t>odmah.</w:t>
      </w:r>
    </w:p>
    <w:p>
      <w:pPr>
        <w:pStyle w:val="Standard"/>
        <w:ind w:firstLine="708"/>
        <w:jc w:val="both"/>
        <w:rPr>
          <w:lang w:val="pl-PL"/>
        </w:rPr>
      </w:pPr>
      <w:r>
        <w:rPr>
          <w:lang w:val="pl-PL"/>
        </w:rPr>
      </w:r>
    </w:p>
    <w:p>
      <w:pPr>
        <w:pStyle w:val="Standard"/>
        <w:jc w:val="center"/>
        <w:rPr>
          <w:sz w:val="22"/>
          <w:szCs w:val="22"/>
        </w:rPr>
      </w:pPr>
      <w:r>
        <w:rPr>
          <w:b/>
          <w:sz w:val="22"/>
          <w:szCs w:val="22"/>
          <w:lang w:val="pl-PL"/>
        </w:rPr>
        <w:t>Članak 12.</w:t>
      </w:r>
    </w:p>
    <w:p>
      <w:pPr>
        <w:pStyle w:val="Standard"/>
        <w:jc w:val="center"/>
        <w:rPr>
          <w:b/>
          <w:b/>
          <w:lang w:val="pl-PL"/>
        </w:rPr>
      </w:pPr>
      <w:r>
        <w:rPr>
          <w:b/>
          <w:lang w:val="pl-PL"/>
        </w:rPr>
      </w:r>
    </w:p>
    <w:p>
      <w:pPr>
        <w:pStyle w:val="Standard"/>
        <w:jc w:val="both"/>
        <w:rPr>
          <w:b w:val="false"/>
          <w:b w:val="false"/>
          <w:bCs w:val="false"/>
        </w:rPr>
      </w:pPr>
      <w:r>
        <w:rPr>
          <w:b w:val="false"/>
          <w:bCs w:val="false"/>
          <w:sz w:val="22"/>
          <w:szCs w:val="22"/>
          <w:lang w:val="pl-PL"/>
        </w:rPr>
        <w:tab/>
        <w:t>U slučaju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Gradsko vijeće može odlukom odrediti utvrditi mjere, vrijeme na koje se iste odnose kao i način njihove provedbe.</w:t>
      </w:r>
    </w:p>
    <w:p>
      <w:pPr>
        <w:pStyle w:val="Standard"/>
        <w:jc w:val="both"/>
        <w:rPr>
          <w:b w:val="false"/>
          <w:b w:val="false"/>
          <w:bCs w:val="false"/>
        </w:rPr>
      </w:pPr>
      <w:r>
        <w:rPr>
          <w:b w:val="false"/>
          <w:bCs w:val="false"/>
          <w:sz w:val="22"/>
          <w:szCs w:val="22"/>
          <w:lang w:val="pl-PL"/>
        </w:rPr>
        <w:tab/>
        <w:t>Posebnom Odlukom iz prethodnog stavka ovog članka Gradsko vijeće može odrediti i da se dio naplaćenih sredstava komunalnog doprinosa koristi i za druge namjene različite od namjena za koje se koriste u uobičajenim okolnostima.</w:t>
      </w:r>
    </w:p>
    <w:p>
      <w:pPr>
        <w:pStyle w:val="Standard"/>
        <w:jc w:val="both"/>
        <w:rPr>
          <w:b/>
          <w:b/>
          <w:lang w:val="pl-PL"/>
        </w:rPr>
      </w:pPr>
      <w:r>
        <w:rPr>
          <w:b/>
          <w:lang w:val="pl-PL"/>
        </w:rPr>
      </w:r>
    </w:p>
    <w:p>
      <w:pPr>
        <w:pStyle w:val="Standard"/>
        <w:jc w:val="both"/>
        <w:rPr>
          <w:b/>
          <w:b/>
          <w:lang w:val="pl-PL"/>
        </w:rPr>
      </w:pPr>
      <w:r>
        <w:rPr>
          <w:b/>
          <w:lang w:val="pl-PL"/>
        </w:rPr>
      </w:r>
    </w:p>
    <w:p>
      <w:pPr>
        <w:pStyle w:val="Standard"/>
        <w:jc w:val="both"/>
        <w:rPr>
          <w:sz w:val="22"/>
          <w:szCs w:val="22"/>
        </w:rPr>
      </w:pPr>
      <w:r>
        <w:rPr>
          <w:b/>
          <w:sz w:val="22"/>
          <w:szCs w:val="22"/>
          <w:lang w:val="pl-PL"/>
        </w:rPr>
        <w:t>V.  OPĆI UVJETI I RAZLOZI ZBOG KOJIH SE U POJEDINAČNIM SLUČAJEVIMA ODOBRAVA OSLOBAĐANJE OD PLAĆANJA KOMUNALNOG DOPRINOSA</w:t>
      </w:r>
    </w:p>
    <w:p>
      <w:pPr>
        <w:pStyle w:val="Standard"/>
        <w:rPr>
          <w:lang w:val="pl-PL"/>
        </w:rPr>
      </w:pPr>
      <w:r>
        <w:rPr>
          <w:lang w:val="pl-PL"/>
        </w:rPr>
      </w:r>
    </w:p>
    <w:p>
      <w:pPr>
        <w:pStyle w:val="Standard"/>
        <w:jc w:val="center"/>
        <w:rPr>
          <w:sz w:val="22"/>
          <w:szCs w:val="22"/>
        </w:rPr>
      </w:pPr>
      <w:r>
        <w:rPr>
          <w:b/>
          <w:sz w:val="22"/>
          <w:szCs w:val="22"/>
          <w:lang w:val="pl-PL"/>
        </w:rPr>
        <w:t>Članak 13.</w:t>
      </w:r>
    </w:p>
    <w:p>
      <w:pPr>
        <w:pStyle w:val="Standard"/>
        <w:jc w:val="center"/>
        <w:rPr>
          <w:lang w:val="pl-PL"/>
        </w:rPr>
      </w:pPr>
      <w:r>
        <w:rPr>
          <w:lang w:val="pl-PL"/>
        </w:rPr>
      </w:r>
    </w:p>
    <w:p>
      <w:pPr>
        <w:pStyle w:val="Standard"/>
        <w:jc w:val="both"/>
        <w:rPr>
          <w:sz w:val="22"/>
          <w:szCs w:val="22"/>
        </w:rPr>
      </w:pPr>
      <w:r>
        <w:rPr>
          <w:sz w:val="22"/>
          <w:szCs w:val="22"/>
          <w:lang w:val="pl-PL"/>
        </w:rPr>
        <w:t xml:space="preserve">            </w:t>
      </w:r>
      <w:r>
        <w:rPr>
          <w:sz w:val="22"/>
          <w:szCs w:val="22"/>
        </w:rPr>
        <w:t>Komunalni doprinos ne plaćaju, odnosno imaju pravo na potpuno oslobođenje od</w:t>
      </w:r>
      <w:r>
        <w:rPr>
          <w:color w:val="000000"/>
          <w:sz w:val="22"/>
          <w:szCs w:val="22"/>
        </w:rPr>
        <w:t xml:space="preserve"> obveze plaćanja komunalnog doprinosa</w:t>
      </w:r>
      <w:r>
        <w:rPr>
          <w:sz w:val="22"/>
          <w:szCs w:val="22"/>
          <w:lang w:val="pl-PL"/>
        </w:rPr>
        <w:t>:</w:t>
      </w:r>
    </w:p>
    <w:p>
      <w:pPr>
        <w:pStyle w:val="Standard"/>
        <w:jc w:val="both"/>
        <w:rPr>
          <w:lang w:val="pl-PL"/>
        </w:rPr>
      </w:pPr>
      <w:r>
        <w:rPr>
          <w:lang w:val="pl-PL"/>
        </w:rPr>
      </w:r>
    </w:p>
    <w:p>
      <w:pPr>
        <w:pStyle w:val="Standard"/>
        <w:ind w:left="708" w:hanging="0"/>
        <w:jc w:val="both"/>
        <w:rPr>
          <w:sz w:val="22"/>
          <w:szCs w:val="22"/>
        </w:rPr>
      </w:pPr>
      <w:r>
        <w:rPr>
          <w:sz w:val="22"/>
          <w:szCs w:val="22"/>
          <w:lang w:val="pl-PL"/>
        </w:rPr>
        <w:t>-trgovačka društva i ustanove kojih je Grad osnivač ili suvlasnik są drugim javnopravnim tijelima, u slučaju izgradnje građevina koje služe obavljanju njihove djelatnosti,</w:t>
      </w:r>
    </w:p>
    <w:p>
      <w:pPr>
        <w:pStyle w:val="Standard"/>
        <w:ind w:left="708" w:hanging="0"/>
        <w:jc w:val="both"/>
        <w:rPr>
          <w:sz w:val="22"/>
          <w:szCs w:val="22"/>
        </w:rPr>
      </w:pPr>
      <w:r>
        <w:rPr>
          <w:strike w:val="false"/>
          <w:dstrike w:val="false"/>
          <w:sz w:val="22"/>
          <w:szCs w:val="22"/>
          <w:lang w:val="pl-PL"/>
        </w:rPr>
        <w:t>-obveznici - javnopravna tijela</w:t>
      </w:r>
      <w:r>
        <w:rPr>
          <w:sz w:val="22"/>
          <w:szCs w:val="22"/>
          <w:lang w:val="pl-PL"/>
        </w:rPr>
        <w:t xml:space="preserve"> koji grade građevine namijenjene zdravstvenoj djelatnosti, socijalnoj skrbi, kulturi, športu, te predškolskom, osnovnom i srednjem obrazovanju, te građevine za potrebe javnih ustanova i trgovačkih društva koja su u vlasništvu Grada,</w:t>
      </w:r>
    </w:p>
    <w:p>
      <w:pPr>
        <w:pStyle w:val="Standard"/>
        <w:ind w:left="708" w:hanging="0"/>
        <w:jc w:val="both"/>
        <w:rPr>
          <w:sz w:val="22"/>
          <w:szCs w:val="22"/>
        </w:rPr>
      </w:pPr>
      <w:r>
        <w:rPr>
          <w:sz w:val="22"/>
          <w:szCs w:val="22"/>
          <w:lang w:val="pl-PL"/>
        </w:rPr>
        <w:t>-obveznici koji grade građevine prema Programu društveno poticane stanogradnje.</w:t>
      </w:r>
    </w:p>
    <w:p>
      <w:pPr>
        <w:pStyle w:val="Standard"/>
        <w:ind w:left="708" w:hanging="0"/>
        <w:jc w:val="both"/>
        <w:rPr>
          <w:highlight w:val="red"/>
        </w:rPr>
      </w:pPr>
      <w:r>
        <w:rPr>
          <w:highlight w:val="red"/>
        </w:rPr>
      </w:r>
    </w:p>
    <w:p>
      <w:pPr>
        <w:pStyle w:val="Standard"/>
        <w:jc w:val="center"/>
        <w:rPr>
          <w:b/>
          <w:b/>
          <w:bCs/>
          <w:szCs w:val="24"/>
          <w:lang w:val="pl-PL"/>
        </w:rPr>
      </w:pPr>
      <w:r>
        <w:rPr>
          <w:b/>
          <w:bCs/>
          <w:sz w:val="22"/>
          <w:szCs w:val="22"/>
          <w:lang w:val="hr-HR"/>
        </w:rPr>
        <w:t>Članak 14.</w:t>
      </w:r>
    </w:p>
    <w:p>
      <w:pPr>
        <w:pStyle w:val="Standard"/>
        <w:jc w:val="center"/>
        <w:rPr>
          <w:lang w:val="hr-HR"/>
        </w:rPr>
      </w:pPr>
      <w:r>
        <w:rPr>
          <w:lang w:val="hr-HR"/>
        </w:rPr>
      </w:r>
    </w:p>
    <w:p>
      <w:pPr>
        <w:pStyle w:val="Standard"/>
        <w:jc w:val="both"/>
        <w:rPr>
          <w:sz w:val="22"/>
          <w:szCs w:val="22"/>
        </w:rPr>
      </w:pPr>
      <w:r>
        <w:rPr>
          <w:b/>
          <w:bCs/>
          <w:sz w:val="22"/>
          <w:szCs w:val="22"/>
          <w:lang w:val="hr-HR"/>
        </w:rPr>
        <w:tab/>
        <w:t xml:space="preserve"> </w:t>
      </w:r>
      <w:r>
        <w:rPr>
          <w:sz w:val="22"/>
          <w:szCs w:val="22"/>
          <w:lang w:val="pl-PL"/>
        </w:rPr>
        <w:t>Obveznik komunalnog doprinosa – fizička osoba ima pravo na djelomično oslobađanje od plaćanja komunalnog doprinosa u visini od 25%  (slovima: dvadesetipet posto) od obračunate vrijednosti komunalnog doprinosa po odredbi članka 4. i 5. ove Odluke, za gradnju ili ozakonjenje p</w:t>
      </w:r>
      <w:r>
        <w:rPr>
          <w:sz w:val="22"/>
          <w:szCs w:val="22"/>
          <w:lang w:val="de-DE"/>
        </w:rPr>
        <w:t>omo</w:t>
      </w:r>
      <w:r>
        <w:rPr>
          <w:sz w:val="22"/>
          <w:szCs w:val="22"/>
          <w:lang w:val="hr-HR"/>
        </w:rPr>
        <w:t>ć</w:t>
      </w:r>
      <w:r>
        <w:rPr>
          <w:sz w:val="22"/>
          <w:szCs w:val="22"/>
          <w:lang w:val="de-DE"/>
        </w:rPr>
        <w:t>ne</w:t>
      </w:r>
      <w:r>
        <w:rPr>
          <w:sz w:val="22"/>
          <w:szCs w:val="22"/>
          <w:lang w:val="hr-HR"/>
        </w:rPr>
        <w:t xml:space="preserve"> </w:t>
      </w:r>
      <w:r>
        <w:rPr>
          <w:sz w:val="22"/>
          <w:szCs w:val="22"/>
          <w:lang w:val="de-DE"/>
        </w:rPr>
        <w:t>gra</w:t>
      </w:r>
      <w:r>
        <w:rPr>
          <w:sz w:val="22"/>
          <w:szCs w:val="22"/>
          <w:lang w:val="hr-HR"/>
        </w:rPr>
        <w:t>đ</w:t>
      </w:r>
      <w:r>
        <w:rPr>
          <w:sz w:val="22"/>
          <w:szCs w:val="22"/>
          <w:lang w:val="de-DE"/>
        </w:rPr>
        <w:t>evine</w:t>
      </w:r>
      <w:r>
        <w:rPr>
          <w:sz w:val="22"/>
          <w:szCs w:val="22"/>
          <w:lang w:val="hr-HR"/>
        </w:rPr>
        <w:t>, ako ih obveznik gradi ili ozakonjuje na zemljištu na kojem ima ujedno riješeno stambeno pitanje (obveznik i članovi domaćinstva).</w:t>
      </w:r>
    </w:p>
    <w:p>
      <w:pPr>
        <w:pStyle w:val="Standard"/>
        <w:jc w:val="both"/>
        <w:rPr>
          <w:sz w:val="22"/>
          <w:szCs w:val="22"/>
        </w:rPr>
      </w:pPr>
      <w:r>
        <w:rPr>
          <w:sz w:val="22"/>
          <w:szCs w:val="22"/>
          <w:lang w:val="hr-HR"/>
        </w:rPr>
        <w:tab/>
        <w:t>Članovima domaćinstva obveznika komunalnog doprinosa smatraju se bračni drug, izvanbračni drug, formalni životni partner, neformalni životni partner, potomak, roditelj i osobe koje je podnositelj zahtjeva ili član domaćinstva prema zakonu dužan uzdržavati, a koji su  prijavljeni na istoj adresi prebivališta kao i obveznik.</w:t>
      </w:r>
    </w:p>
    <w:p>
      <w:pPr>
        <w:pStyle w:val="Standard"/>
        <w:jc w:val="center"/>
        <w:rPr>
          <w:b/>
          <w:b/>
          <w:bCs/>
          <w:lang w:val="pl-PL"/>
        </w:rPr>
      </w:pPr>
      <w:r>
        <w:rPr>
          <w:b/>
          <w:bCs/>
          <w:lang w:val="pl-PL"/>
        </w:rPr>
      </w:r>
    </w:p>
    <w:p>
      <w:pPr>
        <w:pStyle w:val="Standard"/>
        <w:jc w:val="center"/>
        <w:rPr>
          <w:b/>
          <w:b/>
          <w:bCs/>
          <w:lang w:val="pl-PL"/>
        </w:rPr>
      </w:pPr>
      <w:r>
        <w:rPr>
          <w:b/>
          <w:bCs/>
          <w:sz w:val="22"/>
          <w:szCs w:val="22"/>
          <w:lang w:val="pl-PL"/>
        </w:rPr>
        <w:t>Članak 15.</w:t>
      </w:r>
    </w:p>
    <w:p>
      <w:pPr>
        <w:pStyle w:val="Standard"/>
        <w:jc w:val="center"/>
        <w:rPr>
          <w:b/>
          <w:b/>
          <w:bCs/>
          <w:lang w:val="pl-PL"/>
        </w:rPr>
      </w:pPr>
      <w:r>
        <w:rPr>
          <w:b/>
          <w:bCs/>
          <w:lang w:val="pl-PL"/>
        </w:rPr>
      </w:r>
    </w:p>
    <w:p>
      <w:pPr>
        <w:pStyle w:val="Standard"/>
        <w:jc w:val="both"/>
        <w:rPr>
          <w:sz w:val="22"/>
          <w:szCs w:val="22"/>
        </w:rPr>
      </w:pPr>
      <w:r>
        <w:rPr>
          <w:sz w:val="22"/>
          <w:szCs w:val="22"/>
          <w:lang w:val="pl-PL"/>
        </w:rPr>
        <w:tab/>
      </w:r>
      <w:bookmarkStart w:id="1" w:name="__DdeLink__329_544595893"/>
      <w:bookmarkStart w:id="2" w:name="__DdeLink__329_5445958932"/>
      <w:r>
        <w:rPr>
          <w:sz w:val="22"/>
          <w:szCs w:val="22"/>
          <w:lang w:val="pl-PL"/>
        </w:rPr>
        <w:t xml:space="preserve">Obveznik komunalnog doprinosa – fizička osoba, koji ima prebivalište najmanje posljednjih 10 godina bez prekida na području Grada, ima pravo na djelomično oslobađanje od plaćanja komunalnog doprinosa u visini od 40%  (slovima: četrdeset posto) od obračunate vrijednosti komunalnog doprinosa po odredbi članka 4. i 5. ove Odluke, za gradnju građevine </w:t>
      </w:r>
      <w:bookmarkStart w:id="3" w:name="__DdeLink__36_562420912"/>
      <w:r>
        <w:rPr>
          <w:sz w:val="22"/>
          <w:szCs w:val="22"/>
          <w:lang w:val="pl-PL"/>
        </w:rPr>
        <w:t>brutto razvijene površine do/i 120 m²</w:t>
      </w:r>
      <w:bookmarkEnd w:id="3"/>
      <w:r>
        <w:rPr>
          <w:sz w:val="22"/>
          <w:szCs w:val="22"/>
          <w:lang w:val="pl-PL"/>
        </w:rPr>
        <w:t xml:space="preserve"> ili ozakonjenje građevine (obiteljske kuće) brutto razvijene površine do/i 400 m² są najviše 2 stambene jedinice,  ukoliko gradnjom takve građevine ili ozakonjenjem rješava stambeno pitanje za sebe i za članove domaćinstva, a obveznik i članovi  domaćinstva nemaju u vlasništvu drugu useljivu građevinu ili građevinsko zemljište podobno za gradnju u Republici Hrvatskoj i/ili drugoj državi.</w:t>
      </w:r>
      <w:bookmarkEnd w:id="1"/>
      <w:bookmarkEnd w:id="2"/>
    </w:p>
    <w:p>
      <w:pPr>
        <w:pStyle w:val="Standard"/>
        <w:jc w:val="both"/>
        <w:rPr>
          <w:lang w:val="pl-PL"/>
        </w:rPr>
      </w:pPr>
      <w:r>
        <w:rPr>
          <w:sz w:val="22"/>
          <w:szCs w:val="22"/>
          <w:lang w:val="pl-PL"/>
        </w:rPr>
        <w:tab/>
      </w:r>
      <w:r>
        <w:rPr>
          <w:sz w:val="22"/>
          <w:szCs w:val="22"/>
          <w:lang w:val="hr-HR"/>
        </w:rPr>
        <w:t>Članovima domaćinstva obveznika komunalnog doprinosa smatraju se bračni drug, izvanbračni drug, formalni životni partner, neformalni životni partner, potomak, roditelj i osobe koje je podnositelj zahtjeva ili član domaćinstva prema zakonu dužan uzdržavati, a koji su  prijavljeni na istoj adresi prebivališta kao i obveznik.</w:t>
      </w:r>
    </w:p>
    <w:p>
      <w:pPr>
        <w:pStyle w:val="Standard"/>
        <w:jc w:val="both"/>
        <w:rPr>
          <w:lang w:val="pl-PL"/>
        </w:rPr>
      </w:pPr>
      <w:r>
        <w:rPr>
          <w:lang w:val="pl-PL"/>
        </w:rPr>
      </w:r>
    </w:p>
    <w:p>
      <w:pPr>
        <w:pStyle w:val="Standard"/>
        <w:jc w:val="center"/>
        <w:rPr>
          <w:b/>
          <w:b/>
          <w:bCs/>
          <w:lang w:val="pl-PL"/>
        </w:rPr>
      </w:pPr>
      <w:r>
        <w:rPr>
          <w:b/>
          <w:bCs/>
          <w:sz w:val="22"/>
          <w:szCs w:val="22"/>
          <w:lang w:val="pl-PL"/>
        </w:rPr>
        <w:t>Članak 16.</w:t>
      </w:r>
    </w:p>
    <w:p>
      <w:pPr>
        <w:pStyle w:val="Standard"/>
        <w:jc w:val="center"/>
        <w:rPr>
          <w:b/>
          <w:b/>
          <w:bCs/>
          <w:lang w:val="pl-PL"/>
        </w:rPr>
      </w:pPr>
      <w:r>
        <w:rPr>
          <w:b/>
          <w:bCs/>
          <w:lang w:val="pl-PL"/>
        </w:rPr>
      </w:r>
    </w:p>
    <w:p>
      <w:pPr>
        <w:pStyle w:val="Standard"/>
        <w:jc w:val="both"/>
        <w:rPr>
          <w:b/>
          <w:b/>
          <w:bCs/>
          <w:lang w:val="pl-PL"/>
        </w:rPr>
      </w:pPr>
      <w:r>
        <w:rPr>
          <w:sz w:val="22"/>
          <w:szCs w:val="22"/>
          <w:lang w:val="pl-PL"/>
        </w:rPr>
        <w:tab/>
        <w:t xml:space="preserve">Obveznik komunalnog doprinosa – fizička osoba, koji ima prebivalište najmanje posljednjih 10 godina bez prekida na području Grada, ima pravo na potpuno oslobađanje od plaćanja komunalnog doprinosa u visini od 100%  (slovima: sto posto) od obračunate vrijednosti komunalnog doprinosa po odredbi članka 4. i 5. ove Odluke, za dogradnju i/ili rekonstrukciju građevine izgrađene do 15. veljače 1968., ukoliko dogradnjom i/ili rekonstrukcijom povećanje postojeće građevine iznosi maksimalno 20 m² bruto razvijene površine u odnosu na već postojeću građevinu i ukoliko </w:t>
      </w:r>
      <w:r>
        <w:rPr>
          <w:rFonts w:eastAsia="Times New Roman" w:cs="Times New Roman"/>
          <w:color w:val="auto"/>
          <w:kern w:val="0"/>
          <w:sz w:val="22"/>
          <w:szCs w:val="22"/>
          <w:lang w:val="pl-PL" w:eastAsia="hr-HR" w:bidi="ar-SA"/>
        </w:rPr>
        <w:t>dogradnjom i/ili rekonstrukcijom</w:t>
      </w:r>
      <w:r>
        <w:rPr>
          <w:sz w:val="22"/>
          <w:szCs w:val="22"/>
          <w:lang w:val="pl-PL"/>
        </w:rPr>
        <w:t xml:space="preserve"> takve građevine obveznik rješava stambeno pitanje za sebe i za članove </w:t>
      </w:r>
      <w:r>
        <w:rPr>
          <w:rFonts w:eastAsia="Times New Roman" w:cs="Times New Roman"/>
          <w:color w:val="auto"/>
          <w:kern w:val="0"/>
          <w:sz w:val="22"/>
          <w:szCs w:val="22"/>
          <w:lang w:val="pl-PL" w:eastAsia="hr-HR" w:bidi="ar-SA"/>
        </w:rPr>
        <w:t>domaćinstva</w:t>
      </w:r>
      <w:r>
        <w:rPr>
          <w:sz w:val="22"/>
          <w:szCs w:val="22"/>
          <w:lang w:val="pl-PL"/>
        </w:rPr>
        <w:t>, a obveznik i članovi domaćinstva nemaju u vlasništvu drugu useljivu građevinu ili građevinsko zemljište podobno za gradnju u Republici Hrvatskoj i/ili drugoj državi.</w:t>
      </w:r>
    </w:p>
    <w:p>
      <w:pPr>
        <w:pStyle w:val="Standard"/>
        <w:jc w:val="both"/>
        <w:rPr>
          <w:lang w:val="pl-PL"/>
        </w:rPr>
      </w:pPr>
      <w:r>
        <w:rPr>
          <w:b w:val="false"/>
          <w:bCs w:val="false"/>
          <w:sz w:val="22"/>
          <w:szCs w:val="22"/>
          <w:lang w:val="hr-HR"/>
        </w:rPr>
        <w:tab/>
        <w:t>Članovima domaćinstva obveznika komunalnog doprinosa smatraju se bračni drug, izvanbračni drug, formalni životni partner, neformalni životni partner, potomak, roditelj i osobe koje je podnositelj zahtjeva ili član domaćinstva prema zakonu dužan uzdržavati, a koji su  prijavljeni na istoj adresi prebivališta kao i obveznik.</w:t>
      </w:r>
    </w:p>
    <w:p>
      <w:pPr>
        <w:pStyle w:val="Standard"/>
        <w:jc w:val="both"/>
        <w:rPr>
          <w:lang w:val="pl-PL"/>
        </w:rPr>
      </w:pPr>
      <w:r>
        <w:rPr>
          <w:lang w:val="pl-PL"/>
        </w:rPr>
      </w:r>
    </w:p>
    <w:p>
      <w:pPr>
        <w:pStyle w:val="Standard"/>
        <w:jc w:val="center"/>
        <w:rPr>
          <w:sz w:val="22"/>
          <w:szCs w:val="22"/>
        </w:rPr>
      </w:pPr>
      <w:r>
        <w:rPr>
          <w:b/>
          <w:bCs/>
          <w:sz w:val="22"/>
          <w:szCs w:val="22"/>
          <w:lang w:val="pl-PL"/>
        </w:rPr>
        <w:t>Članak 17.</w:t>
      </w:r>
    </w:p>
    <w:p>
      <w:pPr>
        <w:pStyle w:val="Standard"/>
        <w:jc w:val="center"/>
        <w:rPr>
          <w:b/>
          <w:b/>
          <w:bCs/>
          <w:lang w:val="pl-PL"/>
        </w:rPr>
      </w:pPr>
      <w:r>
        <w:rPr>
          <w:b/>
          <w:bCs/>
          <w:lang w:val="pl-PL"/>
        </w:rPr>
      </w:r>
    </w:p>
    <w:p>
      <w:pPr>
        <w:pStyle w:val="Standard"/>
        <w:jc w:val="both"/>
        <w:rPr>
          <w:lang w:val="pl-PL"/>
        </w:rPr>
      </w:pPr>
      <w:r>
        <w:rPr>
          <w:sz w:val="22"/>
          <w:szCs w:val="22"/>
          <w:lang w:val="pl-PL"/>
        </w:rPr>
        <w:tab/>
        <w:t>Obveznik komunalnog doprinosa nema pravo na kumuliranje prava na oslobođenje iz članaka 14., 15. i 16. ove Odluke.</w:t>
      </w:r>
    </w:p>
    <w:p>
      <w:pPr>
        <w:pStyle w:val="Standard"/>
        <w:jc w:val="center"/>
        <w:rPr>
          <w:lang w:val="pl-PL"/>
        </w:rPr>
      </w:pPr>
      <w:r>
        <w:rPr>
          <w:lang w:val="pl-PL"/>
        </w:rPr>
      </w:r>
    </w:p>
    <w:p>
      <w:pPr>
        <w:pStyle w:val="Standard"/>
        <w:jc w:val="center"/>
        <w:rPr>
          <w:lang w:val="pl-PL"/>
        </w:rPr>
      </w:pPr>
      <w:r>
        <w:rPr>
          <w:lang w:val="pl-PL"/>
        </w:rPr>
      </w:r>
    </w:p>
    <w:p>
      <w:pPr>
        <w:pStyle w:val="Standard"/>
        <w:jc w:val="center"/>
        <w:rPr>
          <w:lang w:val="pl-PL"/>
        </w:rPr>
      </w:pPr>
      <w:r>
        <w:rPr>
          <w:lang w:val="pl-PL"/>
        </w:rPr>
      </w:r>
    </w:p>
    <w:p>
      <w:pPr>
        <w:pStyle w:val="Standard"/>
        <w:jc w:val="center"/>
        <w:rPr>
          <w:lang w:val="pl-PL"/>
        </w:rPr>
      </w:pPr>
      <w:r>
        <w:rPr>
          <w:lang w:val="pl-PL"/>
        </w:rPr>
      </w:r>
    </w:p>
    <w:p>
      <w:pPr>
        <w:pStyle w:val="Standard"/>
        <w:jc w:val="center"/>
        <w:rPr>
          <w:b/>
          <w:b/>
          <w:bCs/>
          <w:lang w:val="pl-PL"/>
        </w:rPr>
      </w:pPr>
      <w:r>
        <w:rPr>
          <w:b/>
          <w:bCs/>
          <w:lang w:val="pl-PL"/>
        </w:rPr>
      </w:r>
    </w:p>
    <w:p>
      <w:pPr>
        <w:pStyle w:val="Standard"/>
        <w:jc w:val="center"/>
        <w:rPr>
          <w:b/>
          <w:b/>
          <w:bCs/>
          <w:lang w:val="pl-PL"/>
        </w:rPr>
      </w:pPr>
      <w:r>
        <w:rPr>
          <w:b/>
          <w:bCs/>
          <w:lang w:val="pl-PL"/>
        </w:rPr>
      </w:r>
    </w:p>
    <w:p>
      <w:pPr>
        <w:pStyle w:val="Standard"/>
        <w:jc w:val="center"/>
        <w:rPr>
          <w:b/>
          <w:b/>
          <w:bCs/>
          <w:lang w:val="pl-PL"/>
        </w:rPr>
      </w:pPr>
      <w:r>
        <w:rPr>
          <w:b/>
          <w:bCs/>
          <w:sz w:val="22"/>
          <w:szCs w:val="22"/>
          <w:lang w:val="pl-PL"/>
        </w:rPr>
        <w:t>Članak 18.</w:t>
      </w:r>
    </w:p>
    <w:p>
      <w:pPr>
        <w:pStyle w:val="Standard"/>
        <w:jc w:val="center"/>
        <w:rPr>
          <w:b/>
          <w:b/>
          <w:bCs/>
          <w:lang w:val="pl-PL"/>
        </w:rPr>
      </w:pPr>
      <w:r>
        <w:rPr>
          <w:b/>
          <w:bCs/>
          <w:lang w:val="pl-PL"/>
        </w:rPr>
      </w:r>
    </w:p>
    <w:p>
      <w:pPr>
        <w:pStyle w:val="Standard"/>
        <w:jc w:val="both"/>
        <w:rPr>
          <w:sz w:val="22"/>
          <w:szCs w:val="22"/>
        </w:rPr>
      </w:pPr>
      <w:r>
        <w:rPr>
          <w:sz w:val="22"/>
          <w:szCs w:val="22"/>
          <w:lang w:val="pl-PL"/>
        </w:rPr>
        <w:tab/>
      </w:r>
      <w:r>
        <w:rPr>
          <w:color w:val="000000"/>
          <w:sz w:val="22"/>
          <w:szCs w:val="22"/>
        </w:rPr>
        <w:t>Službena osoba u postupku utvrđuje činjenično stanje svim sredstvima prikladnim z</w:t>
      </w:r>
      <w:bookmarkStart w:id="4" w:name="highlight_span25"/>
      <w:bookmarkEnd w:id="4"/>
      <w:r>
        <w:rPr>
          <w:color w:val="000000"/>
          <w:sz w:val="22"/>
          <w:szCs w:val="22"/>
        </w:rPr>
        <w:t>a dokazivanje.</w:t>
      </w:r>
    </w:p>
    <w:p>
      <w:pPr>
        <w:pStyle w:val="Standard"/>
        <w:jc w:val="both"/>
        <w:rPr>
          <w:sz w:val="22"/>
          <w:szCs w:val="22"/>
        </w:rPr>
      </w:pPr>
      <w:r>
        <w:rPr>
          <w:color w:val="000000"/>
          <w:sz w:val="22"/>
          <w:szCs w:val="22"/>
        </w:rPr>
        <w:tab/>
        <w:t>Kod utvrđivanja prava na potpuno ili djelomično oslobođenje od plaćanja komunalnog doprinosa teret dokazivanja snosi obveznik.</w:t>
      </w:r>
    </w:p>
    <w:p>
      <w:pPr>
        <w:pStyle w:val="Standard"/>
        <w:jc w:val="center"/>
        <w:rPr>
          <w:b/>
          <w:b/>
          <w:bCs/>
          <w:lang w:val="pl-PL"/>
        </w:rPr>
      </w:pPr>
      <w:r>
        <w:rPr>
          <w:b/>
          <w:bCs/>
          <w:lang w:val="pl-PL"/>
        </w:rPr>
      </w:r>
    </w:p>
    <w:p>
      <w:pPr>
        <w:pStyle w:val="Standard"/>
        <w:jc w:val="center"/>
        <w:rPr>
          <w:b/>
          <w:b/>
        </w:rPr>
      </w:pPr>
      <w:r>
        <w:rPr>
          <w:b/>
        </w:rPr>
      </w:r>
    </w:p>
    <w:p>
      <w:pPr>
        <w:pStyle w:val="Standard"/>
        <w:jc w:val="center"/>
        <w:rPr>
          <w:b/>
          <w:b/>
        </w:rPr>
      </w:pPr>
      <w:r>
        <w:rPr>
          <w:b/>
        </w:rPr>
      </w:r>
    </w:p>
    <w:p>
      <w:pPr>
        <w:pStyle w:val="Standard"/>
        <w:rPr>
          <w:sz w:val="22"/>
          <w:szCs w:val="22"/>
        </w:rPr>
      </w:pPr>
      <w:r>
        <w:rPr>
          <w:b/>
          <w:sz w:val="22"/>
          <w:szCs w:val="22"/>
        </w:rPr>
        <w:t>VI. PRIJELAZNE</w:t>
      </w:r>
      <w:r>
        <w:rPr>
          <w:b/>
          <w:sz w:val="22"/>
          <w:szCs w:val="22"/>
          <w:lang w:val="hr-HR"/>
        </w:rPr>
        <w:t xml:space="preserve"> </w:t>
      </w:r>
      <w:r>
        <w:rPr>
          <w:b/>
          <w:sz w:val="22"/>
          <w:szCs w:val="22"/>
        </w:rPr>
        <w:t>I</w:t>
      </w:r>
      <w:r>
        <w:rPr>
          <w:b/>
          <w:sz w:val="22"/>
          <w:szCs w:val="22"/>
          <w:lang w:val="hr-HR"/>
        </w:rPr>
        <w:t xml:space="preserve"> </w:t>
      </w:r>
      <w:r>
        <w:rPr>
          <w:b/>
          <w:sz w:val="22"/>
          <w:szCs w:val="22"/>
        </w:rPr>
        <w:t>ZAVR</w:t>
      </w:r>
      <w:r>
        <w:rPr>
          <w:b/>
          <w:sz w:val="22"/>
          <w:szCs w:val="22"/>
          <w:lang w:val="hr-HR"/>
        </w:rPr>
        <w:t>Š</w:t>
      </w:r>
      <w:r>
        <w:rPr>
          <w:b/>
          <w:sz w:val="22"/>
          <w:szCs w:val="22"/>
        </w:rPr>
        <w:t>NE</w:t>
      </w:r>
      <w:r>
        <w:rPr>
          <w:b/>
          <w:sz w:val="22"/>
          <w:szCs w:val="22"/>
          <w:lang w:val="hr-HR"/>
        </w:rPr>
        <w:t xml:space="preserve"> </w:t>
      </w:r>
      <w:r>
        <w:rPr>
          <w:b/>
          <w:sz w:val="22"/>
          <w:szCs w:val="22"/>
        </w:rPr>
        <w:t>ODREDBE</w:t>
      </w:r>
    </w:p>
    <w:p>
      <w:pPr>
        <w:pStyle w:val="Standard"/>
        <w:rPr>
          <w:b/>
          <w:b/>
        </w:rPr>
      </w:pPr>
      <w:r>
        <w:rPr>
          <w:b/>
        </w:rPr>
      </w:r>
    </w:p>
    <w:p>
      <w:pPr>
        <w:pStyle w:val="Standard"/>
        <w:rPr>
          <w:lang w:val="hr-HR"/>
        </w:rPr>
      </w:pPr>
      <w:r>
        <w:rPr>
          <w:lang w:val="hr-HR"/>
        </w:rPr>
      </w:r>
    </w:p>
    <w:p>
      <w:pPr>
        <w:pStyle w:val="Standard"/>
        <w:jc w:val="center"/>
        <w:rPr>
          <w:sz w:val="22"/>
          <w:szCs w:val="22"/>
        </w:rPr>
      </w:pPr>
      <w:r>
        <w:rPr>
          <w:b/>
          <w:sz w:val="22"/>
          <w:szCs w:val="22"/>
          <w:lang w:val="hr-HR"/>
        </w:rPr>
        <w:t>Č</w:t>
      </w:r>
      <w:r>
        <w:rPr>
          <w:b/>
          <w:sz w:val="22"/>
          <w:szCs w:val="22"/>
        </w:rPr>
        <w:t>lanak</w:t>
      </w:r>
      <w:r>
        <w:rPr>
          <w:b/>
          <w:sz w:val="22"/>
          <w:szCs w:val="22"/>
          <w:lang w:val="hr-HR"/>
        </w:rPr>
        <w:t xml:space="preserve"> 19.</w:t>
      </w:r>
    </w:p>
    <w:p>
      <w:pPr>
        <w:pStyle w:val="Standard"/>
        <w:rPr>
          <w:lang w:val="hr-HR"/>
        </w:rPr>
      </w:pPr>
      <w:r>
        <w:rPr>
          <w:lang w:val="hr-HR"/>
        </w:rPr>
      </w:r>
    </w:p>
    <w:p>
      <w:pPr>
        <w:pStyle w:val="Tijeloteksta"/>
        <w:spacing w:lineRule="auto" w:line="240"/>
        <w:jc w:val="both"/>
        <w:rPr>
          <w:sz w:val="22"/>
          <w:szCs w:val="22"/>
        </w:rPr>
      </w:pPr>
      <w:r>
        <w:rPr>
          <w:color w:val="000000"/>
          <w:sz w:val="22"/>
          <w:szCs w:val="22"/>
          <w:lang w:val="pl-PL"/>
        </w:rPr>
        <w:tab/>
        <w:t xml:space="preserve">Postupci donošenja upravnih akata započeti po odredbama Odluke o komunalnom doprinosu (Službene novine 03/19, 06/20 ) dovršit će se prema odredbama te Odluke. </w:t>
      </w:r>
    </w:p>
    <w:p>
      <w:pPr>
        <w:pStyle w:val="Standard"/>
        <w:jc w:val="both"/>
        <w:rPr>
          <w:b/>
          <w:b/>
          <w:color w:val="FF0000"/>
          <w:lang w:val="pl-PL"/>
        </w:rPr>
      </w:pPr>
      <w:r>
        <w:rPr>
          <w:b/>
          <w:color w:val="FF0000"/>
          <w:lang w:val="pl-PL"/>
        </w:rPr>
      </w:r>
    </w:p>
    <w:p>
      <w:pPr>
        <w:pStyle w:val="Standard"/>
        <w:jc w:val="center"/>
        <w:rPr>
          <w:sz w:val="22"/>
          <w:szCs w:val="22"/>
        </w:rPr>
      </w:pPr>
      <w:r>
        <w:rPr>
          <w:b/>
          <w:sz w:val="22"/>
          <w:szCs w:val="22"/>
          <w:lang w:val="pl-PL"/>
        </w:rPr>
        <w:t>Članak 20.</w:t>
      </w:r>
    </w:p>
    <w:p>
      <w:pPr>
        <w:pStyle w:val="Standard"/>
        <w:rPr>
          <w:lang w:val="pl-PL"/>
        </w:rPr>
      </w:pPr>
      <w:r>
        <w:rPr>
          <w:lang w:val="pl-PL"/>
        </w:rPr>
      </w:r>
    </w:p>
    <w:p>
      <w:pPr>
        <w:pStyle w:val="Standard"/>
        <w:ind w:firstLine="708"/>
        <w:jc w:val="both"/>
        <w:rPr>
          <w:sz w:val="22"/>
          <w:szCs w:val="22"/>
        </w:rPr>
      </w:pPr>
      <w:r>
        <w:rPr>
          <w:sz w:val="22"/>
          <w:szCs w:val="22"/>
        </w:rPr>
        <w:t>Ova Odluka stupa na snagu osmog dana od dana objave u Službenim novinama Grada.</w:t>
      </w:r>
    </w:p>
    <w:p>
      <w:pPr>
        <w:pStyle w:val="Standard"/>
        <w:jc w:val="both"/>
        <w:rPr>
          <w:lang w:val="pl-PL"/>
        </w:rPr>
      </w:pPr>
      <w:r>
        <w:rPr>
          <w:lang w:val="pl-PL"/>
        </w:rPr>
      </w:r>
    </w:p>
    <w:p>
      <w:pPr>
        <w:pStyle w:val="Standard"/>
        <w:jc w:val="both"/>
        <w:rPr>
          <w:lang w:val="pl-PL"/>
        </w:rPr>
      </w:pPr>
      <w:r>
        <w:rPr>
          <w:lang w:val="pl-PL"/>
        </w:rPr>
      </w:r>
    </w:p>
    <w:p>
      <w:pPr>
        <w:pStyle w:val="Standard"/>
        <w:jc w:val="both"/>
        <w:rPr>
          <w:lang w:val="pl-PL"/>
        </w:rPr>
      </w:pPr>
      <w:r>
        <w:rPr>
          <w:lang w:val="pl-PL"/>
        </w:rPr>
      </w:r>
    </w:p>
    <w:p>
      <w:pPr>
        <w:pStyle w:val="Standard"/>
        <w:jc w:val="both"/>
        <w:rPr>
          <w:lang w:val="pl-PL"/>
        </w:rPr>
      </w:pPr>
      <w:r>
        <w:rPr>
          <w:lang w:val="pl-PL"/>
        </w:rPr>
      </w:r>
    </w:p>
    <w:p>
      <w:pPr>
        <w:pStyle w:val="Standard"/>
        <w:rPr>
          <w:sz w:val="22"/>
          <w:szCs w:val="22"/>
        </w:rPr>
      </w:pPr>
      <w:r>
        <w:rPr>
          <w:sz w:val="22"/>
          <w:szCs w:val="22"/>
          <w:lang w:val="pl-PL"/>
        </w:rPr>
        <w:t>Klasa: 944-09/23-01/02</w:t>
      </w:r>
    </w:p>
    <w:p>
      <w:pPr>
        <w:pStyle w:val="Standard"/>
        <w:rPr>
          <w:sz w:val="22"/>
          <w:szCs w:val="22"/>
        </w:rPr>
      </w:pPr>
      <w:r>
        <w:rPr>
          <w:sz w:val="22"/>
          <w:szCs w:val="22"/>
          <w:lang w:val="pl-PL"/>
        </w:rPr>
        <w:t>Urbroj: 2163-02-05/02-23-1</w:t>
      </w:r>
    </w:p>
    <w:p>
      <w:pPr>
        <w:pStyle w:val="Standard"/>
        <w:rPr>
          <w:sz w:val="22"/>
          <w:szCs w:val="22"/>
        </w:rPr>
      </w:pPr>
      <w:r>
        <w:rPr>
          <w:sz w:val="22"/>
          <w:szCs w:val="22"/>
          <w:lang w:val="pl-PL"/>
        </w:rPr>
        <w:t>Buje-Buie, 29.11.2023.</w:t>
      </w:r>
    </w:p>
    <w:p>
      <w:pPr>
        <w:pStyle w:val="Standard"/>
        <w:jc w:val="center"/>
        <w:rPr>
          <w:b/>
          <w:b/>
          <w:lang w:val="pl-PL"/>
        </w:rPr>
      </w:pPr>
      <w:r>
        <w:rPr>
          <w:b/>
          <w:lang w:val="pl-PL"/>
        </w:rPr>
      </w:r>
    </w:p>
    <w:p>
      <w:pPr>
        <w:pStyle w:val="Standard"/>
        <w:jc w:val="center"/>
        <w:rPr>
          <w:b/>
          <w:b/>
          <w:lang w:val="pl-PL"/>
        </w:rPr>
      </w:pPr>
      <w:r>
        <w:rPr>
          <w:b/>
          <w:lang w:val="pl-PL"/>
        </w:rPr>
      </w:r>
    </w:p>
    <w:p>
      <w:pPr>
        <w:pStyle w:val="Standard"/>
        <w:jc w:val="center"/>
        <w:rPr>
          <w:b/>
          <w:b/>
          <w:lang w:val="pl-PL"/>
        </w:rPr>
      </w:pPr>
      <w:r>
        <w:rPr>
          <w:b/>
          <w:lang w:val="pl-PL"/>
        </w:rPr>
      </w:r>
    </w:p>
    <w:p>
      <w:pPr>
        <w:pStyle w:val="Standard"/>
        <w:jc w:val="center"/>
        <w:rPr>
          <w:sz w:val="22"/>
          <w:szCs w:val="22"/>
        </w:rPr>
      </w:pPr>
      <w:r>
        <w:rPr>
          <w:b/>
          <w:sz w:val="22"/>
          <w:szCs w:val="22"/>
          <w:lang w:val="pl-PL"/>
        </w:rPr>
        <w:t>GRADSKO VIJEĆE GRADA BUJA-BUIE</w:t>
      </w:r>
    </w:p>
    <w:p>
      <w:pPr>
        <w:pStyle w:val="Standard"/>
        <w:jc w:val="center"/>
        <w:rPr>
          <w:sz w:val="22"/>
          <w:szCs w:val="22"/>
        </w:rPr>
      </w:pPr>
      <w:r>
        <w:rPr>
          <w:b/>
          <w:sz w:val="22"/>
          <w:szCs w:val="22"/>
          <w:lang w:val="pl-PL"/>
        </w:rPr>
        <w:t>PREDSJEDNIK GRADSKOG VIJEĆA</w:t>
      </w:r>
    </w:p>
    <w:p>
      <w:pPr>
        <w:pStyle w:val="Standard"/>
        <w:jc w:val="center"/>
        <w:rPr>
          <w:sz w:val="22"/>
          <w:szCs w:val="22"/>
        </w:rPr>
      </w:pPr>
      <w:bookmarkStart w:id="5" w:name="_GoBack"/>
      <w:bookmarkEnd w:id="5"/>
      <w:r>
        <w:rPr>
          <w:b/>
          <w:sz w:val="22"/>
          <w:szCs w:val="22"/>
          <w:lang w:val="pl-PL"/>
        </w:rPr>
        <w:t>Franko Gergorić</w:t>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lang w:val="pl-PL"/>
        </w:rPr>
      </w:r>
    </w:p>
    <w:p>
      <w:pPr>
        <w:pStyle w:val="Standard"/>
        <w:rPr>
          <w:b/>
          <w:b/>
          <w:lang w:val="pl-PL"/>
        </w:rPr>
      </w:pPr>
      <w:r>
        <w:rPr>
          <w:b/>
          <w:bCs/>
          <w:sz w:val="24"/>
          <w:szCs w:val="24"/>
        </w:rPr>
        <w:t>Obrazloženje</w:t>
      </w:r>
    </w:p>
    <w:p>
      <w:pPr>
        <w:pStyle w:val="Standard"/>
        <w:rPr>
          <w:b/>
          <w:b/>
          <w:lang w:val="pl-PL"/>
        </w:rPr>
      </w:pPr>
      <w:r>
        <w:rPr>
          <w:b/>
          <w:lang w:val="pl-PL"/>
        </w:rPr>
      </w:r>
    </w:p>
    <w:p>
      <w:pPr>
        <w:pStyle w:val="Normal"/>
        <w:jc w:val="both"/>
        <w:rPr>
          <w:b w:val="false"/>
          <w:b w:val="false"/>
          <w:bCs w:val="false"/>
          <w:sz w:val="24"/>
          <w:szCs w:val="24"/>
        </w:rPr>
      </w:pPr>
      <w:r>
        <w:rPr>
          <w:b w:val="false"/>
          <w:bCs w:val="false"/>
          <w:sz w:val="22"/>
          <w:szCs w:val="22"/>
          <w:lang w:val="pl-PL"/>
        </w:rPr>
        <w:t xml:space="preserve">Hrvatski sabor na sjednici održanoj dana 13. srpnja 2018. godine donio je Zakon o komunalnom gospodarstvu („Narodne novine“ br. 68/18), koji je stupio na snagu 04. kolovoza 2018. godine. </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i w:val="false"/>
          <w:caps w:val="false"/>
          <w:smallCaps w:val="false"/>
          <w:color w:val="000000"/>
          <w:spacing w:val="0"/>
          <w:sz w:val="22"/>
          <w:szCs w:val="22"/>
          <w:lang w:val="pl-PL"/>
        </w:rPr>
        <w:t>Člankom 78. Zakona propisano je da predstavni</w:t>
      </w:r>
      <w:r>
        <w:rPr>
          <w:b w:val="false"/>
          <w:bCs w:val="false"/>
          <w:sz w:val="22"/>
          <w:szCs w:val="22"/>
        </w:rPr>
        <w:t>čko tijelo jedinice lokalne samouprave donosi odluku o komunalnom doprinosu kojom se određuju:</w:t>
      </w:r>
    </w:p>
    <w:p>
      <w:pPr>
        <w:pStyle w:val="Normal"/>
        <w:ind w:left="0" w:hanging="0"/>
        <w:jc w:val="both"/>
        <w:rPr>
          <w:sz w:val="22"/>
          <w:szCs w:val="22"/>
        </w:rPr>
      </w:pPr>
      <w:r>
        <w:rPr>
          <w:sz w:val="22"/>
          <w:szCs w:val="22"/>
        </w:rPr>
        <w:t>- zone u jedinici lokalne samouprave za plaćanje komunalnog doprinosa</w:t>
      </w:r>
    </w:p>
    <w:p>
      <w:pPr>
        <w:pStyle w:val="Normal"/>
        <w:ind w:left="0" w:hanging="0"/>
        <w:jc w:val="both"/>
        <w:rPr>
          <w:sz w:val="22"/>
          <w:szCs w:val="22"/>
        </w:rPr>
      </w:pPr>
      <w:r>
        <w:rPr>
          <w:sz w:val="22"/>
          <w:szCs w:val="22"/>
        </w:rPr>
        <w:t xml:space="preserve">- jedinična vrijednost komunalnog doprinosa po pojedinim zonama u jedinici lokalne samouprave </w:t>
      </w:r>
    </w:p>
    <w:p>
      <w:pPr>
        <w:pStyle w:val="Normal"/>
        <w:ind w:left="0" w:hanging="0"/>
        <w:jc w:val="both"/>
        <w:rPr>
          <w:sz w:val="22"/>
          <w:szCs w:val="22"/>
        </w:rPr>
      </w:pPr>
      <w:r>
        <w:rPr>
          <w:sz w:val="22"/>
          <w:szCs w:val="22"/>
        </w:rPr>
        <w:t>- način i rokovi plaćanja komunalnog doprinosa</w:t>
      </w:r>
    </w:p>
    <w:p>
      <w:pPr>
        <w:pStyle w:val="Normal"/>
        <w:ind w:left="0" w:hanging="0"/>
        <w:jc w:val="both"/>
        <w:rPr>
          <w:sz w:val="22"/>
          <w:szCs w:val="22"/>
        </w:rPr>
      </w:pPr>
      <w:r>
        <w:rPr>
          <w:sz w:val="22"/>
          <w:szCs w:val="22"/>
        </w:rPr>
        <w:t>- opći uvjeti i razlozi zbog kojih se u pojedinačnim slučajevima odobrava djelomično ili potpuno oslobađanje od plaćanja komunalnog doprinosa.</w:t>
      </w:r>
    </w:p>
    <w:p>
      <w:pPr>
        <w:pStyle w:val="Normal"/>
        <w:ind w:left="0" w:hanging="0"/>
        <w:jc w:val="both"/>
        <w:rPr>
          <w:sz w:val="22"/>
          <w:szCs w:val="22"/>
        </w:rPr>
      </w:pPr>
      <w:r>
        <w:rPr>
          <w:sz w:val="22"/>
          <w:szCs w:val="22"/>
        </w:rPr>
      </w:r>
    </w:p>
    <w:p>
      <w:pPr>
        <w:pStyle w:val="Normal"/>
        <w:jc w:val="both"/>
        <w:rPr>
          <w:b w:val="false"/>
          <w:b w:val="false"/>
          <w:bCs w:val="false"/>
          <w:sz w:val="24"/>
          <w:szCs w:val="24"/>
        </w:rPr>
      </w:pPr>
      <w:r>
        <w:rPr>
          <w:b w:val="false"/>
          <w:bCs w:val="false"/>
          <w:i w:val="false"/>
          <w:caps w:val="false"/>
          <w:smallCaps w:val="false"/>
          <w:color w:val="000000"/>
          <w:spacing w:val="0"/>
          <w:sz w:val="22"/>
          <w:szCs w:val="22"/>
          <w:lang w:val="pl-PL"/>
        </w:rPr>
        <w:t>Jedinična vrijednost komunalnog doprinosa određuje se za pojedine zone u jedinici lokalne samouprave tako da je ta vrijednost najviša za prvu zonu, a manja za svaku iduću zonu. Jedinična vrijednost komunalnog doprinosa za prvu zonu u jedinici lokalne samouprave ne može biti viša od 10% prosječnih troškova građenja kubnog metra (m³) građevine u Republici Hrvatskoj. Prosječni troškovi građenja kubnog metra iznose 1.382,86 HRK / 183,54 EUR po kubnom metru (NN 98/18).</w:t>
      </w:r>
    </w:p>
    <w:p>
      <w:pPr>
        <w:pStyle w:val="Normal"/>
        <w:jc w:val="both"/>
        <w:rPr>
          <w:rFonts w:ascii="Times New Roman" w:hAnsi="Times New Roman"/>
          <w:i w:val="false"/>
          <w:i w:val="false"/>
          <w:caps w:val="false"/>
          <w:smallCaps w:val="false"/>
          <w:color w:val="000000"/>
          <w:spacing w:val="0"/>
          <w:lang w:val="pl-PL"/>
        </w:rPr>
      </w:pPr>
      <w:r>
        <w:rPr>
          <w:i w:val="false"/>
          <w:caps w:val="false"/>
          <w:smallCaps w:val="false"/>
          <w:color w:val="000000"/>
          <w:spacing w:val="0"/>
          <w:lang w:val="pl-PL"/>
        </w:rPr>
      </w:r>
    </w:p>
    <w:p>
      <w:pPr>
        <w:pStyle w:val="Normal"/>
        <w:jc w:val="both"/>
        <w:rPr>
          <w:b w:val="false"/>
          <w:b w:val="false"/>
          <w:bCs w:val="false"/>
          <w:sz w:val="24"/>
          <w:szCs w:val="24"/>
        </w:rPr>
      </w:pPr>
      <w:r>
        <w:rPr>
          <w:b w:val="false"/>
          <w:bCs w:val="false"/>
          <w:i w:val="false"/>
          <w:caps w:val="false"/>
          <w:smallCaps w:val="false"/>
          <w:color w:val="000000"/>
          <w:spacing w:val="0"/>
          <w:sz w:val="22"/>
          <w:szCs w:val="22"/>
          <w:lang w:val="pl-PL"/>
        </w:rPr>
        <w:t>Zone u jedinici lokalne samouprave za plaćanje komunalnog doprinosa određuju se s obzirom na uređenost i opremljenost zone komunalnom infrastrukturom i položaj područja zone u jedinici lokalne samouprave. Položaj područja zone u jedinici lokalne samouprave određuje se s obzirom na:</w:t>
      </w:r>
    </w:p>
    <w:p>
      <w:pPr>
        <w:pStyle w:val="Normal"/>
        <w:jc w:val="both"/>
        <w:rPr>
          <w:b w:val="false"/>
          <w:b w:val="false"/>
          <w:bCs w:val="false"/>
          <w:sz w:val="24"/>
          <w:szCs w:val="24"/>
        </w:rPr>
      </w:pPr>
      <w:r>
        <w:rPr>
          <w:b w:val="false"/>
          <w:bCs w:val="false"/>
          <w:i w:val="false"/>
          <w:caps w:val="false"/>
          <w:smallCaps w:val="false"/>
          <w:color w:val="000000"/>
          <w:spacing w:val="0"/>
          <w:sz w:val="22"/>
          <w:szCs w:val="22"/>
          <w:lang w:val="pl-PL"/>
        </w:rPr>
        <w:t>- udaljenosti od središta u naselju</w:t>
      </w:r>
    </w:p>
    <w:p>
      <w:pPr>
        <w:pStyle w:val="Normal"/>
        <w:jc w:val="both"/>
        <w:rPr>
          <w:b w:val="false"/>
          <w:b w:val="false"/>
          <w:bCs w:val="false"/>
          <w:sz w:val="24"/>
          <w:szCs w:val="24"/>
        </w:rPr>
      </w:pPr>
      <w:r>
        <w:rPr>
          <w:b w:val="false"/>
          <w:bCs w:val="false"/>
          <w:i w:val="false"/>
          <w:caps w:val="false"/>
          <w:smallCaps w:val="false"/>
          <w:color w:val="000000"/>
          <w:spacing w:val="0"/>
          <w:sz w:val="22"/>
          <w:szCs w:val="22"/>
          <w:lang w:val="pl-PL"/>
        </w:rPr>
        <w:t>- mrežu javnog prijevoza</w:t>
      </w:r>
    </w:p>
    <w:p>
      <w:pPr>
        <w:pStyle w:val="Normal"/>
        <w:jc w:val="both"/>
        <w:rPr>
          <w:b w:val="false"/>
          <w:b w:val="false"/>
          <w:bCs w:val="false"/>
          <w:sz w:val="24"/>
          <w:szCs w:val="24"/>
        </w:rPr>
      </w:pPr>
      <w:r>
        <w:rPr>
          <w:b w:val="false"/>
          <w:bCs w:val="false"/>
          <w:i w:val="false"/>
          <w:caps w:val="false"/>
          <w:smallCaps w:val="false"/>
          <w:color w:val="000000"/>
          <w:spacing w:val="0"/>
          <w:sz w:val="22"/>
          <w:szCs w:val="22"/>
          <w:lang w:val="pl-PL"/>
        </w:rPr>
        <w:t>- dostupnost građevina javne i društvene namjene</w:t>
      </w:r>
    </w:p>
    <w:p>
      <w:pPr>
        <w:pStyle w:val="Normal"/>
        <w:jc w:val="both"/>
        <w:rPr>
          <w:b w:val="false"/>
          <w:b w:val="false"/>
          <w:bCs w:val="false"/>
          <w:sz w:val="24"/>
          <w:szCs w:val="24"/>
        </w:rPr>
      </w:pPr>
      <w:r>
        <w:rPr>
          <w:b w:val="false"/>
          <w:bCs w:val="false"/>
          <w:i w:val="false"/>
          <w:caps w:val="false"/>
          <w:smallCaps w:val="false"/>
          <w:color w:val="000000"/>
          <w:spacing w:val="0"/>
          <w:sz w:val="22"/>
          <w:szCs w:val="22"/>
          <w:lang w:val="pl-PL"/>
        </w:rPr>
        <w:t>- dostupnost građevina opskrbe i usluga</w:t>
      </w:r>
    </w:p>
    <w:p>
      <w:pPr>
        <w:pStyle w:val="Normal"/>
        <w:jc w:val="both"/>
        <w:rPr>
          <w:b w:val="false"/>
          <w:b w:val="false"/>
          <w:bCs w:val="false"/>
          <w:sz w:val="24"/>
          <w:szCs w:val="24"/>
        </w:rPr>
      </w:pPr>
      <w:r>
        <w:rPr>
          <w:b w:val="false"/>
          <w:bCs w:val="false"/>
          <w:i w:val="false"/>
          <w:caps w:val="false"/>
          <w:smallCaps w:val="false"/>
          <w:color w:val="000000"/>
          <w:spacing w:val="0"/>
          <w:sz w:val="22"/>
          <w:szCs w:val="22"/>
          <w:lang w:val="pl-PL"/>
        </w:rPr>
        <w:t>- prostorne i prirodne uvjete (prostorna atraktivnost, zona visoke, srednje ili niske gustoće stanovanja, zaštićene kulturno-povijesne cjeline, opći mikroklimatski uvjeti, negativni utjecaji na okoliš – zrak, voda, tlo, buka).</w:t>
      </w:r>
    </w:p>
    <w:p>
      <w:pPr>
        <w:pStyle w:val="Normal"/>
        <w:jc w:val="both"/>
        <w:rPr>
          <w:rFonts w:ascii="Times New Roman" w:hAnsi="Times New Roman"/>
          <w:i w:val="false"/>
          <w:i w:val="false"/>
          <w:caps w:val="false"/>
          <w:smallCaps w:val="false"/>
          <w:color w:val="000000"/>
          <w:spacing w:val="0"/>
          <w:lang w:val="pl-PL"/>
        </w:rPr>
      </w:pPr>
      <w:r>
        <w:rPr>
          <w:i w:val="false"/>
          <w:caps w:val="false"/>
          <w:smallCaps w:val="false"/>
          <w:color w:val="000000"/>
          <w:spacing w:val="0"/>
          <w:lang w:val="pl-PL"/>
        </w:rPr>
      </w:r>
    </w:p>
    <w:p>
      <w:pPr>
        <w:pStyle w:val="Normal"/>
        <w:jc w:val="both"/>
        <w:rPr>
          <w:b w:val="false"/>
          <w:b w:val="false"/>
          <w:bCs w:val="false"/>
          <w:sz w:val="24"/>
          <w:szCs w:val="24"/>
        </w:rPr>
      </w:pPr>
      <w:r>
        <w:rPr>
          <w:b w:val="false"/>
          <w:bCs w:val="false"/>
          <w:i w:val="false"/>
          <w:caps w:val="false"/>
          <w:smallCaps w:val="false"/>
          <w:color w:val="000000"/>
          <w:spacing w:val="0"/>
          <w:sz w:val="22"/>
          <w:szCs w:val="22"/>
          <w:lang w:val="pl-PL"/>
        </w:rPr>
        <w:t xml:space="preserve">Dosadašnjom Odlukom o komunalnom doprinosu područje Grada bilo je podijeljeno na 2 zone. Ovim prijedlogom zadržavaju se dosadašnje zone. </w:t>
      </w:r>
    </w:p>
    <w:p>
      <w:pPr>
        <w:pStyle w:val="Normal"/>
        <w:jc w:val="both"/>
        <w:rPr>
          <w:rFonts w:ascii="Times New Roman" w:hAnsi="Times New Roman"/>
          <w:i w:val="false"/>
          <w:i w:val="false"/>
          <w:caps w:val="false"/>
          <w:smallCaps w:val="false"/>
          <w:color w:val="000000"/>
          <w:spacing w:val="0"/>
          <w:lang w:val="pl-PL"/>
        </w:rPr>
      </w:pPr>
      <w:r>
        <w:rPr>
          <w:i w:val="false"/>
          <w:caps w:val="false"/>
          <w:smallCaps w:val="false"/>
          <w:color w:val="000000"/>
          <w:spacing w:val="0"/>
          <w:lang w:val="pl-PL"/>
        </w:rPr>
      </w:r>
    </w:p>
    <w:p>
      <w:pPr>
        <w:pStyle w:val="Normal"/>
        <w:jc w:val="both"/>
        <w:rPr>
          <w:b w:val="false"/>
          <w:b w:val="false"/>
          <w:bCs w:val="false"/>
          <w:sz w:val="24"/>
          <w:szCs w:val="24"/>
        </w:rPr>
      </w:pPr>
      <w:r>
        <w:rPr>
          <w:b w:val="false"/>
          <w:bCs w:val="false"/>
          <w:sz w:val="22"/>
          <w:szCs w:val="22"/>
        </w:rPr>
        <w:t xml:space="preserve">Predlaže se određivanje jedinične vrijednosti kako navedeno u čl. 5. prijedloga Odluke. </w:t>
      </w:r>
    </w:p>
    <w:p>
      <w:pPr>
        <w:pStyle w:val="Normal"/>
        <w:jc w:val="both"/>
        <w:rPr>
          <w:rFonts w:ascii="Times New Roman" w:hAnsi="Times New Roman"/>
          <w:i w:val="false"/>
          <w:i w:val="false"/>
          <w:caps w:val="false"/>
          <w:smallCaps w:val="false"/>
          <w:color w:val="000000"/>
          <w:spacing w:val="0"/>
          <w:lang w:val="pl-PL"/>
        </w:rPr>
      </w:pPr>
      <w:r>
        <w:rPr>
          <w:i w:val="false"/>
          <w:caps w:val="false"/>
          <w:smallCaps w:val="false"/>
          <w:color w:val="000000"/>
          <w:spacing w:val="0"/>
          <w:lang w:val="pl-PL"/>
        </w:rPr>
      </w:r>
    </w:p>
    <w:p>
      <w:pPr>
        <w:pStyle w:val="Normal"/>
        <w:jc w:val="both"/>
        <w:rPr>
          <w:sz w:val="22"/>
          <w:szCs w:val="22"/>
        </w:rPr>
      </w:pPr>
      <w:r>
        <w:rPr>
          <w:sz w:val="22"/>
          <w:szCs w:val="22"/>
        </w:rPr>
        <w:t xml:space="preserve">Kako se  Zakonom o komunalnom gospodarstvu predviđa da predstavničko tijelo može propisati opće uvjete i razloge zbog kojih se u pojedinačnim slučajevima odobrava djelomično ili potpuno oslobađanje od plaćanja komunalnog doprinosa prijedlogom Odluke (čl. 13. do 16.) predlažu se razlozi potpunog ili djelomičnog oslobođenja. </w:t>
      </w:r>
      <w:r>
        <w:rPr>
          <w:sz w:val="22"/>
          <w:szCs w:val="22"/>
        </w:rPr>
        <w:t>Djelomična oslobođenja se po novom prijedlogu više ne priznaju gospodarskim subjektima kao i po prethodno važećoj Odluci, već se novim prijedlogom djelomična oslobođenja odnose prvenstveno na fizičke osobe koje rješavaju stambeno pitanje.</w:t>
      </w:r>
    </w:p>
    <w:p>
      <w:pPr>
        <w:pStyle w:val="Normal"/>
        <w:rPr>
          <w:b w:val="false"/>
          <w:b w:val="false"/>
          <w:bCs w:val="false"/>
          <w:lang w:val="pl-PL"/>
        </w:rPr>
      </w:pPr>
      <w:r>
        <w:rPr>
          <w:b w:val="false"/>
          <w:bCs w:val="false"/>
          <w:lang w:val="pl-PL"/>
        </w:rPr>
      </w:r>
    </w:p>
    <w:p>
      <w:pPr>
        <w:pStyle w:val="Tijeloteksta"/>
        <w:spacing w:lineRule="auto" w:line="240" w:before="0" w:after="140"/>
        <w:ind w:hanging="0"/>
        <w:jc w:val="both"/>
        <w:rPr>
          <w:b/>
          <w:b/>
          <w:lang w:val="pl-PL"/>
        </w:rPr>
      </w:pPr>
      <w:r>
        <w:rPr>
          <w:b w:val="false"/>
          <w:bCs w:val="false"/>
          <w:i w:val="false"/>
          <w:caps w:val="false"/>
          <w:smallCaps w:val="false"/>
          <w:color w:val="000000"/>
          <w:spacing w:val="0"/>
          <w:sz w:val="22"/>
          <w:szCs w:val="22"/>
          <w:lang w:val="pl-PL"/>
        </w:rPr>
        <w:t xml:space="preserve">Postupci donošenja upravnih akata započeti po </w:t>
      </w:r>
      <w:r>
        <w:rPr>
          <w:b w:val="false"/>
          <w:bCs w:val="false"/>
          <w:i w:val="false"/>
          <w:caps w:val="false"/>
          <w:smallCaps w:val="false"/>
          <w:strike w:val="false"/>
          <w:dstrike w:val="false"/>
          <w:color w:val="000000"/>
          <w:spacing w:val="0"/>
          <w:sz w:val="22"/>
          <w:szCs w:val="22"/>
          <w:u w:val="none"/>
          <w:effect w:val="none"/>
          <w:lang w:val="pl-PL"/>
        </w:rPr>
        <w:t>odredbama</w:t>
      </w:r>
      <w:r>
        <w:rPr>
          <w:b w:val="false"/>
          <w:bCs w:val="false"/>
          <w:i w:val="false"/>
          <w:caps w:val="false"/>
          <w:smallCaps w:val="false"/>
          <w:color w:val="000000"/>
          <w:spacing w:val="0"/>
          <w:sz w:val="22"/>
          <w:szCs w:val="22"/>
          <w:lang w:val="pl-PL"/>
        </w:rPr>
        <w:t xml:space="preserve"> Odluke o komunalnom doprinosu (Službene novine 03/19, 06/20 ) dovršit će se prema odredbama te Odluke.</w:t>
      </w:r>
      <w:r>
        <w:rPr>
          <w:b w:val="false"/>
          <w:bCs w:val="false"/>
          <w:color w:val="000000"/>
          <w:sz w:val="22"/>
          <w:szCs w:val="22"/>
          <w:lang w:val="pl-PL"/>
        </w:rPr>
        <w:t xml:space="preserve"> </w:t>
      </w:r>
    </w:p>
    <w:sectPr>
      <w:footerReference w:type="default" r:id="rId2"/>
      <w:type w:val="nextPage"/>
      <w:pgSz w:w="11906" w:h="16838"/>
      <w:pgMar w:left="1440" w:right="1134" w:header="0" w:top="1134" w:footer="72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ind w:right="360" w:hanging="0"/>
      <w:rPr/>
    </w:pPr>
    <w:r>
      <w:rPr/>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hr-HR"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047ef"/>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0"/>
      <w:sz w:val="24"/>
      <w:szCs w:val="20"/>
      <w:lang w:val="hr-HR" w:eastAsia="hr-HR" w:bidi="ar-SA"/>
    </w:rPr>
  </w:style>
  <w:style w:type="paragraph" w:styleId="Stilnaslova1">
    <w:name w:val="Heading 1"/>
    <w:basedOn w:val="Normal"/>
    <w:qFormat/>
    <w:rsid w:val="00cc7333"/>
    <w:pPr>
      <w:widowControl w:val="false"/>
      <w:overflowPunct w:val="true"/>
      <w:spacing w:before="280" w:after="280"/>
      <w:textAlignment w:val="auto"/>
      <w:outlineLvl w:val="0"/>
    </w:pPr>
    <w:rPr>
      <w:b/>
      <w:bCs/>
      <w:kern w:val="2"/>
      <w:sz w:val="48"/>
      <w:szCs w:val="48"/>
    </w:rPr>
  </w:style>
  <w:style w:type="paragraph" w:styleId="Stilnaslova4">
    <w:name w:val="Heading 4"/>
    <w:basedOn w:val="Normal"/>
    <w:next w:val="Tijeloteksta"/>
    <w:qFormat/>
    <w:rsid w:val="00b047ef"/>
    <w:pPr>
      <w:spacing w:before="280" w:after="280"/>
      <w:outlineLvl w:val="3"/>
    </w:pPr>
    <w:rPr>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c7333"/>
    <w:rPr/>
  </w:style>
  <w:style w:type="character" w:styleId="Annotationreference">
    <w:name w:val="annotation reference"/>
    <w:basedOn w:val="DefaultParagraphFont"/>
    <w:qFormat/>
    <w:rsid w:val="00cc7333"/>
    <w:rPr>
      <w:sz w:val="16"/>
      <w:szCs w:val="16"/>
    </w:rPr>
  </w:style>
  <w:style w:type="character" w:styleId="CommentTextChar" w:customStyle="1">
    <w:name w:val="Comment Text Char"/>
    <w:basedOn w:val="DefaultParagraphFont"/>
    <w:qFormat/>
    <w:rsid w:val="00cc7333"/>
    <w:rPr>
      <w:lang w:val="en-GB"/>
    </w:rPr>
  </w:style>
  <w:style w:type="character" w:styleId="CommentSubjectChar" w:customStyle="1">
    <w:name w:val="Comment Subject Char"/>
    <w:basedOn w:val="CommentTextChar"/>
    <w:qFormat/>
    <w:rsid w:val="00cc7333"/>
    <w:rPr>
      <w:b/>
      <w:bCs/>
      <w:lang w:val="en-GB"/>
    </w:rPr>
  </w:style>
  <w:style w:type="character" w:styleId="HeaderChar" w:customStyle="1">
    <w:name w:val="Header Char"/>
    <w:basedOn w:val="DefaultParagraphFont"/>
    <w:qFormat/>
    <w:rsid w:val="00cc7333"/>
    <w:rPr>
      <w:sz w:val="24"/>
      <w:lang w:val="en-GB"/>
    </w:rPr>
  </w:style>
  <w:style w:type="character" w:styleId="Internetskapoveznica" w:customStyle="1">
    <w:name w:val="Internetska poveznica"/>
    <w:rsid w:val="00b047ef"/>
    <w:rPr>
      <w:color w:val="000080"/>
      <w:u w:val="single"/>
    </w:rPr>
  </w:style>
  <w:style w:type="character" w:styleId="Brojstranice1" w:customStyle="1">
    <w:name w:val="Broj stranice1"/>
    <w:qFormat/>
    <w:rsid w:val="00b047ef"/>
    <w:rPr/>
  </w:style>
  <w:style w:type="character" w:styleId="Zadanifontodlomka1" w:customStyle="1">
    <w:name w:val="Zadani font odlomka1"/>
    <w:qFormat/>
    <w:rsid w:val="00b047ef"/>
    <w:rPr/>
  </w:style>
  <w:style w:type="character" w:styleId="WW8Num5z2" w:customStyle="1">
    <w:name w:val="WW8Num5z2"/>
    <w:qFormat/>
    <w:rsid w:val="00b047ef"/>
    <w:rPr>
      <w:rFonts w:ascii="Wingdings" w:hAnsi="Wingdings" w:cs="Wingdings"/>
    </w:rPr>
  </w:style>
  <w:style w:type="character" w:styleId="WW8Num5z1" w:customStyle="1">
    <w:name w:val="WW8Num5z1"/>
    <w:qFormat/>
    <w:rsid w:val="00b047ef"/>
    <w:rPr>
      <w:rFonts w:ascii="Courier New" w:hAnsi="Courier New" w:cs="Courier New"/>
    </w:rPr>
  </w:style>
  <w:style w:type="character" w:styleId="WW8Num5z0" w:customStyle="1">
    <w:name w:val="WW8Num5z0"/>
    <w:qFormat/>
    <w:rsid w:val="00b047ef"/>
    <w:rPr>
      <w:rFonts w:ascii="Symbol" w:hAnsi="Symbol" w:cs="Symbol"/>
    </w:rPr>
  </w:style>
  <w:style w:type="character" w:styleId="WW8Num4z8" w:customStyle="1">
    <w:name w:val="WW8Num4z8"/>
    <w:qFormat/>
    <w:rsid w:val="00b047ef"/>
    <w:rPr/>
  </w:style>
  <w:style w:type="character" w:styleId="WW8Num4z7" w:customStyle="1">
    <w:name w:val="WW8Num4z7"/>
    <w:qFormat/>
    <w:rsid w:val="00b047ef"/>
    <w:rPr/>
  </w:style>
  <w:style w:type="character" w:styleId="WW8Num4z6" w:customStyle="1">
    <w:name w:val="WW8Num4z6"/>
    <w:qFormat/>
    <w:rsid w:val="00b047ef"/>
    <w:rPr/>
  </w:style>
  <w:style w:type="character" w:styleId="WW8Num4z5" w:customStyle="1">
    <w:name w:val="WW8Num4z5"/>
    <w:qFormat/>
    <w:rsid w:val="00b047ef"/>
    <w:rPr/>
  </w:style>
  <w:style w:type="character" w:styleId="WW8Num4z4" w:customStyle="1">
    <w:name w:val="WW8Num4z4"/>
    <w:qFormat/>
    <w:rsid w:val="00b047ef"/>
    <w:rPr/>
  </w:style>
  <w:style w:type="character" w:styleId="WW8Num4z3" w:customStyle="1">
    <w:name w:val="WW8Num4z3"/>
    <w:qFormat/>
    <w:rsid w:val="00b047ef"/>
    <w:rPr/>
  </w:style>
  <w:style w:type="character" w:styleId="WW8Num4z2" w:customStyle="1">
    <w:name w:val="WW8Num4z2"/>
    <w:qFormat/>
    <w:rsid w:val="00b047ef"/>
    <w:rPr/>
  </w:style>
  <w:style w:type="character" w:styleId="WW8Num4z1" w:customStyle="1">
    <w:name w:val="WW8Num4z1"/>
    <w:qFormat/>
    <w:rsid w:val="00b047ef"/>
    <w:rPr/>
  </w:style>
  <w:style w:type="character" w:styleId="WW8Num4z0" w:customStyle="1">
    <w:name w:val="WW8Num4z0"/>
    <w:qFormat/>
    <w:rsid w:val="00b047ef"/>
    <w:rPr/>
  </w:style>
  <w:style w:type="character" w:styleId="WW8Num3z5" w:customStyle="1">
    <w:name w:val="WW8Num3z5"/>
    <w:qFormat/>
    <w:rsid w:val="00b047ef"/>
    <w:rPr>
      <w:rFonts w:ascii="Wingdings" w:hAnsi="Wingdings" w:cs="Wingdings"/>
    </w:rPr>
  </w:style>
  <w:style w:type="character" w:styleId="WW8Num3z4" w:customStyle="1">
    <w:name w:val="WW8Num3z4"/>
    <w:qFormat/>
    <w:rsid w:val="00b047ef"/>
    <w:rPr>
      <w:rFonts w:ascii="Courier New" w:hAnsi="Courier New" w:cs="Courier New"/>
    </w:rPr>
  </w:style>
  <w:style w:type="character" w:styleId="WW8Num3z1" w:customStyle="1">
    <w:name w:val="WW8Num3z1"/>
    <w:qFormat/>
    <w:rsid w:val="00b047ef"/>
    <w:rPr>
      <w:rFonts w:ascii="Times New Roman" w:hAnsi="Times New Roman" w:eastAsia="Times New Roman" w:cs="Times New Roman"/>
    </w:rPr>
  </w:style>
  <w:style w:type="character" w:styleId="WW8Num3z0" w:customStyle="1">
    <w:name w:val="WW8Num3z0"/>
    <w:qFormat/>
    <w:rsid w:val="00b047ef"/>
    <w:rPr>
      <w:rFonts w:ascii="Symbol" w:hAnsi="Symbol" w:cs="Symbol"/>
    </w:rPr>
  </w:style>
  <w:style w:type="character" w:styleId="WW8Num2z3" w:customStyle="1">
    <w:name w:val="WW8Num2z3"/>
    <w:qFormat/>
    <w:rsid w:val="00b047ef"/>
    <w:rPr>
      <w:rFonts w:ascii="Symbol" w:hAnsi="Symbol" w:cs="Symbol"/>
    </w:rPr>
  </w:style>
  <w:style w:type="character" w:styleId="WW8Num2z2" w:customStyle="1">
    <w:name w:val="WW8Num2z2"/>
    <w:qFormat/>
    <w:rsid w:val="00b047ef"/>
    <w:rPr>
      <w:rFonts w:ascii="Wingdings" w:hAnsi="Wingdings" w:cs="Wingdings"/>
    </w:rPr>
  </w:style>
  <w:style w:type="character" w:styleId="WW8Num2z1" w:customStyle="1">
    <w:name w:val="WW8Num2z1"/>
    <w:qFormat/>
    <w:rsid w:val="00b047ef"/>
    <w:rPr>
      <w:rFonts w:ascii="Courier New" w:hAnsi="Courier New" w:cs="Courier New"/>
    </w:rPr>
  </w:style>
  <w:style w:type="character" w:styleId="WW8Num2z0" w:customStyle="1">
    <w:name w:val="WW8Num2z0"/>
    <w:qFormat/>
    <w:rsid w:val="00b047ef"/>
    <w:rPr>
      <w:rFonts w:ascii="Times New Roman" w:hAnsi="Times New Roman" w:eastAsia="Times New Roman" w:cs="Times New Roman"/>
    </w:rPr>
  </w:style>
  <w:style w:type="character" w:styleId="WW8Num1z4" w:customStyle="1">
    <w:name w:val="WW8Num1z4"/>
    <w:qFormat/>
    <w:rsid w:val="00b047ef"/>
    <w:rPr>
      <w:rFonts w:ascii="Courier New" w:hAnsi="Courier New" w:cs="Courier New"/>
    </w:rPr>
  </w:style>
  <w:style w:type="character" w:styleId="WW8Num1z2" w:customStyle="1">
    <w:name w:val="WW8Num1z2"/>
    <w:qFormat/>
    <w:rsid w:val="00b047ef"/>
    <w:rPr>
      <w:rFonts w:ascii="Wingdings" w:hAnsi="Wingdings" w:cs="Wingdings"/>
    </w:rPr>
  </w:style>
  <w:style w:type="character" w:styleId="WW8Num1z1" w:customStyle="1">
    <w:name w:val="WW8Num1z1"/>
    <w:qFormat/>
    <w:rsid w:val="00b047ef"/>
    <w:rPr>
      <w:rFonts w:ascii="Symbol" w:hAnsi="Symbol" w:cs="Symbol"/>
    </w:rPr>
  </w:style>
  <w:style w:type="character" w:styleId="WW8Num1z0" w:customStyle="1">
    <w:name w:val="WW8Num1z0"/>
    <w:qFormat/>
    <w:rsid w:val="00b047ef"/>
    <w:rPr>
      <w:rFonts w:ascii="Times New Roman" w:hAnsi="Times New Roman" w:eastAsia="Times New Roman" w:cs="Times New Roman"/>
    </w:rPr>
  </w:style>
  <w:style w:type="character" w:styleId="CITE" w:customStyle="1">
    <w:name w:val="CITE"/>
    <w:qFormat/>
    <w:rsid w:val="00b047ef"/>
    <w:rPr>
      <w:i/>
    </w:rPr>
  </w:style>
  <w:style w:type="character" w:styleId="CODE" w:customStyle="1">
    <w:name w:val="CODE"/>
    <w:qFormat/>
    <w:rsid w:val="00b047ef"/>
    <w:rPr>
      <w:rFonts w:ascii="Courier New" w:hAnsi="Courier New"/>
      <w:sz w:val="20"/>
    </w:rPr>
  </w:style>
  <w:style w:type="character" w:styleId="Posjeenainternetskapoveznica">
    <w:name w:val="Posjećena internetska poveznica"/>
    <w:qFormat/>
    <w:rsid w:val="00b047ef"/>
    <w:rPr>
      <w:color w:val="800080"/>
      <w:u w:val="single"/>
    </w:rPr>
  </w:style>
  <w:style w:type="character" w:styleId="Keyboard" w:customStyle="1">
    <w:name w:val="Keyboard"/>
    <w:qFormat/>
    <w:rsid w:val="00b047ef"/>
    <w:rPr>
      <w:rFonts w:ascii="Courier New" w:hAnsi="Courier New"/>
      <w:b/>
      <w:sz w:val="20"/>
    </w:rPr>
  </w:style>
  <w:style w:type="character" w:styleId="Sample" w:customStyle="1">
    <w:name w:val="Sample"/>
    <w:qFormat/>
    <w:rsid w:val="00b047ef"/>
    <w:rPr>
      <w:rFonts w:ascii="Courier New" w:hAnsi="Courier New"/>
    </w:rPr>
  </w:style>
  <w:style w:type="character" w:styleId="Strong">
    <w:name w:val="Strong"/>
    <w:qFormat/>
    <w:rsid w:val="00b047ef"/>
    <w:rPr>
      <w:b/>
    </w:rPr>
  </w:style>
  <w:style w:type="character" w:styleId="Typewriter" w:customStyle="1">
    <w:name w:val="Typewriter"/>
    <w:qFormat/>
    <w:rsid w:val="00b047ef"/>
    <w:rPr>
      <w:rFonts w:ascii="Courier New" w:hAnsi="Courier New"/>
      <w:sz w:val="20"/>
    </w:rPr>
  </w:style>
  <w:style w:type="character" w:styleId="HTMLMarkup" w:customStyle="1">
    <w:name w:val="HTML Markup"/>
    <w:qFormat/>
    <w:rsid w:val="00b047ef"/>
    <w:rPr>
      <w:vanish/>
      <w:color w:val="FF0000"/>
    </w:rPr>
  </w:style>
  <w:style w:type="character" w:styleId="Comment" w:customStyle="1">
    <w:name w:val="Comment"/>
    <w:qFormat/>
    <w:rsid w:val="00b047ef"/>
    <w:rPr>
      <w:vanish/>
    </w:rPr>
  </w:style>
  <w:style w:type="paragraph" w:styleId="Stilnaslova" w:customStyle="1">
    <w:name w:val="Stil naslova"/>
    <w:basedOn w:val="Normal"/>
    <w:next w:val="Textbody"/>
    <w:qFormat/>
    <w:rsid w:val="00cc7333"/>
    <w:pPr>
      <w:keepNext w:val="true"/>
      <w:widowControl w:val="false"/>
      <w:spacing w:before="240" w:after="120"/>
    </w:pPr>
    <w:rPr>
      <w:rFonts w:ascii="Liberation Sans" w:hAnsi="Liberation Sans" w:eastAsia="Microsoft YaHei" w:cs="Mangal"/>
      <w:sz w:val="28"/>
      <w:szCs w:val="28"/>
    </w:rPr>
  </w:style>
  <w:style w:type="paragraph" w:styleId="Tijeloteksta">
    <w:name w:val="Body Text"/>
    <w:basedOn w:val="Normal"/>
    <w:rsid w:val="00b047ef"/>
    <w:pPr>
      <w:spacing w:lineRule="auto" w:line="276" w:before="0" w:after="140"/>
    </w:pPr>
    <w:rPr/>
  </w:style>
  <w:style w:type="paragraph" w:styleId="Popis">
    <w:name w:val="List"/>
    <w:basedOn w:val="Normal"/>
    <w:rsid w:val="00cc7333"/>
    <w:pPr>
      <w:widowControl w:val="false"/>
    </w:pPr>
    <w:rPr>
      <w:rFonts w:cs="Mang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cc7333"/>
    <w:pPr>
      <w:widowControl w:val="false"/>
      <w:suppressLineNumbers/>
    </w:pPr>
    <w:rPr>
      <w:rFonts w:cs="Mangal"/>
    </w:rPr>
  </w:style>
  <w:style w:type="paragraph" w:styleId="Caption">
    <w:name w:val="caption"/>
    <w:basedOn w:val="Standard"/>
    <w:qFormat/>
    <w:rsid w:val="00cc7333"/>
    <w:pPr>
      <w:suppressLineNumbers/>
      <w:spacing w:before="120" w:after="120"/>
    </w:pPr>
    <w:rPr>
      <w:rFonts w:cs="Mangal"/>
      <w:i/>
      <w:iCs/>
      <w:szCs w:val="24"/>
    </w:rPr>
  </w:style>
  <w:style w:type="paragraph" w:styleId="Standard" w:customStyle="1">
    <w:name w:val="Standard"/>
    <w:qFormat/>
    <w:rsid w:val="00cc7333"/>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0"/>
      <w:lang w:val="en-GB" w:eastAsia="hr-HR" w:bidi="ar-SA"/>
    </w:rPr>
  </w:style>
  <w:style w:type="paragraph" w:styleId="Textbody" w:customStyle="1">
    <w:name w:val="Text body"/>
    <w:basedOn w:val="Standard"/>
    <w:qFormat/>
    <w:rsid w:val="00cc7333"/>
    <w:pPr>
      <w:spacing w:before="0" w:after="120"/>
    </w:pPr>
    <w:rPr/>
  </w:style>
  <w:style w:type="paragraph" w:styleId="NASLOV" w:customStyle="1">
    <w:name w:val="NASLOV"/>
    <w:basedOn w:val="Standard"/>
    <w:qFormat/>
    <w:rsid w:val="00cc7333"/>
    <w:pPr>
      <w:jc w:val="center"/>
    </w:pPr>
    <w:rPr>
      <w:b/>
      <w:i/>
      <w:caps/>
      <w:sz w:val="56"/>
      <w:u w:val="double"/>
    </w:rPr>
  </w:style>
  <w:style w:type="paragraph" w:styleId="ELANAK" w:customStyle="1">
    <w:name w:val="ELANAK"/>
    <w:basedOn w:val="Standard"/>
    <w:qFormat/>
    <w:rsid w:val="00cc7333"/>
    <w:pPr>
      <w:jc w:val="center"/>
    </w:pPr>
    <w:rPr/>
  </w:style>
  <w:style w:type="paragraph" w:styleId="BodyText2">
    <w:name w:val="Body Text 2"/>
    <w:basedOn w:val="Standard"/>
    <w:qFormat/>
    <w:rsid w:val="00cc7333"/>
    <w:pPr>
      <w:overflowPunct w:val="true"/>
      <w:jc w:val="both"/>
    </w:pPr>
    <w:rPr>
      <w:color w:val="FF0000"/>
      <w:sz w:val="22"/>
      <w:lang w:val="en-AU" w:eastAsia="en-US"/>
    </w:rPr>
  </w:style>
  <w:style w:type="paragraph" w:styleId="BodyTextIndent3">
    <w:name w:val="Body Text Indent 3"/>
    <w:basedOn w:val="Standard"/>
    <w:qFormat/>
    <w:rsid w:val="00cc7333"/>
    <w:pPr>
      <w:overflowPunct w:val="true"/>
      <w:ind w:firstLine="720"/>
      <w:jc w:val="both"/>
    </w:pPr>
    <w:rPr>
      <w:color w:val="FF0000"/>
      <w:sz w:val="22"/>
      <w:lang w:val="de-DE" w:eastAsia="en-US"/>
    </w:rPr>
  </w:style>
  <w:style w:type="paragraph" w:styleId="Textbodyindent" w:customStyle="1">
    <w:name w:val="Text body indent"/>
    <w:basedOn w:val="Standard"/>
    <w:qFormat/>
    <w:rsid w:val="00cc7333"/>
    <w:pPr>
      <w:spacing w:before="0" w:after="120"/>
      <w:ind w:left="283" w:hanging="0"/>
    </w:pPr>
    <w:rPr/>
  </w:style>
  <w:style w:type="paragraph" w:styleId="BodyTextIndent2">
    <w:name w:val="Body Text Indent 2"/>
    <w:basedOn w:val="Standard"/>
    <w:qFormat/>
    <w:rsid w:val="00cc7333"/>
    <w:pPr>
      <w:spacing w:lineRule="auto" w:line="480" w:before="0" w:after="120"/>
      <w:ind w:left="283" w:hanging="0"/>
    </w:pPr>
    <w:rPr/>
  </w:style>
  <w:style w:type="paragraph" w:styleId="BalloonText">
    <w:name w:val="Balloon Text"/>
    <w:basedOn w:val="Standard"/>
    <w:qFormat/>
    <w:rsid w:val="00cc7333"/>
    <w:pPr/>
    <w:rPr>
      <w:rFonts w:ascii="Tahoma" w:hAnsi="Tahoma" w:cs="Tahoma"/>
      <w:sz w:val="16"/>
      <w:szCs w:val="16"/>
    </w:rPr>
  </w:style>
  <w:style w:type="paragraph" w:styleId="Zaglavljeipodnoje">
    <w:name w:val="Zaglavlje i podnožje"/>
    <w:basedOn w:val="Normal"/>
    <w:qFormat/>
    <w:pPr/>
    <w:rPr/>
  </w:style>
  <w:style w:type="paragraph" w:styleId="Podnoje">
    <w:name w:val="Footer"/>
    <w:basedOn w:val="Standard"/>
    <w:rsid w:val="00cc7333"/>
    <w:pPr>
      <w:tabs>
        <w:tab w:val="clear" w:pos="709"/>
        <w:tab w:val="center" w:pos="4536" w:leader="none"/>
        <w:tab w:val="right" w:pos="9072" w:leader="none"/>
      </w:tabs>
    </w:pPr>
    <w:rPr/>
  </w:style>
  <w:style w:type="paragraph" w:styleId="NormalWeb">
    <w:name w:val="Normal (Web)"/>
    <w:basedOn w:val="Standard"/>
    <w:qFormat/>
    <w:rsid w:val="00cc7333"/>
    <w:pPr>
      <w:overflowPunct w:val="true"/>
      <w:spacing w:before="280" w:after="280"/>
    </w:pPr>
    <w:rPr>
      <w:rFonts w:ascii="Arial" w:hAnsi="Arial" w:cs="Arial"/>
      <w:color w:val="000000"/>
      <w:sz w:val="18"/>
      <w:szCs w:val="18"/>
      <w:lang w:val="hr-HR"/>
    </w:rPr>
  </w:style>
  <w:style w:type="paragraph" w:styleId="Annotationtext">
    <w:name w:val="annotation text"/>
    <w:basedOn w:val="Standard"/>
    <w:qFormat/>
    <w:rsid w:val="00cc7333"/>
    <w:pPr/>
    <w:rPr>
      <w:sz w:val="20"/>
    </w:rPr>
  </w:style>
  <w:style w:type="paragraph" w:styleId="Annotationsubject">
    <w:name w:val="annotation subject"/>
    <w:basedOn w:val="Annotationtext"/>
    <w:next w:val="Annotationtext"/>
    <w:qFormat/>
    <w:rsid w:val="00cc7333"/>
    <w:pPr/>
    <w:rPr>
      <w:b/>
      <w:bCs/>
    </w:rPr>
  </w:style>
  <w:style w:type="paragraph" w:styleId="Zaglavlje">
    <w:name w:val="Header"/>
    <w:basedOn w:val="Standard"/>
    <w:rsid w:val="00cc7333"/>
    <w:pPr>
      <w:tabs>
        <w:tab w:val="clear" w:pos="709"/>
        <w:tab w:val="center" w:pos="4536" w:leader="none"/>
        <w:tab w:val="right" w:pos="9072" w:leader="none"/>
      </w:tabs>
    </w:pPr>
    <w:rPr/>
  </w:style>
  <w:style w:type="paragraph" w:styleId="Default" w:customStyle="1">
    <w:name w:val="Default"/>
    <w:qFormat/>
    <w:rsid w:val="00cc7333"/>
    <w:pPr>
      <w:widowControl/>
      <w:suppressAutoHyphens w:val="true"/>
      <w:overflowPunct w:val="false"/>
      <w:bidi w:val="0"/>
      <w:spacing w:before="0" w:after="0"/>
      <w:jc w:val="left"/>
    </w:pPr>
    <w:rPr>
      <w:rFonts w:ascii="Times New Roman" w:hAnsi="Times New Roman" w:eastAsia="Calibri" w:cs="Times New Roman"/>
      <w:color w:val="000000"/>
      <w:kern w:val="0"/>
      <w:sz w:val="24"/>
      <w:szCs w:val="24"/>
      <w:lang w:val="hr-HR" w:eastAsia="hr-HR" w:bidi="ar-SA"/>
    </w:rPr>
  </w:style>
  <w:style w:type="paragraph" w:styleId="ListParagraph">
    <w:name w:val="List Paragraph"/>
    <w:basedOn w:val="Standard"/>
    <w:qFormat/>
    <w:rsid w:val="00cc7333"/>
    <w:pPr>
      <w:overflowPunct w:val="true"/>
      <w:ind w:left="720" w:hanging="0"/>
    </w:pPr>
    <w:rPr>
      <w:szCs w:val="24"/>
      <w:lang w:val="hr-HR"/>
    </w:rPr>
  </w:style>
  <w:style w:type="paragraph" w:styleId="Sadrajitablice" w:customStyle="1">
    <w:name w:val="Sadržaji tablice"/>
    <w:basedOn w:val="Normal"/>
    <w:qFormat/>
    <w:rsid w:val="00b047ef"/>
    <w:pPr>
      <w:suppressLineNumbers/>
    </w:pPr>
    <w:rPr/>
  </w:style>
  <w:style w:type="paragraph" w:styleId="Naslovtablice" w:customStyle="1">
    <w:name w:val="Naslov tablice"/>
    <w:basedOn w:val="Sadrajitablice"/>
    <w:qFormat/>
    <w:rsid w:val="00b047ef"/>
    <w:pPr>
      <w:jc w:val="center"/>
    </w:pPr>
    <w:rPr>
      <w:b/>
      <w:bCs/>
    </w:rPr>
  </w:style>
  <w:style w:type="paragraph" w:styleId="Sadrajokvira" w:customStyle="1">
    <w:name w:val="Sadržaj okvira"/>
    <w:basedOn w:val="Normal"/>
    <w:qFormat/>
    <w:rsid w:val="00b047ef"/>
    <w:pPr/>
    <w:rPr/>
  </w:style>
  <w:style w:type="paragraph" w:styleId="Docline" w:customStyle="1">
    <w:name w:val="doc_line"/>
    <w:basedOn w:val="Normal"/>
    <w:qFormat/>
    <w:rsid w:val="00b047ef"/>
    <w:pPr>
      <w:spacing w:before="280" w:after="280"/>
    </w:pPr>
    <w:rPr/>
  </w:style>
  <w:style w:type="paragraph" w:styleId="Doc" w:customStyle="1">
    <w:name w:val="doc"/>
    <w:basedOn w:val="Normal"/>
    <w:qFormat/>
    <w:rsid w:val="00b047ef"/>
    <w:pPr>
      <w:spacing w:before="280" w:after="280"/>
    </w:pPr>
    <w:rPr/>
  </w:style>
  <w:style w:type="paragraph" w:styleId="Normalno" w:customStyle="1">
    <w:name w:val="Normalno"/>
    <w:qFormat/>
    <w:rsid w:val="00b047ef"/>
    <w:pPr>
      <w:widowControl/>
      <w:suppressAutoHyphens w:val="true"/>
      <w:overflowPunct w:val="false"/>
      <w:bidi w:val="0"/>
      <w:spacing w:before="100" w:after="100"/>
      <w:jc w:val="left"/>
    </w:pPr>
    <w:rPr>
      <w:rFonts w:ascii="Times New Roman" w:hAnsi="Times New Roman" w:eastAsia="Arial" w:cs="Courier New"/>
      <w:color w:val="auto"/>
      <w:kern w:val="2"/>
      <w:sz w:val="24"/>
      <w:szCs w:val="24"/>
      <w:lang w:val="hr-HR" w:eastAsia="zh-CN" w:bidi="hi-IN"/>
    </w:rPr>
  </w:style>
  <w:style w:type="paragraph" w:styleId="DefinitionTerm" w:customStyle="1">
    <w:name w:val="Definition Term"/>
    <w:basedOn w:val="Normalno"/>
    <w:qFormat/>
    <w:rsid w:val="00b047ef"/>
    <w:pPr/>
    <w:rPr/>
  </w:style>
  <w:style w:type="paragraph" w:styleId="DefinitionList" w:customStyle="1">
    <w:name w:val="Definition List"/>
    <w:basedOn w:val="Normalno"/>
    <w:qFormat/>
    <w:rsid w:val="00b047ef"/>
    <w:pPr>
      <w:ind w:left="360" w:hanging="0"/>
    </w:pPr>
    <w:rPr/>
  </w:style>
  <w:style w:type="paragraph" w:styleId="H1" w:customStyle="1">
    <w:name w:val="H1"/>
    <w:basedOn w:val="Normalno"/>
    <w:qFormat/>
    <w:rsid w:val="00b047ef"/>
    <w:pPr>
      <w:keepNext w:val="true"/>
      <w:outlineLvl w:val="1"/>
    </w:pPr>
    <w:rPr>
      <w:b/>
      <w:sz w:val="48"/>
    </w:rPr>
  </w:style>
  <w:style w:type="paragraph" w:styleId="H2" w:customStyle="1">
    <w:name w:val="H2"/>
    <w:basedOn w:val="Normalno"/>
    <w:qFormat/>
    <w:rsid w:val="00b047ef"/>
    <w:pPr>
      <w:keepNext w:val="true"/>
      <w:outlineLvl w:val="2"/>
    </w:pPr>
    <w:rPr>
      <w:b/>
      <w:sz w:val="36"/>
    </w:rPr>
  </w:style>
  <w:style w:type="paragraph" w:styleId="H3" w:customStyle="1">
    <w:name w:val="H3"/>
    <w:basedOn w:val="Normalno"/>
    <w:qFormat/>
    <w:rsid w:val="00b047ef"/>
    <w:pPr>
      <w:keepNext w:val="true"/>
      <w:outlineLvl w:val="3"/>
    </w:pPr>
    <w:rPr>
      <w:b/>
      <w:sz w:val="28"/>
    </w:rPr>
  </w:style>
  <w:style w:type="paragraph" w:styleId="H4" w:customStyle="1">
    <w:name w:val="H4"/>
    <w:basedOn w:val="Normalno"/>
    <w:qFormat/>
    <w:rsid w:val="00b047ef"/>
    <w:pPr>
      <w:keepNext w:val="true"/>
      <w:outlineLvl w:val="4"/>
    </w:pPr>
    <w:rPr>
      <w:b/>
    </w:rPr>
  </w:style>
  <w:style w:type="paragraph" w:styleId="H5" w:customStyle="1">
    <w:name w:val="H5"/>
    <w:basedOn w:val="Normalno"/>
    <w:qFormat/>
    <w:rsid w:val="00b047ef"/>
    <w:pPr>
      <w:keepNext w:val="true"/>
      <w:outlineLvl w:val="5"/>
    </w:pPr>
    <w:rPr>
      <w:b/>
      <w:sz w:val="20"/>
    </w:rPr>
  </w:style>
  <w:style w:type="paragraph" w:styleId="H6" w:customStyle="1">
    <w:name w:val="H6"/>
    <w:basedOn w:val="Normalno"/>
    <w:qFormat/>
    <w:rsid w:val="00b047ef"/>
    <w:pPr>
      <w:keepNext w:val="true"/>
      <w:outlineLvl w:val="6"/>
    </w:pPr>
    <w:rPr>
      <w:b/>
      <w:sz w:val="16"/>
    </w:rPr>
  </w:style>
  <w:style w:type="paragraph" w:styleId="Address" w:customStyle="1">
    <w:name w:val="Address"/>
    <w:basedOn w:val="Normalno"/>
    <w:qFormat/>
    <w:rsid w:val="00b047ef"/>
    <w:pPr/>
    <w:rPr>
      <w:i/>
    </w:rPr>
  </w:style>
  <w:style w:type="paragraph" w:styleId="Blockquote" w:customStyle="1">
    <w:name w:val="Blockquote"/>
    <w:basedOn w:val="Normalno"/>
    <w:qFormat/>
    <w:rsid w:val="00b047ef"/>
    <w:pPr>
      <w:ind w:left="360" w:right="360" w:hanging="0"/>
    </w:pPr>
    <w:rPr/>
  </w:style>
  <w:style w:type="paragraph" w:styleId="Preformatted" w:customStyle="1">
    <w:name w:val="Preformatted"/>
    <w:basedOn w:val="Normalno"/>
    <w:qFormat/>
    <w:rsid w:val="00b047ef"/>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HTMLBottomofForm">
    <w:name w:val="HTML Bottom of Form"/>
    <w:qFormat/>
    <w:rsid w:val="00b047ef"/>
    <w:pPr>
      <w:widowControl/>
      <w:pBdr>
        <w:top w:val="double" w:sz="2" w:space="0" w:color="000000"/>
      </w:pBdr>
      <w:suppressAutoHyphens w:val="true"/>
      <w:overflowPunct w:val="false"/>
      <w:bidi w:val="0"/>
      <w:spacing w:before="0" w:after="0"/>
      <w:jc w:val="center"/>
    </w:pPr>
    <w:rPr>
      <w:rFonts w:ascii="Arial" w:hAnsi="Arial" w:eastAsia="Arial" w:cs="Courier New"/>
      <w:vanish/>
      <w:color w:val="auto"/>
      <w:kern w:val="2"/>
      <w:sz w:val="16"/>
      <w:szCs w:val="24"/>
      <w:lang w:val="hr-HR" w:eastAsia="zh-CN" w:bidi="hi-IN"/>
    </w:rPr>
  </w:style>
  <w:style w:type="paragraph" w:styleId="HTMLTopofForm">
    <w:name w:val="HTML Top of Form"/>
    <w:qFormat/>
    <w:rsid w:val="00b047ef"/>
    <w:pPr>
      <w:widowControl/>
      <w:pBdr>
        <w:bottom w:val="double" w:sz="2" w:space="0" w:color="000000"/>
      </w:pBdr>
      <w:suppressAutoHyphens w:val="true"/>
      <w:overflowPunct w:val="false"/>
      <w:bidi w:val="0"/>
      <w:spacing w:before="0" w:after="0"/>
      <w:jc w:val="center"/>
    </w:pPr>
    <w:rPr>
      <w:rFonts w:ascii="Arial" w:hAnsi="Arial" w:eastAsia="Arial" w:cs="Courier New"/>
      <w:vanish/>
      <w:color w:val="auto"/>
      <w:kern w:val="2"/>
      <w:sz w:val="16"/>
      <w:szCs w:val="24"/>
      <w:lang w:val="hr-HR" w:eastAsia="zh-CN" w:bidi="hi-IN"/>
    </w:rPr>
  </w:style>
  <w:style w:type="numbering" w:styleId="NoList" w:default="1">
    <w:name w:val="No List"/>
    <w:uiPriority w:val="99"/>
    <w:semiHidden/>
    <w:unhideWhenUsed/>
    <w:qFormat/>
  </w:style>
  <w:style w:type="numbering" w:styleId="NoList1" w:customStyle="1">
    <w:name w:val="No List_1"/>
    <w:qFormat/>
    <w:rsid w:val="00cc7333"/>
  </w:style>
  <w:style w:type="numbering" w:styleId="WW8Num1" w:customStyle="1">
    <w:name w:val="WW8Num1"/>
    <w:qFormat/>
    <w:rsid w:val="00b047ef"/>
  </w:style>
  <w:style w:type="numbering" w:styleId="WW8Num2" w:customStyle="1">
    <w:name w:val="WW8Num2"/>
    <w:qFormat/>
    <w:rsid w:val="00b047ef"/>
  </w:style>
  <w:style w:type="numbering" w:styleId="WW8Num3" w:customStyle="1">
    <w:name w:val="WW8Num3"/>
    <w:qFormat/>
    <w:rsid w:val="00b047ef"/>
  </w:style>
  <w:style w:type="numbering" w:styleId="WW8Num4" w:customStyle="1">
    <w:name w:val="WW8Num4"/>
    <w:qFormat/>
    <w:rsid w:val="00b047ef"/>
  </w:style>
  <w:style w:type="numbering" w:styleId="WW8Num5" w:customStyle="1">
    <w:name w:val="WW8Num5"/>
    <w:qFormat/>
    <w:rsid w:val="00b047ef"/>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LibreOffice/6.4.3.2$Windows_X86_64 LibreOffice_project/747b5d0ebf89f41c860ec2a39efd7cb15b54f2d8</Application>
  <Pages>6</Pages>
  <Words>2029</Words>
  <Characters>12445</Characters>
  <CharactersWithSpaces>14419</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2019-03-04T06:47:00Z</dcterms:created>
  <dc:creator>Brolex</dc:creator>
  <dc:description/>
  <dc:language>hr-HR</dc:language>
  <cp:lastModifiedBy/>
  <cp:lastPrinted>2019-02-20T08:28:00Z</cp:lastPrinted>
  <dcterms:modified xsi:type="dcterms:W3CDTF">2023-11-29T14:42:07Z</dcterms:modified>
  <cp:revision>10</cp:revision>
  <dc:subject/>
  <dc:title>Na temelju članka 31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