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5301"/>
      </w:tblGrid>
      <w:tr w:rsidR="005B0986" w:rsidRPr="008D4B26" w14:paraId="0899F978" w14:textId="77777777" w:rsidTr="00941D1C">
        <w:trPr>
          <w:trHeight w:val="719"/>
        </w:trPr>
        <w:tc>
          <w:tcPr>
            <w:tcW w:w="9243" w:type="dxa"/>
            <w:gridSpan w:val="2"/>
            <w:tcBorders>
              <w:bottom w:val="single" w:sz="4" w:space="0" w:color="365F91"/>
            </w:tcBorders>
            <w:shd w:val="clear" w:color="auto" w:fill="B8CCE4"/>
            <w:vAlign w:val="center"/>
          </w:tcPr>
          <w:p w14:paraId="6ED8E1E2" w14:textId="56FA918E" w:rsidR="005B0986" w:rsidRPr="008D4B26" w:rsidRDefault="00504138" w:rsidP="00941D1C">
            <w:pPr>
              <w:jc w:val="center"/>
              <w:rPr>
                <w:rFonts w:ascii="Times New Roman" w:hAnsi="Times New Roman" w:cs="Times New Roman"/>
                <w:b/>
                <w:bCs/>
                <w:sz w:val="20"/>
                <w:szCs w:val="20"/>
              </w:rPr>
            </w:pPr>
            <w:bookmarkStart w:id="0" w:name="_Toc468978617"/>
            <w:r w:rsidRPr="008D4B26">
              <w:rPr>
                <w:rFonts w:ascii="Times New Roman" w:hAnsi="Times New Roman" w:cs="Times New Roman"/>
                <w:sz w:val="24"/>
                <w:szCs w:val="24"/>
              </w:rPr>
              <w:t xml:space="preserve"> </w:t>
            </w:r>
            <w:bookmarkEnd w:id="0"/>
            <w:r w:rsidR="005B0986" w:rsidRPr="008D4B26">
              <w:rPr>
                <w:rFonts w:ascii="Times New Roman" w:hAnsi="Times New Roman" w:cs="Times New Roman"/>
                <w:b/>
                <w:bCs/>
                <w:sz w:val="20"/>
                <w:szCs w:val="20"/>
              </w:rPr>
              <w:t>IZVJEŠĆE O SAVJETOVANJU S JAVNOŠĆU</w:t>
            </w:r>
          </w:p>
          <w:p w14:paraId="115E84FA" w14:textId="6D11CB27" w:rsidR="005B0986" w:rsidRPr="008D4B26" w:rsidRDefault="005B0986" w:rsidP="00941D1C">
            <w:pPr>
              <w:jc w:val="center"/>
              <w:rPr>
                <w:rFonts w:ascii="Times New Roman" w:hAnsi="Times New Roman" w:cs="Times New Roman"/>
                <w:b/>
                <w:bCs/>
                <w:sz w:val="20"/>
                <w:szCs w:val="20"/>
              </w:rPr>
            </w:pPr>
            <w:r w:rsidRPr="008D4B26">
              <w:rPr>
                <w:rFonts w:ascii="Times New Roman" w:hAnsi="Times New Roman" w:cs="Times New Roman"/>
                <w:b/>
                <w:bCs/>
                <w:sz w:val="20"/>
                <w:szCs w:val="20"/>
              </w:rPr>
              <w:t xml:space="preserve">U POSTUPKU DONOŠENJA </w:t>
            </w:r>
            <w:r w:rsidR="008D4B26" w:rsidRPr="008D4B26">
              <w:rPr>
                <w:rFonts w:ascii="Times New Roman" w:hAnsi="Times New Roman" w:cs="Times New Roman"/>
                <w:b/>
                <w:bCs/>
                <w:sz w:val="20"/>
                <w:szCs w:val="20"/>
              </w:rPr>
              <w:t>ODLUKE O VISINI STOPA GODIŠNJEG POREZA NA DOHODAK</w:t>
            </w:r>
          </w:p>
          <w:p w14:paraId="7220379E" w14:textId="77777777" w:rsidR="005B0986" w:rsidRPr="008D4B26" w:rsidRDefault="005B0986" w:rsidP="00941D1C">
            <w:pPr>
              <w:jc w:val="center"/>
              <w:rPr>
                <w:rFonts w:ascii="Times New Roman" w:hAnsi="Times New Roman" w:cs="Times New Roman"/>
                <w:b/>
                <w:bCs/>
                <w:sz w:val="20"/>
                <w:szCs w:val="20"/>
              </w:rPr>
            </w:pPr>
          </w:p>
          <w:p w14:paraId="5902AF91" w14:textId="7AE209B9" w:rsidR="005B0986" w:rsidRPr="008D4B26" w:rsidRDefault="005B0986" w:rsidP="00941D1C">
            <w:pPr>
              <w:jc w:val="center"/>
              <w:rPr>
                <w:rFonts w:ascii="Times New Roman" w:hAnsi="Times New Roman" w:cs="Times New Roman"/>
                <w:b/>
                <w:bCs/>
                <w:sz w:val="20"/>
                <w:szCs w:val="20"/>
              </w:rPr>
            </w:pPr>
            <w:r w:rsidRPr="008D4B26">
              <w:rPr>
                <w:rFonts w:ascii="Times New Roman" w:hAnsi="Times New Roman" w:cs="Times New Roman"/>
                <w:b/>
                <w:bCs/>
                <w:sz w:val="20"/>
                <w:szCs w:val="20"/>
              </w:rPr>
              <w:t xml:space="preserve">Nositelj izrade izvješća: </w:t>
            </w:r>
            <w:r w:rsidR="008D4B26" w:rsidRPr="008D4B26">
              <w:rPr>
                <w:rFonts w:ascii="Times New Roman" w:hAnsi="Times New Roman" w:cs="Times New Roman"/>
                <w:b/>
                <w:bCs/>
                <w:sz w:val="20"/>
                <w:szCs w:val="20"/>
              </w:rPr>
              <w:t>UPRAVNI ODJEL ZA OPĆE POSLOVE</w:t>
            </w:r>
          </w:p>
          <w:p w14:paraId="57164197" w14:textId="58050B87" w:rsidR="005B0986" w:rsidRPr="008D4B26" w:rsidRDefault="005B0986" w:rsidP="00941D1C">
            <w:pPr>
              <w:jc w:val="center"/>
              <w:rPr>
                <w:rFonts w:ascii="Times New Roman" w:hAnsi="Times New Roman" w:cs="Times New Roman"/>
                <w:b/>
                <w:bCs/>
                <w:sz w:val="20"/>
                <w:szCs w:val="20"/>
              </w:rPr>
            </w:pPr>
            <w:r w:rsidRPr="008D4B26">
              <w:rPr>
                <w:rFonts w:ascii="Times New Roman" w:hAnsi="Times New Roman" w:cs="Times New Roman"/>
                <w:b/>
                <w:bCs/>
                <w:sz w:val="20"/>
                <w:szCs w:val="20"/>
              </w:rPr>
              <w:t>Mjesto, datum</w:t>
            </w:r>
            <w:r w:rsidR="008D4B26" w:rsidRPr="008D4B26">
              <w:rPr>
                <w:rFonts w:ascii="Times New Roman" w:hAnsi="Times New Roman" w:cs="Times New Roman"/>
                <w:b/>
                <w:bCs/>
                <w:sz w:val="20"/>
                <w:szCs w:val="20"/>
              </w:rPr>
              <w:t>: Buje – Buie, 16.11.2023.</w:t>
            </w:r>
          </w:p>
          <w:p w14:paraId="0BDF17A0" w14:textId="77777777" w:rsidR="005B0986" w:rsidRPr="008D4B26" w:rsidRDefault="005B0986" w:rsidP="00941D1C">
            <w:pPr>
              <w:jc w:val="center"/>
              <w:rPr>
                <w:rFonts w:ascii="Times New Roman" w:hAnsi="Times New Roman" w:cs="Times New Roman"/>
                <w:b/>
                <w:bCs/>
                <w:sz w:val="20"/>
                <w:szCs w:val="20"/>
              </w:rPr>
            </w:pPr>
          </w:p>
        </w:tc>
      </w:tr>
      <w:tr w:rsidR="005B0986" w:rsidRPr="008D4B26" w14:paraId="0C9E6DA7"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60427BE"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87571E0" w14:textId="3386BFA9" w:rsidR="005B0986" w:rsidRPr="008D4B26" w:rsidRDefault="008D4B26" w:rsidP="00941D1C">
            <w:pPr>
              <w:spacing w:after="120"/>
              <w:jc w:val="both"/>
              <w:rPr>
                <w:rFonts w:ascii="Times New Roman" w:hAnsi="Times New Roman" w:cs="Times New Roman"/>
                <w:bCs/>
                <w:sz w:val="20"/>
                <w:szCs w:val="20"/>
              </w:rPr>
            </w:pPr>
            <w:r w:rsidRPr="008D4B26">
              <w:rPr>
                <w:rFonts w:ascii="Times New Roman" w:hAnsi="Times New Roman" w:cs="Times New Roman"/>
                <w:bCs/>
                <w:sz w:val="20"/>
                <w:szCs w:val="20"/>
              </w:rPr>
              <w:t>ODLUKA O VISINI POREZNIH STOPA GODIŠNJEG POREZA NA DOHODAK</w:t>
            </w:r>
          </w:p>
        </w:tc>
      </w:tr>
      <w:tr w:rsidR="005B0986" w:rsidRPr="008D4B26" w14:paraId="3B7D6016"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4E159E3"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 xml:space="preserve">Naziv tijela nadležnog za izradu nacrta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4423879" w14:textId="3222A1AE" w:rsidR="005B0986" w:rsidRPr="008D4B26" w:rsidRDefault="008D4B26" w:rsidP="00941D1C">
            <w:pPr>
              <w:spacing w:after="120"/>
              <w:jc w:val="both"/>
              <w:rPr>
                <w:rFonts w:ascii="Times New Roman" w:hAnsi="Times New Roman" w:cs="Times New Roman"/>
                <w:bCs/>
                <w:sz w:val="20"/>
                <w:szCs w:val="20"/>
              </w:rPr>
            </w:pPr>
            <w:r w:rsidRPr="008D4B26">
              <w:rPr>
                <w:rFonts w:ascii="Times New Roman" w:hAnsi="Times New Roman" w:cs="Times New Roman"/>
                <w:bCs/>
                <w:sz w:val="20"/>
                <w:szCs w:val="20"/>
              </w:rPr>
              <w:t>GRAD BUJE – BUIE, UPRAVNI ODJEL ZA OPĆE POSLOVE</w:t>
            </w:r>
          </w:p>
        </w:tc>
      </w:tr>
      <w:tr w:rsidR="005B0986" w:rsidRPr="008D4B26" w14:paraId="271E9FD7"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3DBF592"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14:paraId="03656581" w14:textId="5EA42B4C" w:rsidR="008D4B26" w:rsidRPr="00C31F8F" w:rsidRDefault="008D4B26" w:rsidP="001C7FF3">
            <w:pPr>
              <w:rPr>
                <w:rFonts w:ascii="Times New Roman" w:hAnsi="Times New Roman" w:cs="Times New Roman"/>
                <w:sz w:val="20"/>
                <w:szCs w:val="20"/>
              </w:rPr>
            </w:pPr>
            <w:r w:rsidRPr="00C31F8F">
              <w:rPr>
                <w:rFonts w:ascii="Times New Roman" w:hAnsi="Times New Roman" w:cs="Times New Roman"/>
                <w:sz w:val="20"/>
                <w:szCs w:val="20"/>
              </w:rPr>
              <w:t>Zakon</w:t>
            </w:r>
            <w:r w:rsidRPr="00C31F8F">
              <w:rPr>
                <w:rFonts w:ascii="Times New Roman" w:hAnsi="Times New Roman" w:cs="Times New Roman"/>
                <w:sz w:val="20"/>
                <w:szCs w:val="20"/>
              </w:rPr>
              <w:t>om</w:t>
            </w:r>
            <w:r w:rsidRPr="00C31F8F">
              <w:rPr>
                <w:rFonts w:ascii="Times New Roman" w:hAnsi="Times New Roman" w:cs="Times New Roman"/>
                <w:sz w:val="20"/>
                <w:szCs w:val="20"/>
              </w:rPr>
              <w:t xml:space="preserve"> o izmjenama i dopunama Zakona o porezu na dohodak („Narodne novine“ br. 114/23) dana </w:t>
            </w:r>
            <w:r w:rsidRPr="00C31F8F">
              <w:rPr>
                <w:rFonts w:ascii="Times New Roman" w:hAnsi="Times New Roman" w:cs="Times New Roman"/>
                <w:sz w:val="20"/>
                <w:szCs w:val="20"/>
              </w:rPr>
              <w:t xml:space="preserve">je </w:t>
            </w:r>
            <w:r w:rsidRPr="00C31F8F">
              <w:rPr>
                <w:rFonts w:ascii="Times New Roman" w:hAnsi="Times New Roman" w:cs="Times New Roman"/>
                <w:sz w:val="20"/>
                <w:szCs w:val="20"/>
              </w:rPr>
              <w:t>ovlast predstavničkim tijelima jedinica lokalne samouprave da svojom odlukom odrede visinu poreznih stopa godišnjeg poreza na dohodak.</w:t>
            </w:r>
          </w:p>
          <w:p w14:paraId="72184E96" w14:textId="77777777" w:rsidR="001C7FF3" w:rsidRPr="00C31F8F" w:rsidRDefault="008D4B26" w:rsidP="001C7FF3">
            <w:pPr>
              <w:rPr>
                <w:rFonts w:ascii="Times New Roman" w:hAnsi="Times New Roman" w:cs="Times New Roman"/>
                <w:sz w:val="20"/>
                <w:szCs w:val="20"/>
              </w:rPr>
            </w:pPr>
            <w:r w:rsidRPr="00C31F8F">
              <w:rPr>
                <w:rFonts w:ascii="Times New Roman" w:hAnsi="Times New Roman" w:cs="Times New Roman"/>
                <w:sz w:val="20"/>
                <w:szCs w:val="20"/>
              </w:rPr>
              <w:t xml:space="preserve">Istim Zakonom </w:t>
            </w:r>
            <w:r w:rsidRPr="00C31F8F">
              <w:rPr>
                <w:rFonts w:ascii="Times New Roman" w:hAnsi="Times New Roman" w:cs="Times New Roman"/>
                <w:sz w:val="20"/>
                <w:szCs w:val="20"/>
              </w:rPr>
              <w:t>propisane su granice visine poreznih stopa za grad s manje od 30.000 stanovnika: niža stopa u granicama od 15% do 22,40% te viša stopa u granicama od 25% di 34,50%. Godišnji porez na dohodak će se plaćati po nižoj stopi na godišnju poreznu osnovicu do visine 50.400,00 eura (4.200,00 eura mjesečno) te po višoj stopi na dio porezne osnovice koji prelazi 50.400,00 eura.</w:t>
            </w:r>
          </w:p>
          <w:p w14:paraId="1CF902F6" w14:textId="37452139" w:rsidR="008D4B26" w:rsidRPr="00C31F8F" w:rsidRDefault="008D4B26" w:rsidP="001C7FF3">
            <w:pPr>
              <w:rPr>
                <w:rFonts w:ascii="Times New Roman" w:hAnsi="Times New Roman" w:cs="Times New Roman"/>
                <w:sz w:val="20"/>
                <w:szCs w:val="20"/>
              </w:rPr>
            </w:pPr>
            <w:r w:rsidRPr="00C31F8F">
              <w:rPr>
                <w:rFonts w:ascii="Times New Roman" w:hAnsi="Times New Roman" w:cs="Times New Roman"/>
                <w:sz w:val="20"/>
                <w:szCs w:val="20"/>
              </w:rPr>
              <w:t>Zakonom o izmjenama i dopunama Zakona o lokalnim porezima („Narodne novine“ br. 144/23) od 1. siječnja 2024. godine ukida se prirez porezu na dohodak.</w:t>
            </w:r>
          </w:p>
          <w:p w14:paraId="46F4371A" w14:textId="77777777" w:rsidR="008D4B26" w:rsidRPr="00C31F8F" w:rsidRDefault="008D4B26" w:rsidP="001C7FF3">
            <w:pPr>
              <w:rPr>
                <w:rFonts w:ascii="Times New Roman" w:hAnsi="Times New Roman" w:cs="Times New Roman"/>
                <w:sz w:val="20"/>
                <w:szCs w:val="20"/>
              </w:rPr>
            </w:pPr>
            <w:r w:rsidRPr="00C31F8F">
              <w:rPr>
                <w:rFonts w:ascii="Times New Roman" w:hAnsi="Times New Roman" w:cs="Times New Roman"/>
                <w:sz w:val="20"/>
                <w:szCs w:val="20"/>
              </w:rPr>
              <w:t xml:space="preserve">Ovom Odlukom predlaže se utvrđivanje niže porezne stope u visini od 20,00% i više porezne stope u visini od 30,00%, dakle bez povećanja od 1,2% odnosno 1,8% zbog ukidanja prireza što će smanjiti porezno opterećenje građana. </w:t>
            </w:r>
          </w:p>
          <w:p w14:paraId="3868CA1E" w14:textId="77777777" w:rsidR="005B0986" w:rsidRPr="00C31F8F" w:rsidRDefault="005B0986" w:rsidP="00941D1C">
            <w:pPr>
              <w:spacing w:after="120"/>
              <w:jc w:val="both"/>
              <w:rPr>
                <w:rFonts w:ascii="Times New Roman" w:hAnsi="Times New Roman" w:cs="Times New Roman"/>
                <w:bCs/>
                <w:sz w:val="20"/>
                <w:szCs w:val="20"/>
              </w:rPr>
            </w:pPr>
          </w:p>
        </w:tc>
      </w:tr>
      <w:tr w:rsidR="005B0986" w:rsidRPr="008D4B26" w14:paraId="1A5C6BF2" w14:textId="77777777"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14:paraId="5CE6C4C2"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Objava dokumenata za savjetovanje</w:t>
            </w:r>
            <w:r w:rsidR="00F742DA" w:rsidRPr="008D4B26">
              <w:rPr>
                <w:rFonts w:ascii="Times New Roman" w:hAnsi="Times New Roman" w:cs="Times New Roman"/>
                <w:b/>
                <w:bCs/>
                <w:sz w:val="20"/>
                <w:szCs w:val="20"/>
              </w:rPr>
              <w:t xml:space="preserve"> </w:t>
            </w:r>
          </w:p>
          <w:p w14:paraId="1C173586" w14:textId="77777777" w:rsidR="00F742DA" w:rsidRPr="008D4B26" w:rsidRDefault="00F742DA" w:rsidP="001907B5">
            <w:pPr>
              <w:spacing w:after="120"/>
              <w:rPr>
                <w:rFonts w:ascii="Times New Roman" w:hAnsi="Times New Roman" w:cs="Times New Roman"/>
                <w:b/>
                <w:bCs/>
                <w:sz w:val="20"/>
                <w:szCs w:val="20"/>
              </w:rPr>
            </w:pPr>
          </w:p>
          <w:p w14:paraId="416D1080" w14:textId="77777777" w:rsidR="005B0986" w:rsidRPr="008D4B26" w:rsidRDefault="005B0986" w:rsidP="001907B5">
            <w:pPr>
              <w:spacing w:after="120"/>
              <w:rPr>
                <w:rFonts w:ascii="Times New Roman" w:hAnsi="Times New Roman" w:cs="Times New Roman"/>
                <w:b/>
                <w:bCs/>
                <w:sz w:val="20"/>
                <w:szCs w:val="20"/>
              </w:rPr>
            </w:pPr>
          </w:p>
          <w:p w14:paraId="101EC888"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 xml:space="preserve">Razdoblje provedbe savjetovanja </w:t>
            </w:r>
          </w:p>
          <w:p w14:paraId="07FFCE92" w14:textId="77777777" w:rsidR="005B0986" w:rsidRPr="008D4B26" w:rsidRDefault="005B0986" w:rsidP="001907B5">
            <w:pPr>
              <w:spacing w:after="120"/>
              <w:rPr>
                <w:rFonts w:ascii="Times New Roman" w:hAnsi="Times New Roman" w:cs="Times New Roman"/>
                <w:b/>
                <w:bCs/>
                <w:sz w:val="20"/>
                <w:szCs w:val="20"/>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B9A5283" w14:textId="246D2C0D" w:rsidR="001C7FF3" w:rsidRPr="008D4B26" w:rsidRDefault="001C7FF3" w:rsidP="001907B5">
            <w:pPr>
              <w:spacing w:after="120"/>
              <w:rPr>
                <w:rFonts w:ascii="Times New Roman" w:hAnsi="Times New Roman" w:cs="Times New Roman"/>
                <w:bCs/>
                <w:sz w:val="20"/>
                <w:szCs w:val="20"/>
              </w:rPr>
            </w:pPr>
            <w:hyperlink r:id="rId4" w:history="1">
              <w:r w:rsidRPr="002334CF">
                <w:rPr>
                  <w:rStyle w:val="Hiperveza"/>
                  <w:rFonts w:ascii="Times New Roman" w:hAnsi="Times New Roman" w:cs="Times New Roman"/>
                  <w:bCs/>
                  <w:sz w:val="20"/>
                  <w:szCs w:val="20"/>
                </w:rPr>
                <w:t>h</w:t>
              </w:r>
              <w:r w:rsidRPr="002334CF">
                <w:rPr>
                  <w:rStyle w:val="Hiperveza"/>
                  <w:rFonts w:ascii="Times New Roman" w:hAnsi="Times New Roman" w:cs="Times New Roman"/>
                  <w:bCs/>
                  <w:sz w:val="20"/>
                  <w:szCs w:val="20"/>
                </w:rPr>
                <w:t>ttps://buje.hr/savjetovanje-s-javnoscu-prijedlog-odluke-o-visini-poreznih-stopa-godisnjeg-poreza-na-dohodak/</w:t>
              </w:r>
            </w:hyperlink>
          </w:p>
        </w:tc>
      </w:tr>
      <w:tr w:rsidR="005B0986" w:rsidRPr="008D4B26" w14:paraId="59754249" w14:textId="77777777"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14:paraId="66A5DC3B" w14:textId="77777777" w:rsidR="005B0986" w:rsidRPr="008D4B26" w:rsidRDefault="005B0986" w:rsidP="001907B5">
            <w:pPr>
              <w:spacing w:after="120"/>
              <w:rPr>
                <w:rFonts w:ascii="Times New Roman" w:hAnsi="Times New Roman" w:cs="Times New Roman"/>
                <w:b/>
                <w:bCs/>
                <w:sz w:val="20"/>
                <w:szCs w:val="20"/>
              </w:rPr>
            </w:pPr>
          </w:p>
        </w:tc>
        <w:tc>
          <w:tcPr>
            <w:tcW w:w="5301" w:type="dxa"/>
            <w:tcBorders>
              <w:top w:val="single" w:sz="4" w:space="0" w:color="365F91"/>
              <w:left w:val="single" w:sz="4" w:space="0" w:color="365F91"/>
              <w:right w:val="single" w:sz="4" w:space="0" w:color="365F91"/>
            </w:tcBorders>
            <w:shd w:val="clear" w:color="auto" w:fill="auto"/>
            <w:vAlign w:val="center"/>
          </w:tcPr>
          <w:p w14:paraId="03FEC1EB" w14:textId="77777777" w:rsidR="00F742DA" w:rsidRPr="008D4B26" w:rsidRDefault="00F742DA" w:rsidP="001907B5">
            <w:pPr>
              <w:spacing w:after="120"/>
              <w:rPr>
                <w:rFonts w:ascii="Times New Roman" w:hAnsi="Times New Roman" w:cs="Times New Roman"/>
                <w:bCs/>
                <w:sz w:val="20"/>
                <w:szCs w:val="20"/>
              </w:rPr>
            </w:pPr>
          </w:p>
          <w:p w14:paraId="5F61F8DC" w14:textId="503FCBB9" w:rsidR="00F742DA" w:rsidRPr="008D4B26" w:rsidRDefault="005E2D43" w:rsidP="001907B5">
            <w:pPr>
              <w:spacing w:after="120"/>
              <w:rPr>
                <w:rFonts w:ascii="Times New Roman" w:hAnsi="Times New Roman" w:cs="Times New Roman"/>
                <w:bCs/>
                <w:sz w:val="20"/>
                <w:szCs w:val="20"/>
              </w:rPr>
            </w:pPr>
            <w:r>
              <w:rPr>
                <w:rFonts w:ascii="Times New Roman" w:hAnsi="Times New Roman" w:cs="Times New Roman"/>
                <w:bCs/>
                <w:sz w:val="20"/>
                <w:szCs w:val="20"/>
              </w:rPr>
              <w:t>16.10.2023. – 15.11.2023.</w:t>
            </w:r>
          </w:p>
          <w:p w14:paraId="0A7C3120" w14:textId="77777777" w:rsidR="005B0986" w:rsidRPr="008D4B26" w:rsidRDefault="005B0986" w:rsidP="005E2D43">
            <w:pPr>
              <w:spacing w:after="120"/>
              <w:rPr>
                <w:rFonts w:ascii="Times New Roman" w:hAnsi="Times New Roman" w:cs="Times New Roman"/>
                <w:bCs/>
                <w:sz w:val="20"/>
                <w:szCs w:val="20"/>
              </w:rPr>
            </w:pPr>
          </w:p>
        </w:tc>
      </w:tr>
      <w:tr w:rsidR="005B0986" w:rsidRPr="008D4B26" w14:paraId="1A0F7AE4"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6A7C794"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 xml:space="preserve">Pregled prihvaćenih i neprihvaćenih mišljenja i prijedloga s obrazloženjem razloga za neprihvaćanje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CAA3DBE" w14:textId="760D7A99" w:rsidR="005B0986" w:rsidRPr="008D4B26" w:rsidRDefault="005E2D43" w:rsidP="001907B5">
            <w:pPr>
              <w:spacing w:after="120"/>
              <w:rPr>
                <w:rFonts w:ascii="Times New Roman" w:hAnsi="Times New Roman" w:cs="Times New Roman"/>
                <w:bCs/>
                <w:sz w:val="20"/>
                <w:szCs w:val="20"/>
              </w:rPr>
            </w:pPr>
            <w:r>
              <w:rPr>
                <w:rFonts w:ascii="Times New Roman" w:hAnsi="Times New Roman" w:cs="Times New Roman"/>
                <w:bCs/>
                <w:sz w:val="20"/>
                <w:szCs w:val="20"/>
              </w:rPr>
              <w:t>Tijekom savjetovanja nisu zaprimljene primjedbe / prijedlozi</w:t>
            </w:r>
            <w:r w:rsidR="00F73732">
              <w:rPr>
                <w:rFonts w:ascii="Times New Roman" w:hAnsi="Times New Roman" w:cs="Times New Roman"/>
                <w:bCs/>
                <w:sz w:val="20"/>
                <w:szCs w:val="20"/>
              </w:rPr>
              <w:t xml:space="preserve"> / mišljenja</w:t>
            </w:r>
          </w:p>
        </w:tc>
      </w:tr>
      <w:tr w:rsidR="005B0986" w:rsidRPr="008D4B26" w14:paraId="6DC36953"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EEA40A3"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 xml:space="preserve">Ostali oblici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BBE95D0" w14:textId="77777777" w:rsidR="005B0986" w:rsidRPr="008D4B26" w:rsidRDefault="005B0986" w:rsidP="001907B5">
            <w:pPr>
              <w:spacing w:after="120"/>
              <w:rPr>
                <w:rFonts w:ascii="Times New Roman" w:hAnsi="Times New Roman" w:cs="Times New Roman"/>
                <w:bCs/>
                <w:sz w:val="20"/>
                <w:szCs w:val="20"/>
              </w:rPr>
            </w:pPr>
          </w:p>
          <w:p w14:paraId="39863C48" w14:textId="797122E8" w:rsidR="00710D22" w:rsidRPr="008D4B26" w:rsidRDefault="00F73732" w:rsidP="001907B5">
            <w:pPr>
              <w:spacing w:after="120"/>
              <w:rPr>
                <w:rFonts w:ascii="Times New Roman" w:hAnsi="Times New Roman" w:cs="Times New Roman"/>
                <w:bCs/>
                <w:sz w:val="20"/>
                <w:szCs w:val="20"/>
              </w:rPr>
            </w:pPr>
            <w:r>
              <w:rPr>
                <w:rFonts w:ascii="Times New Roman" w:hAnsi="Times New Roman" w:cs="Times New Roman"/>
                <w:bCs/>
                <w:sz w:val="20"/>
                <w:szCs w:val="20"/>
              </w:rPr>
              <w:t>---</w:t>
            </w:r>
          </w:p>
        </w:tc>
      </w:tr>
      <w:tr w:rsidR="005B0986" w:rsidRPr="008D4B26" w14:paraId="4825A17B" w14:textId="77777777"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CAC86D1" w14:textId="77777777" w:rsidR="005B0986" w:rsidRPr="008D4B26" w:rsidRDefault="005B0986" w:rsidP="001907B5">
            <w:pPr>
              <w:spacing w:after="120"/>
              <w:rPr>
                <w:rFonts w:ascii="Times New Roman" w:hAnsi="Times New Roman" w:cs="Times New Roman"/>
                <w:b/>
                <w:bCs/>
                <w:sz w:val="20"/>
                <w:szCs w:val="20"/>
              </w:rPr>
            </w:pPr>
            <w:r w:rsidRPr="008D4B26">
              <w:rPr>
                <w:rFonts w:ascii="Times New Roman" w:hAnsi="Times New Roman" w:cs="Times New Roman"/>
                <w:b/>
                <w:bCs/>
                <w:sz w:val="20"/>
                <w:szCs w:val="20"/>
              </w:rPr>
              <w:t>Troškovi provedenog savjetovanja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14:paraId="01BCEEE6" w14:textId="3EBE8F8F" w:rsidR="005B0986" w:rsidRPr="008D4B26" w:rsidRDefault="005E2D43" w:rsidP="00941D1C">
            <w:pPr>
              <w:spacing w:after="120"/>
              <w:jc w:val="both"/>
              <w:rPr>
                <w:rFonts w:ascii="Times New Roman" w:hAnsi="Times New Roman" w:cs="Times New Roman"/>
                <w:bCs/>
                <w:sz w:val="20"/>
                <w:szCs w:val="20"/>
              </w:rPr>
            </w:pPr>
            <w:r>
              <w:rPr>
                <w:rFonts w:ascii="Times New Roman" w:hAnsi="Times New Roman" w:cs="Times New Roman"/>
                <w:bCs/>
                <w:sz w:val="20"/>
                <w:szCs w:val="20"/>
              </w:rPr>
              <w:t>Nema</w:t>
            </w:r>
            <w:r w:rsidR="00F73732">
              <w:rPr>
                <w:rFonts w:ascii="Times New Roman" w:hAnsi="Times New Roman" w:cs="Times New Roman"/>
                <w:bCs/>
                <w:sz w:val="20"/>
                <w:szCs w:val="20"/>
              </w:rPr>
              <w:t xml:space="preserve"> dodatnih troškova </w:t>
            </w:r>
            <w:r w:rsidR="00C31F8F">
              <w:rPr>
                <w:rFonts w:ascii="Times New Roman" w:hAnsi="Times New Roman" w:cs="Times New Roman"/>
                <w:bCs/>
                <w:sz w:val="20"/>
                <w:szCs w:val="20"/>
              </w:rPr>
              <w:t xml:space="preserve">vezanih </w:t>
            </w:r>
            <w:r w:rsidR="00F73732">
              <w:rPr>
                <w:rFonts w:ascii="Times New Roman" w:hAnsi="Times New Roman" w:cs="Times New Roman"/>
                <w:bCs/>
                <w:sz w:val="20"/>
                <w:szCs w:val="20"/>
              </w:rPr>
              <w:t>za provedeno savjetovanje</w:t>
            </w:r>
          </w:p>
        </w:tc>
      </w:tr>
    </w:tbl>
    <w:p w14:paraId="35484B30" w14:textId="77777777" w:rsidR="006556CC" w:rsidRPr="008D4B26" w:rsidRDefault="006556CC" w:rsidP="00E738EC">
      <w:pPr>
        <w:rPr>
          <w:rFonts w:ascii="Times New Roman" w:eastAsia="Calibri" w:hAnsi="Times New Roman" w:cs="Times New Roman"/>
          <w:b/>
          <w:bCs/>
          <w:sz w:val="20"/>
          <w:szCs w:val="20"/>
          <w:lang w:eastAsia="en-US"/>
        </w:rPr>
      </w:pPr>
      <w:bookmarkStart w:id="1" w:name="_Toc468978618"/>
    </w:p>
    <w:p w14:paraId="25E17681" w14:textId="7A339975" w:rsidR="00E738EC" w:rsidRDefault="00E738EC" w:rsidP="00E738EC">
      <w:pPr>
        <w:rPr>
          <w:rFonts w:ascii="Times New Roman" w:eastAsia="Calibri" w:hAnsi="Times New Roman" w:cs="Times New Roman"/>
          <w:b/>
          <w:bCs/>
          <w:sz w:val="20"/>
          <w:szCs w:val="20"/>
          <w:lang w:eastAsia="en-US"/>
        </w:rPr>
      </w:pPr>
      <w:r w:rsidRPr="008D4B26">
        <w:rPr>
          <w:rFonts w:ascii="Times New Roman" w:eastAsia="Calibri" w:hAnsi="Times New Roman" w:cs="Times New Roman"/>
          <w:b/>
          <w:bCs/>
          <w:sz w:val="20"/>
          <w:szCs w:val="20"/>
          <w:lang w:eastAsia="en-US"/>
        </w:rPr>
        <w:t>Prilog 1. Pregled prihvaćenih i neprihvaćenih primjedbi</w:t>
      </w:r>
      <w:bookmarkEnd w:id="1"/>
    </w:p>
    <w:p w14:paraId="262317E6" w14:textId="77777777" w:rsidR="006556CC" w:rsidRPr="008D4B26" w:rsidRDefault="006556CC" w:rsidP="00E738EC">
      <w:pPr>
        <w:rPr>
          <w:rFonts w:ascii="Times New Roman" w:eastAsia="Calibri" w:hAnsi="Times New Roman" w:cs="Times New Roman"/>
          <w:b/>
          <w:bCs/>
          <w:sz w:val="20"/>
          <w:szCs w:val="20"/>
          <w:lang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887"/>
        <w:gridCol w:w="1984"/>
        <w:gridCol w:w="2046"/>
        <w:gridCol w:w="2632"/>
      </w:tblGrid>
      <w:tr w:rsidR="00E738EC" w:rsidRPr="008D4B26" w14:paraId="1BB4E66D" w14:textId="77777777" w:rsidTr="006556CC">
        <w:trPr>
          <w:jc w:val="center"/>
        </w:trPr>
        <w:tc>
          <w:tcPr>
            <w:tcW w:w="773" w:type="dxa"/>
            <w:shd w:val="clear" w:color="auto" w:fill="auto"/>
            <w:vAlign w:val="center"/>
          </w:tcPr>
          <w:p w14:paraId="558BFA45" w14:textId="77777777" w:rsidR="00E738EC" w:rsidRPr="008D4B26" w:rsidRDefault="00E738EC" w:rsidP="00E738EC">
            <w:pPr>
              <w:spacing w:after="120"/>
              <w:jc w:val="center"/>
              <w:rPr>
                <w:rFonts w:ascii="Times New Roman" w:hAnsi="Times New Roman" w:cs="Times New Roman"/>
                <w:b/>
                <w:sz w:val="20"/>
                <w:szCs w:val="20"/>
              </w:rPr>
            </w:pPr>
            <w:r w:rsidRPr="008D4B26">
              <w:rPr>
                <w:rFonts w:ascii="Times New Roman" w:hAnsi="Times New Roman" w:cs="Times New Roman"/>
                <w:b/>
                <w:sz w:val="20"/>
                <w:szCs w:val="20"/>
              </w:rPr>
              <w:t>Redni broj</w:t>
            </w:r>
          </w:p>
        </w:tc>
        <w:tc>
          <w:tcPr>
            <w:tcW w:w="1887" w:type="dxa"/>
            <w:shd w:val="clear" w:color="auto" w:fill="auto"/>
            <w:vAlign w:val="center"/>
          </w:tcPr>
          <w:p w14:paraId="760D06E0" w14:textId="77777777" w:rsidR="00E738EC" w:rsidRPr="008D4B26" w:rsidRDefault="00E738EC" w:rsidP="00E738EC">
            <w:pPr>
              <w:spacing w:after="120"/>
              <w:jc w:val="center"/>
              <w:rPr>
                <w:rFonts w:ascii="Times New Roman" w:hAnsi="Times New Roman" w:cs="Times New Roman"/>
                <w:b/>
                <w:sz w:val="20"/>
                <w:szCs w:val="20"/>
              </w:rPr>
            </w:pPr>
            <w:r w:rsidRPr="008D4B26">
              <w:rPr>
                <w:rFonts w:ascii="Times New Roman" w:hAnsi="Times New Roman" w:cs="Times New Roman"/>
                <w:b/>
                <w:sz w:val="20"/>
                <w:szCs w:val="20"/>
              </w:rPr>
              <w:t>Sudionik savjetovanja (ime i prezime pojedinca, naziv organizacije)</w:t>
            </w:r>
          </w:p>
        </w:tc>
        <w:tc>
          <w:tcPr>
            <w:tcW w:w="1984" w:type="dxa"/>
            <w:shd w:val="clear" w:color="auto" w:fill="auto"/>
            <w:vAlign w:val="center"/>
          </w:tcPr>
          <w:p w14:paraId="6CCDA919" w14:textId="77777777" w:rsidR="00E738EC" w:rsidRPr="008D4B26" w:rsidRDefault="00E738EC" w:rsidP="00E738EC">
            <w:pPr>
              <w:spacing w:after="120"/>
              <w:jc w:val="center"/>
              <w:rPr>
                <w:rFonts w:ascii="Times New Roman" w:hAnsi="Times New Roman" w:cs="Times New Roman"/>
                <w:b/>
                <w:sz w:val="20"/>
                <w:szCs w:val="20"/>
              </w:rPr>
            </w:pPr>
            <w:r w:rsidRPr="008D4B26">
              <w:rPr>
                <w:rFonts w:ascii="Times New Roman" w:hAnsi="Times New Roman" w:cs="Times New Roman"/>
                <w:b/>
                <w:sz w:val="20"/>
                <w:szCs w:val="20"/>
              </w:rPr>
              <w:t>Članak ili drugi dio nacrta na koji se odnosi prijedlog ili mišljenje</w:t>
            </w:r>
          </w:p>
        </w:tc>
        <w:tc>
          <w:tcPr>
            <w:tcW w:w="2046" w:type="dxa"/>
            <w:shd w:val="clear" w:color="auto" w:fill="auto"/>
            <w:vAlign w:val="center"/>
          </w:tcPr>
          <w:p w14:paraId="28DD0950" w14:textId="77777777" w:rsidR="00E738EC" w:rsidRPr="008D4B26" w:rsidRDefault="00E738EC" w:rsidP="00E738EC">
            <w:pPr>
              <w:spacing w:after="120"/>
              <w:jc w:val="center"/>
              <w:rPr>
                <w:rFonts w:ascii="Times New Roman" w:hAnsi="Times New Roman" w:cs="Times New Roman"/>
                <w:b/>
                <w:sz w:val="20"/>
                <w:szCs w:val="20"/>
              </w:rPr>
            </w:pPr>
            <w:r w:rsidRPr="008D4B26">
              <w:rPr>
                <w:rFonts w:ascii="Times New Roman" w:hAnsi="Times New Roman" w:cs="Times New Roman"/>
                <w:b/>
                <w:sz w:val="20"/>
                <w:szCs w:val="20"/>
              </w:rPr>
              <w:t>Tekst zaprimljenog prijedloga ili mišljenja</w:t>
            </w:r>
          </w:p>
        </w:tc>
        <w:tc>
          <w:tcPr>
            <w:tcW w:w="2632" w:type="dxa"/>
            <w:shd w:val="clear" w:color="auto" w:fill="auto"/>
            <w:vAlign w:val="center"/>
          </w:tcPr>
          <w:p w14:paraId="42BB04D3" w14:textId="77777777" w:rsidR="00E738EC" w:rsidRPr="008D4B26" w:rsidRDefault="00E738EC" w:rsidP="001907B5">
            <w:pPr>
              <w:spacing w:after="120"/>
              <w:jc w:val="center"/>
              <w:rPr>
                <w:rFonts w:ascii="Times New Roman" w:hAnsi="Times New Roman" w:cs="Times New Roman"/>
                <w:b/>
                <w:sz w:val="20"/>
                <w:szCs w:val="20"/>
              </w:rPr>
            </w:pPr>
            <w:r w:rsidRPr="008D4B26">
              <w:rPr>
                <w:rFonts w:ascii="Times New Roman" w:hAnsi="Times New Roman" w:cs="Times New Roman"/>
                <w:b/>
                <w:sz w:val="20"/>
                <w:szCs w:val="20"/>
              </w:rPr>
              <w:t xml:space="preserve">Status prijedloga ili mišljenja (prihvaćanje/neprihvaćanje s  obrazloženjem) </w:t>
            </w:r>
          </w:p>
        </w:tc>
      </w:tr>
      <w:tr w:rsidR="00E738EC" w:rsidRPr="008D4B26" w14:paraId="3489CB0B" w14:textId="77777777" w:rsidTr="006556CC">
        <w:trPr>
          <w:trHeight w:val="567"/>
          <w:jc w:val="center"/>
        </w:trPr>
        <w:tc>
          <w:tcPr>
            <w:tcW w:w="773" w:type="dxa"/>
            <w:shd w:val="clear" w:color="auto" w:fill="auto"/>
            <w:vAlign w:val="center"/>
          </w:tcPr>
          <w:p w14:paraId="05F899ED" w14:textId="5FF97783" w:rsidR="00E738EC" w:rsidRPr="008D4B26" w:rsidRDefault="00C31F8F" w:rsidP="00C31F8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887" w:type="dxa"/>
            <w:shd w:val="clear" w:color="auto" w:fill="auto"/>
            <w:vAlign w:val="center"/>
          </w:tcPr>
          <w:p w14:paraId="2D35C0A9" w14:textId="68FB5344" w:rsidR="00E738EC" w:rsidRPr="008D4B26" w:rsidRDefault="00C31F8F" w:rsidP="00C31F8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shd w:val="clear" w:color="auto" w:fill="auto"/>
            <w:vAlign w:val="center"/>
          </w:tcPr>
          <w:p w14:paraId="022CE9A4" w14:textId="6F152144" w:rsidR="00E738EC" w:rsidRPr="008D4B26" w:rsidRDefault="00C31F8F" w:rsidP="00C31F8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2046" w:type="dxa"/>
            <w:shd w:val="clear" w:color="auto" w:fill="auto"/>
            <w:vAlign w:val="center"/>
          </w:tcPr>
          <w:p w14:paraId="100BEEAE" w14:textId="0CAF851F" w:rsidR="00E738EC" w:rsidRPr="008D4B26" w:rsidRDefault="00C31F8F" w:rsidP="00C31F8F">
            <w:pPr>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2632" w:type="dxa"/>
            <w:shd w:val="clear" w:color="auto" w:fill="auto"/>
            <w:vAlign w:val="center"/>
          </w:tcPr>
          <w:p w14:paraId="34D0423C" w14:textId="30C2CCB3" w:rsidR="00E738EC" w:rsidRPr="008D4B26" w:rsidRDefault="00C31F8F" w:rsidP="00C31F8F">
            <w:pPr>
              <w:spacing w:after="120"/>
              <w:jc w:val="center"/>
              <w:rPr>
                <w:rFonts w:ascii="Times New Roman" w:hAnsi="Times New Roman" w:cs="Times New Roman"/>
                <w:sz w:val="20"/>
                <w:szCs w:val="20"/>
              </w:rPr>
            </w:pPr>
            <w:r>
              <w:rPr>
                <w:rFonts w:ascii="Times New Roman" w:hAnsi="Times New Roman" w:cs="Times New Roman"/>
                <w:sz w:val="20"/>
                <w:szCs w:val="20"/>
              </w:rPr>
              <w:t>-----------------------</w:t>
            </w:r>
          </w:p>
        </w:tc>
      </w:tr>
    </w:tbl>
    <w:p w14:paraId="55C31448" w14:textId="77777777" w:rsidR="00FF0B57" w:rsidRPr="008D4B26" w:rsidRDefault="00FF0B57" w:rsidP="006556CC">
      <w:pPr>
        <w:rPr>
          <w:rFonts w:ascii="Times New Roman" w:hAnsi="Times New Roman" w:cs="Times New Roman"/>
        </w:rPr>
      </w:pPr>
    </w:p>
    <w:sectPr w:rsidR="00FF0B57" w:rsidRPr="008D4B26" w:rsidSect="00861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0986"/>
    <w:rsid w:val="00053D88"/>
    <w:rsid w:val="001907B5"/>
    <w:rsid w:val="001C7FF3"/>
    <w:rsid w:val="00504138"/>
    <w:rsid w:val="005B0986"/>
    <w:rsid w:val="005E2D43"/>
    <w:rsid w:val="006556CC"/>
    <w:rsid w:val="00710D22"/>
    <w:rsid w:val="00861A01"/>
    <w:rsid w:val="008D4B26"/>
    <w:rsid w:val="00C31F8F"/>
    <w:rsid w:val="00D427D8"/>
    <w:rsid w:val="00E738EC"/>
    <w:rsid w:val="00EC347B"/>
    <w:rsid w:val="00F73732"/>
    <w:rsid w:val="00F742DA"/>
    <w:rsid w:val="00FF0B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770F"/>
  <w15:docId w15:val="{D098FEF8-7652-4C23-B6F4-1CCF2A9A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hr-H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86"/>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qFormat/>
    <w:rsid w:val="005B0986"/>
    <w:rPr>
      <w:rFonts w:ascii="Calibri" w:eastAsia="Calibri" w:hAnsi="Calibri" w:cs="Times New Roman"/>
      <w:b/>
      <w:bCs/>
      <w:sz w:val="20"/>
      <w:szCs w:val="20"/>
      <w:lang w:eastAsia="en-US"/>
    </w:rPr>
  </w:style>
  <w:style w:type="character" w:styleId="Hiperveza">
    <w:name w:val="Hyperlink"/>
    <w:basedOn w:val="Zadanifontodlomka"/>
    <w:uiPriority w:val="99"/>
    <w:unhideWhenUsed/>
    <w:rsid w:val="001C7FF3"/>
    <w:rPr>
      <w:color w:val="0000FF" w:themeColor="hyperlink"/>
      <w:u w:val="single"/>
    </w:rPr>
  </w:style>
  <w:style w:type="character" w:styleId="Nerijeenospominjanje">
    <w:name w:val="Unresolved Mention"/>
    <w:basedOn w:val="Zadanifontodlomka"/>
    <w:uiPriority w:val="99"/>
    <w:semiHidden/>
    <w:unhideWhenUsed/>
    <w:rsid w:val="001C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je.hr/savjetovanje-s-javnoscu-prijedlog-odluke-o-visini-poreznih-stopa-godisnjeg-poreza-na-dohod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385</Words>
  <Characters>2200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Loreta Makovac</cp:lastModifiedBy>
  <cp:revision>10</cp:revision>
  <dcterms:created xsi:type="dcterms:W3CDTF">2017-01-02T14:12:00Z</dcterms:created>
  <dcterms:modified xsi:type="dcterms:W3CDTF">2023-11-16T08:27:00Z</dcterms:modified>
</cp:coreProperties>
</file>