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Na temelju članka 39. Zakona o pomorskom dobru i morskim lukama (Narodne novine, broj 83/23) i članka 50. Statuta Grada Buja-Buie ( „Službene novine Grada Buja-Buie“ broj 11/09, 05/11, 11/11, 03/13, 05/18, 04/21) Gradsko vijeće </w:t>
      </w:r>
      <w:r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rada Buja-Buie na svojoj sjednici održanoj _____________ 2023. godine donosi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PLAN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 xml:space="preserve">UPRAVLJANJA POMORSKIM DOBROM 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 xml:space="preserve">NA PODRUČJU GRADA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3"/>
          <w:szCs w:val="23"/>
          <w:lang w:val="hr-HR" w:eastAsia="en-US" w:bidi="ar-SA"/>
        </w:rPr>
        <w:t>BUJA-BUIE</w:t>
      </w:r>
      <w:r>
        <w:rPr>
          <w:rFonts w:ascii="Times New Roman" w:hAnsi="Times New Roman"/>
          <w:b/>
          <w:sz w:val="23"/>
          <w:szCs w:val="23"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ZA RAZDOBLJE 2024. – 2028.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OPĆE ODREDBE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ab/>
        <w:t xml:space="preserve">Planom upravljanja pomorskim dobrom na području Grada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3"/>
          <w:szCs w:val="23"/>
          <w:lang w:val="hr-HR" w:eastAsia="en-US" w:bidi="ar-SA"/>
        </w:rPr>
        <w:t>Buja-Buie (dalje u tekstu:Grad)</w:t>
      </w:r>
      <w:r>
        <w:rPr>
          <w:rFonts w:ascii="Times New Roman" w:hAnsi="Times New Roman"/>
          <w:sz w:val="23"/>
          <w:szCs w:val="23"/>
        </w:rPr>
        <w:t xml:space="preserve"> za razdoblje 2024. – 2028. godine (dalje u tekstu: Plan upravljanja pomorskim dobrom) uređuju se: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>a) planirane aktivnosti na pomorskom dobru i prioriteti njihove realizacije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>b) izvori sredstava za njihovu realizaciju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>c) plan održavanja, dohranjivanja plaža i gradnje na pomorskom dobru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>d) plan davanja dozvola na pomorskom dobru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>e) plan nadzora ovlaštenika dozvola na pomorskom dobru.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rFonts w:ascii="Times New Roman" w:hAnsi="Times New Roman"/>
          <w:b/>
          <w:sz w:val="23"/>
          <w:szCs w:val="23"/>
        </w:rPr>
        <w:t>PLANIRANE AKTIVNOSTI NA POMORSKOM DOBRU I PRIORITETI NJIHOVE REALIZACIJE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Grad vodi brigu o redovnom upravljanju pomorskim dobrom što uključuje: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1. redovito održavanje i unaprjeđivanje pomorskog dobra u općoj upotrebi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2. brigu o zaštiti i osiguravanju opće upotrebe pomorskog dobra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3. gradnju građevina i izvođenje zahvata u prostoru pomorskog dobra koji se prema posebnim propisima kojima se uređuje građenje te uredbom ne smatraju građenjem, a ostaju u općoj upotrebi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4. nadzor nad pomorskim dobrom u općoj upotrebi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5. davanje dozvola na pomorskom dobru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6. unos podataka o dozvolama na pomorskom dobru u Jedinstvenu nacionalnu bazu podataka pomorskog dobra Republike Hrvatske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7. nadzor nad ovlaštenicima dozvola na pomorskom dobru radi osiguranja da pomorsko dobro koriste u opsegu i granicama utvrđenim u dozvoli na pomorskom dobru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8. održavanje reda na pomorskom dobru u općoj upotrebi.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rFonts w:ascii="Times New Roman" w:hAnsi="Times New Roman"/>
          <w:b/>
          <w:sz w:val="23"/>
          <w:szCs w:val="23"/>
        </w:rPr>
        <w:t>IZVORI SREDSTAVA ZA REALIZACIJU</w:t>
      </w:r>
    </w:p>
    <w:p>
      <w:pPr>
        <w:pStyle w:val="Normal"/>
        <w:spacing w:before="0" w:after="0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Sredstva za upravljanje pomorskim dobrom jesu: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1. sredstva od naknada za koncesije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2. sredstva od naknada za dozvole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 xml:space="preserve">3. sredstva koja se osiguravaju u državnom proračunu, proračunu jedinica područne (regionalne) samouprave i proračunu jedinica lokalne samouprave 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4. sredstva od novčanih kazni naplaćenih za prekršaje propisane odlukom o redu na pomorskom dobru.</w:t>
      </w:r>
    </w:p>
    <w:p>
      <w:pPr>
        <w:pStyle w:val="Normal"/>
        <w:spacing w:before="0" w:after="0"/>
        <w:jc w:val="both"/>
        <w:rPr>
          <w:sz w:val="14"/>
          <w:szCs w:val="14"/>
        </w:rPr>
      </w:pPr>
      <w:r>
        <w:rPr>
          <w:rFonts w:ascii="Times New Roman" w:hAnsi="Times New Roman"/>
          <w:sz w:val="22"/>
          <w:szCs w:val="22"/>
        </w:rPr>
        <w:t xml:space="preserve">U ostala sredstva Grada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lang w:val="hr-HR" w:eastAsia="en-US" w:bidi="ar-SA"/>
        </w:rPr>
        <w:t>Buje-Buie</w:t>
      </w:r>
      <w:r>
        <w:rPr>
          <w:rFonts w:ascii="Times New Roman" w:hAnsi="Times New Roman"/>
          <w:sz w:val="22"/>
          <w:szCs w:val="22"/>
        </w:rPr>
        <w:t xml:space="preserve"> za upravljanjem pomorskim dobrom spadaju prihodi o komunalne naknade, vlastiti prihodi, donacije, kapitalne pomoći RH, sredstva EU i tekuće pomoći RH.</w:t>
      </w:r>
    </w:p>
    <w:p>
      <w:pPr>
        <w:pStyle w:val="Normal"/>
        <w:spacing w:before="0" w:after="0"/>
        <w:jc w:val="both"/>
        <w:rPr>
          <w:sz w:val="14"/>
          <w:szCs w:val="14"/>
        </w:rPr>
      </w:pPr>
      <w:r>
        <w:rPr>
          <w:rFonts w:ascii="Times New Roman" w:hAnsi="Times New Roman"/>
          <w:sz w:val="22"/>
          <w:szCs w:val="22"/>
        </w:rPr>
        <w:t>Planiraju se godišnji prihodi po osnovi točke 1. i 2. u ukupnom iznosu od 16.000,00 EUR.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rFonts w:ascii="Times New Roman" w:hAnsi="Times New Roman"/>
          <w:b/>
          <w:sz w:val="23"/>
          <w:szCs w:val="23"/>
        </w:rPr>
        <w:t>PLAN ODRŽAVANJA, DOHRANJIVANJA PLAŽA I GRADNJE NA POMORSKOM DOBRU</w:t>
      </w:r>
    </w:p>
    <w:p>
      <w:pPr>
        <w:pStyle w:val="ListParagraph"/>
        <w:spacing w:before="0" w:after="0"/>
        <w:contextualSpacing/>
        <w:rPr>
          <w:b/>
          <w:b/>
        </w:rPr>
      </w:pPr>
      <w:r>
        <w:rPr>
          <w:b/>
        </w:rPr>
      </w:r>
    </w:p>
    <w:tbl>
      <w:tblPr>
        <w:tblStyle w:val="Reetkatablice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6662"/>
        <w:gridCol w:w="2092"/>
      </w:tblGrid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RB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POSLOVI REDOVNOG ODRŽAVANJA</w:t>
            </w:r>
          </w:p>
        </w:tc>
        <w:tc>
          <w:tcPr>
            <w:tcW w:w="20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GODIŠNJI IZNOS (EUR):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Redovno održavanje šetnica, staza, morskih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hr-HR" w:eastAsia="en-US" w:bidi="ar-SA"/>
              </w:rPr>
              <w:t>plaža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pomorskom dobru i obali, dohranjivanje plaže, sanacija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hr-HR" w:eastAsia="en-US" w:bidi="ar-SA"/>
              </w:rPr>
              <w:t>infrastrukturnih građevina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postavljanje, uklanjanje i održavanje plutajućih brana i ostale opreme za plaže, održavanje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hr-HR" w:eastAsia="en-US" w:bidi="ar-SA"/>
              </w:rPr>
              <w:t>komunalne opreme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pomorskom dobru i obali, fitosanitetska zaštita drveća</w:t>
            </w:r>
          </w:p>
        </w:tc>
        <w:tc>
          <w:tcPr>
            <w:tcW w:w="20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11.500,00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Plaćanje utroška vode na plažama</w:t>
            </w:r>
          </w:p>
        </w:tc>
        <w:tc>
          <w:tcPr>
            <w:tcW w:w="20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Čišćenje plaža, šetnica i uvala</w:t>
            </w:r>
          </w:p>
        </w:tc>
        <w:tc>
          <w:tcPr>
            <w:tcW w:w="20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66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Uklanjanje nezakonito izgrađenih građevina i zahvata u prostoru koji se prema propisima kojima se uređuje građenje ne smatraju građenjem</w:t>
            </w:r>
          </w:p>
        </w:tc>
        <w:tc>
          <w:tcPr>
            <w:tcW w:w="20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</w:tbl>
    <w:p>
      <w:pPr>
        <w:pStyle w:val="Normal"/>
        <w:spacing w:before="0" w:after="0"/>
        <w:rPr>
          <w:b/>
          <w:b/>
          <w:color w:val="FF0000"/>
          <w:highlight w:val="yellow"/>
        </w:rPr>
      </w:pPr>
      <w:r>
        <w:rPr>
          <w:b/>
          <w:color w:val="FF0000"/>
          <w:highlight w:val="yellow"/>
        </w:rPr>
      </w:r>
    </w:p>
    <w:p>
      <w:pPr>
        <w:pStyle w:val="Normal"/>
        <w:spacing w:before="0" w:after="0"/>
        <w:rPr>
          <w:b/>
          <w:b/>
          <w:color w:val="FF0000"/>
          <w:highlight w:val="yellow"/>
        </w:rPr>
      </w:pPr>
      <w:r>
        <w:rPr>
          <w:rFonts w:ascii="Times New Roman" w:hAnsi="Times New Roman"/>
          <w:b w:val="false"/>
          <w:bCs w:val="false"/>
          <w:color w:val="000000"/>
        </w:rPr>
        <w:tab/>
      </w:r>
      <w:r>
        <w:rPr>
          <w:rFonts w:ascii="Times New Roman" w:hAnsi="Times New Roman"/>
          <w:b w:val="false"/>
          <w:bCs w:val="false"/>
          <w:color w:val="000000"/>
          <w:sz w:val="23"/>
          <w:szCs w:val="23"/>
        </w:rPr>
        <w:t xml:space="preserve">Šljunčana - stjenovita plaža 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3"/>
          <w:szCs w:val="23"/>
          <w:lang w:val="hr-HR" w:eastAsia="en-US" w:bidi="ar-SA"/>
        </w:rPr>
        <w:t>će se, po potrebi,</w:t>
      </w:r>
      <w:r>
        <w:rPr>
          <w:rFonts w:ascii="Times New Roman" w:hAnsi="Times New Roman"/>
          <w:b w:val="false"/>
          <w:bCs w:val="false"/>
          <w:color w:val="000000"/>
          <w:sz w:val="23"/>
          <w:szCs w:val="23"/>
        </w:rPr>
        <w:t xml:space="preserve"> dohranjivati prirodnim šljunkom.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  <w:lang w:eastAsia="hr-HR"/>
        </w:rPr>
        <w:tab/>
        <w:t>Komunalna oprem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  <w:lang w:eastAsia="hr-HR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  <w:lang w:eastAsia="hr-HR"/>
        </w:rPr>
        <w:t xml:space="preserve"> su: kontejner za komunalni otpad, klupa, koš za otpatke, sigurnosne info tabele i znakovi, tenda, jednostavni podesti otvorenih terasa i sl.</w:t>
      </w:r>
    </w:p>
    <w:p>
      <w:pPr>
        <w:pStyle w:val="Normal"/>
        <w:spacing w:before="0" w:after="0"/>
        <w:rPr>
          <w:b/>
          <w:b/>
          <w:color w:val="FF0000"/>
          <w:highlight w:val="yellow"/>
        </w:rPr>
      </w:pPr>
      <w:r>
        <w:rPr>
          <w:b/>
          <w:color w:val="FF0000"/>
          <w:highlight w:val="yellow"/>
        </w:rPr>
      </w:r>
    </w:p>
    <w:p>
      <w:pPr>
        <w:pStyle w:val="Normal"/>
        <w:spacing w:before="0" w:after="0"/>
        <w:rPr>
          <w:b/>
          <w:b/>
          <w:color w:val="FF0000"/>
          <w:highlight w:val="yellow"/>
        </w:rPr>
      </w:pPr>
      <w:r>
        <w:rPr>
          <w:b/>
          <w:color w:val="FF0000"/>
          <w:highlight w:val="yellow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rFonts w:ascii="Times New Roman" w:hAnsi="Times New Roman"/>
          <w:b/>
          <w:sz w:val="23"/>
          <w:szCs w:val="23"/>
        </w:rPr>
        <w:t>PLAN DAVANJA DOZVOLA NA POMORSKOM DOBRU</w:t>
      </w:r>
    </w:p>
    <w:p>
      <w:pPr>
        <w:pStyle w:val="ListParagraph"/>
        <w:spacing w:before="0" w:after="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Na pomorskom dobru na području Grada, a kojim upravlja Grad, utvrđuju se sljedeće djelatnosti koje se obavljaju temeljem dozvole: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Reetkatablice"/>
        <w:tblW w:w="6912" w:type="dxa"/>
        <w:jc w:val="left"/>
        <w:tblInd w:w="8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8"/>
        <w:gridCol w:w="1027"/>
        <w:gridCol w:w="958"/>
        <w:gridCol w:w="1245"/>
        <w:gridCol w:w="1027"/>
        <w:gridCol w:w="1466"/>
      </w:tblGrid>
      <w:tr>
        <w:trPr/>
        <w:tc>
          <w:tcPr>
            <w:tcW w:w="6911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color w:val="auto"/>
                <w:kern w:val="0"/>
                <w:sz w:val="18"/>
                <w:szCs w:val="18"/>
                <w:lang w:val="hr-HR" w:eastAsia="en-US" w:bidi="ar-SA"/>
              </w:rPr>
              <w:t>KANEGRA (dio k.č.br. 460/69 i dio  k.č.br. 460/80 sve k.o. Savudrija)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6911" w:type="dxa"/>
            <w:gridSpan w:val="6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i/>
                <w:color w:val="auto"/>
                <w:kern w:val="0"/>
                <w:sz w:val="18"/>
                <w:szCs w:val="18"/>
                <w:lang w:val="hr-HR" w:eastAsia="en-US" w:bidi="ar-SA"/>
              </w:rPr>
              <w:t>Šljunčana - stjenovita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plaža (do granica lučkog područja)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(dijelovi k.č.br. 460/69 i 460/80 k.o. Savudrija)</w:t>
            </w:r>
          </w:p>
        </w:tc>
      </w:tr>
      <w:tr>
        <w:trPr/>
        <w:tc>
          <w:tcPr>
            <w:tcW w:w="11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DJELATNOST</w:t>
            </w:r>
          </w:p>
        </w:tc>
        <w:tc>
          <w:tcPr>
            <w:tcW w:w="10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SREDSTVO</w:t>
            </w:r>
          </w:p>
        </w:tc>
        <w:tc>
          <w:tcPr>
            <w:tcW w:w="9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KOLIČINA </w:t>
            </w:r>
          </w:p>
        </w:tc>
        <w:tc>
          <w:tcPr>
            <w:tcW w:w="124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NAKNADA</w:t>
            </w:r>
          </w:p>
        </w:tc>
        <w:tc>
          <w:tcPr>
            <w:tcW w:w="1027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ROK</w:t>
            </w:r>
          </w:p>
        </w:tc>
        <w:tc>
          <w:tcPr>
            <w:tcW w:w="14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MIKROLOKACIJA</w:t>
            </w:r>
          </w:p>
        </w:tc>
      </w:tr>
      <w:tr>
        <w:trPr>
          <w:trHeight w:val="615" w:hRule="atLeast"/>
        </w:trPr>
        <w:tc>
          <w:tcPr>
            <w:tcW w:w="1188" w:type="dxa"/>
            <w:vMerge w:val="restart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Ugostiteljstvo i trgovina</w:t>
            </w:r>
          </w:p>
        </w:tc>
        <w:tc>
          <w:tcPr>
            <w:tcW w:w="10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Kiosk, montažni objekt do 12 m2 i sl.</w:t>
            </w:r>
          </w:p>
        </w:tc>
        <w:tc>
          <w:tcPr>
            <w:tcW w:w="95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 kom </w:t>
            </w:r>
          </w:p>
        </w:tc>
        <w:tc>
          <w:tcPr>
            <w:tcW w:w="1245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1.990,00 EUR/paušal</w:t>
            </w:r>
          </w:p>
        </w:tc>
        <w:tc>
          <w:tcPr>
            <w:tcW w:w="1027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 GODINE</w:t>
            </w:r>
          </w:p>
        </w:tc>
        <w:tc>
          <w:tcPr>
            <w:tcW w:w="146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MK1</w:t>
            </w:r>
          </w:p>
        </w:tc>
      </w:tr>
      <w:tr>
        <w:trPr>
          <w:trHeight w:val="985" w:hRule="atLeast"/>
        </w:trPr>
        <w:tc>
          <w:tcPr>
            <w:tcW w:w="118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7" w:type="dxa"/>
            <w:tcBorders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ambulantna prodaja ( štand za voće)</w:t>
            </w:r>
          </w:p>
        </w:tc>
        <w:tc>
          <w:tcPr>
            <w:tcW w:w="9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 kom </w:t>
            </w:r>
          </w:p>
        </w:tc>
        <w:tc>
          <w:tcPr>
            <w:tcW w:w="124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790,00 EUR/paušal</w:t>
            </w:r>
          </w:p>
        </w:tc>
        <w:tc>
          <w:tcPr>
            <w:tcW w:w="1027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 GODINE</w:t>
            </w:r>
          </w:p>
        </w:tc>
        <w:tc>
          <w:tcPr>
            <w:tcW w:w="14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MK3</w:t>
            </w:r>
          </w:p>
        </w:tc>
      </w:tr>
      <w:tr>
        <w:trPr/>
        <w:tc>
          <w:tcPr>
            <w:tcW w:w="118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7" w:type="dxa"/>
            <w:tcBorders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pripadajuća terasa objekta m2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(postojeća betonirana terasa)</w:t>
            </w:r>
          </w:p>
        </w:tc>
        <w:tc>
          <w:tcPr>
            <w:tcW w:w="9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 kom </w:t>
            </w:r>
          </w:p>
        </w:tc>
        <w:tc>
          <w:tcPr>
            <w:tcW w:w="124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70,00 EUR/po m2</w:t>
            </w:r>
          </w:p>
        </w:tc>
        <w:tc>
          <w:tcPr>
            <w:tcW w:w="1027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 GODINE</w:t>
            </w:r>
          </w:p>
        </w:tc>
        <w:tc>
          <w:tcPr>
            <w:tcW w:w="14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MK1</w:t>
            </w:r>
          </w:p>
        </w:tc>
      </w:tr>
      <w:tr>
        <w:trPr/>
        <w:tc>
          <w:tcPr>
            <w:tcW w:w="1188" w:type="dxa"/>
            <w:tcBorders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Komercijalno - rekreacijski  sadržaji</w:t>
            </w:r>
          </w:p>
        </w:tc>
        <w:tc>
          <w:tcPr>
            <w:tcW w:w="1027" w:type="dxa"/>
            <w:tcBorders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suncobrani, ležaljke</w:t>
            </w:r>
          </w:p>
        </w:tc>
        <w:tc>
          <w:tcPr>
            <w:tcW w:w="9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kom</w:t>
            </w:r>
          </w:p>
        </w:tc>
        <w:tc>
          <w:tcPr>
            <w:tcW w:w="124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 EUR/po komadu</w:t>
            </w:r>
          </w:p>
        </w:tc>
        <w:tc>
          <w:tcPr>
            <w:tcW w:w="1027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 GODINE</w:t>
            </w:r>
          </w:p>
        </w:tc>
        <w:tc>
          <w:tcPr>
            <w:tcW w:w="14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MK2A, MK2B, MK2C</w:t>
            </w:r>
          </w:p>
        </w:tc>
      </w:tr>
      <w:tr>
        <w:trPr/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kulturne, komercijalne, zabavne i športske priredbe</w:t>
            </w:r>
          </w:p>
        </w:tc>
        <w:tc>
          <w:tcPr>
            <w:tcW w:w="958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paušal</w:t>
            </w:r>
          </w:p>
        </w:tc>
        <w:tc>
          <w:tcPr>
            <w:tcW w:w="1245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4"/>
                <w:szCs w:val="14"/>
                <w:lang w:val="hr-HR" w:eastAsia="zh-CN" w:bidi="ar-SA"/>
              </w:rPr>
              <w:t>0,93 EUR</w:t>
            </w: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 xml:space="preserve"> / po m²/dan</w:t>
            </w:r>
          </w:p>
        </w:tc>
        <w:tc>
          <w:tcPr>
            <w:tcW w:w="1027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DO 3 DANA</w:t>
            </w:r>
          </w:p>
        </w:tc>
        <w:tc>
          <w:tcPr>
            <w:tcW w:w="1466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MK2A, MK3</w:t>
            </w:r>
          </w:p>
        </w:tc>
      </w:tr>
      <w:tr>
        <w:trPr/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snimanje komercijalnog programa i reklamiranje</w:t>
            </w:r>
          </w:p>
        </w:tc>
        <w:tc>
          <w:tcPr>
            <w:tcW w:w="958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paušal</w:t>
            </w:r>
          </w:p>
        </w:tc>
        <w:tc>
          <w:tcPr>
            <w:tcW w:w="1245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4"/>
                <w:szCs w:val="14"/>
                <w:lang w:val="hr-HR" w:eastAsia="zh-CN" w:bidi="ar-SA"/>
              </w:rPr>
              <w:t>130,00 EUR</w:t>
            </w: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 xml:space="preserve"> / paušal/dan</w:t>
            </w:r>
          </w:p>
        </w:tc>
        <w:tc>
          <w:tcPr>
            <w:tcW w:w="1027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DO 3 DANA</w:t>
            </w:r>
          </w:p>
        </w:tc>
        <w:tc>
          <w:tcPr>
            <w:tcW w:w="146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MK2A, MK2B, MK2C, MK3</w:t>
            </w:r>
          </w:p>
        </w:tc>
      </w:tr>
      <w:tr>
        <w:trPr/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slikanje, fotografiranje</w:t>
            </w:r>
          </w:p>
        </w:tc>
        <w:tc>
          <w:tcPr>
            <w:tcW w:w="958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paušal</w:t>
            </w:r>
          </w:p>
        </w:tc>
        <w:tc>
          <w:tcPr>
            <w:tcW w:w="1245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4"/>
                <w:szCs w:val="14"/>
                <w:lang w:val="hr-HR" w:eastAsia="zh-CN" w:bidi="ar-SA"/>
              </w:rPr>
              <w:t>90,00 EUR</w:t>
            </w: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 xml:space="preserve"> paušal</w:t>
            </w:r>
          </w:p>
        </w:tc>
        <w:tc>
          <w:tcPr>
            <w:tcW w:w="1027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DO 2 DANA</w:t>
            </w:r>
          </w:p>
        </w:tc>
        <w:tc>
          <w:tcPr>
            <w:tcW w:w="146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4"/>
                <w:szCs w:val="14"/>
                <w:lang w:val="hr-HR"/>
              </w:rPr>
              <w:t>MK2A, MK2B, MK2C, MK3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/>
      </w:pPr>
      <w:r>
        <w:rPr/>
        <w:tab/>
      </w:r>
      <w:r>
        <w:rPr>
          <w:rFonts w:ascii="Times New Roman" w:hAnsi="Times New Roman"/>
          <w:sz w:val="23"/>
          <w:szCs w:val="23"/>
        </w:rPr>
        <w:t xml:space="preserve">Na temelju Plana </w:t>
      </w:r>
      <w:bookmarkStart w:id="0" w:name="_GoBack1"/>
      <w:bookmarkEnd w:id="0"/>
      <w:r>
        <w:rPr>
          <w:rFonts w:ascii="Times New Roman" w:hAnsi="Times New Roman"/>
          <w:sz w:val="23"/>
          <w:szCs w:val="23"/>
        </w:rPr>
        <w:t>Grad će do 1. veljače tekuće godine objaviti javni natječaj za dodjelu dozvola na pomorskom dobru u službenom glasilu, na oglasnoj ploči, na službenim mrežnim stranicama Grada i u dnevnom listu.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 xml:space="preserve">Na temelju zaprimljenih ponuda na javnom natječaju, na temelju </w:t>
      </w:r>
      <w:r>
        <w:rPr>
          <w:rFonts w:ascii="Times New Roman" w:hAnsi="Times New Roman"/>
          <w:sz w:val="23"/>
          <w:szCs w:val="23"/>
        </w:rPr>
        <w:t>od</w:t>
      </w:r>
      <w:r>
        <w:rPr>
          <w:rFonts w:ascii="Times New Roman" w:hAnsi="Times New Roman"/>
          <w:sz w:val="23"/>
          <w:szCs w:val="23"/>
        </w:rPr>
        <w:t xml:space="preserve">luke Gradskog vijeća, rješenje o davanju dozvole na pomorskom dobru najpovoljnijem </w:t>
      </w:r>
      <w:r>
        <w:rPr>
          <w:rFonts w:ascii="Times New Roman" w:hAnsi="Times New Roman"/>
          <w:sz w:val="23"/>
          <w:szCs w:val="23"/>
        </w:rPr>
        <w:t>ponuditelju donosi Gradonačelnik.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Dozvola na pomorskom dobru može se dati gospodarskom subjektu koji je registriran za obavljanje gospodarske djelatnosti za koju je podnio ponudu na javnom natječaju.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Dozvola se može dati samo za obavljanje djelatnosti i korištenje pomorskog dobra manjeg značaja.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Dozvola na pomorskom dobru ne može se dati ponuditelju koji je koristio pomorsko dobro bez valjane pravne osnove i/ili uzrokovao štetu na pomorskom dobru.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Rješenje o davanju dozvole na pomorskom dobru je upravni akt na temelju kojeg gospodarski subjekt stječe pravo na obavljanje djelatnosti kojom se ne ograničava opća upotreba pomorskog dobra.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 xml:space="preserve">Dozvole na pomorskom dobru daju se na rok od </w:t>
      </w:r>
      <w:r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godine</w:t>
      </w:r>
      <w:r>
        <w:rPr>
          <w:rFonts w:ascii="Times New Roman" w:hAnsi="Times New Roman"/>
          <w:sz w:val="23"/>
          <w:szCs w:val="23"/>
        </w:rPr>
        <w:t>, a iznimno se dozvola na pomorskom dobru može dati na rok do 20 dana za obavljanje privremene ili prigodne djelatnosti, samo jednom u kalendarskoj godini (kulturne, komercijalne, sportske priredbe, snimanje komercijalnog programa i sl.), uz mogućnost ograničenja opće upotrebe u smislu ograđivanja i naplate ulaska.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Protiv rješenja o davanju i ukidanju dozvole na pomorskom dobru može se izjaviti žalba Ministarstvu.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Ovlaštenik dozvole na pomorskom dobru može obavljati djelatnost na pomorskom dobru samo u opsegu i pod uvjetima utvrđenim u dozvoli na pomorskom dobru.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Ovlaštenik dozvole na pomorskom dobru nema pravo sklapati ugovore s trećim osobama na temelju kojih bi treće osobe obavljale djelatnost ili dio djelatnosti iz dozvole, niti ga davatelj dozvole može na to ovlastiti. Zabrana se ne odnosi na najam, posudbu i sl. samih sredstava kojima se obavlja djelatnost iz dozvole na pomorskom dobru.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rFonts w:ascii="Times New Roman" w:hAnsi="Times New Roman"/>
          <w:b/>
          <w:sz w:val="23"/>
          <w:szCs w:val="23"/>
        </w:rPr>
        <w:t>PLAN NADZORA OVLAŠTENIKA DOZVOLA NA POMORSKOM DOBRU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Grad je dužan brinuti se o tome da se pomorsko dobro koristi u opsegu i granicama utvrđenim u dozvoli na pomorskom dobru.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Grad je dužan osigurati da ovlaštenik dozvole na pomorskom dobru ne ograničava opću upotrebu pomorskog dobra.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Ako utvrdi da se pomorsko dobro koristi izvan opsega i uvjeta utvrđenih u dozvoli na pomorskom dobru i/ili da ovlaštenik dozvole na pomorskom dobru ograničava opću upotrebu, Grad je dužan donijeti rješenje o ukidanju dozvole na pomorskom dobru.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  <w:t>Red na pomorskom dobru propisuje se Odlukom o redu na pomorskom dobru, a poslove nadzora obavljaju pomorski redari.</w:t>
      </w:r>
    </w:p>
    <w:p>
      <w:pPr>
        <w:pStyle w:val="Normal"/>
        <w:spacing w:before="0" w:after="0"/>
        <w:jc w:val="both"/>
        <w:rPr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Nadzor nad izvršenjem obveza preuzetih dozvolom na pomorskom dobru provodi Grad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3"/>
          <w:szCs w:val="23"/>
          <w:lang w:val="hr-HR" w:eastAsia="en-US" w:bidi="ar-SA"/>
        </w:rPr>
        <w:t>Buje-Buie</w:t>
      </w:r>
      <w:r>
        <w:rPr>
          <w:rFonts w:ascii="Times New Roman" w:hAnsi="Times New Roman"/>
          <w:sz w:val="23"/>
          <w:szCs w:val="23"/>
        </w:rPr>
        <w:t xml:space="preserve"> i inspektor pomorskog dobra.</w:t>
      </w:r>
    </w:p>
    <w:p>
      <w:pPr>
        <w:pStyle w:val="Normal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rFonts w:ascii="Times New Roman" w:hAnsi="Times New Roman"/>
          <w:b/>
          <w:sz w:val="23"/>
          <w:szCs w:val="23"/>
        </w:rPr>
        <w:t>ZAVRŠNE ODREDBE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Na ovaj Plan prethodnu suglasnost mora dati javnopravno tijelo nadležno za prostorno planiranje i gradnju. Po ishođenju suglasnosti Plan će se objaviti u Službenim novinama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3"/>
          <w:szCs w:val="23"/>
          <w:lang w:val="hr-HR" w:eastAsia="en-US" w:bidi="ar-SA"/>
        </w:rPr>
        <w:t>Grada Buja-Buie</w:t>
      </w:r>
      <w:r>
        <w:rPr>
          <w:rFonts w:ascii="Times New Roman" w:hAnsi="Times New Roman"/>
          <w:sz w:val="23"/>
          <w:szCs w:val="23"/>
        </w:rPr>
        <w:t>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KLASA: 342-02/23-01/02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URBROJ: 2163-2-01-23-1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Buje, 04.10.2023.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3"/>
          <w:szCs w:val="23"/>
        </w:rPr>
        <w:t>GRADSKO VIJEĆE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3"/>
          <w:szCs w:val="23"/>
        </w:rPr>
        <w:t>Predsjednik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Franko Gergorić</w:t>
      </w:r>
    </w:p>
    <w:sectPr>
      <w:headerReference w:type="default" r:id="rId2"/>
      <w:type w:val="nextPage"/>
      <w:pgSz w:w="11906" w:h="16838"/>
      <w:pgMar w:left="1417" w:right="1417" w:header="1417" w:top="195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spacing w:before="0" w:after="200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  <w:t>Prijedlog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46756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710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467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90e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Zaglavljeipodnoje">
    <w:name w:val="Zaglavlje i podnožj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aglavlje">
    <w:name w:val="Header"/>
    <w:basedOn w:val="Zaglavljeipodnoj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b856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32CC-4B02-48E5-9FD2-9D9C3E02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Application>LibreOffice/6.4.3.2$Windows_X86_64 LibreOffice_project/747b5d0ebf89f41c860ec2a39efd7cb15b54f2d8</Application>
  <Pages>4</Pages>
  <Words>1110</Words>
  <Characters>6398</Characters>
  <CharactersWithSpaces>7414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2022-09-29T11:33:00Z</dcterms:created>
  <dc:creator>Jasmina Ibrišimović</dc:creator>
  <dc:description/>
  <dc:language>hr-HR</dc:language>
  <cp:lastModifiedBy/>
  <cp:lastPrinted>2023-09-27T07:45:00Z</cp:lastPrinted>
  <dcterms:modified xsi:type="dcterms:W3CDTF">2023-10-04T12:14:38Z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