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76" w:before="0" w:after="2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OBRAZLOŽENJE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start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>I. PRAVNI OSNOV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2"/>
        </w:rPr>
        <w:t>Na temelju članka 30. Odluke o uvjetima, načinu i postupku raspolaganja nekretninama u vlasništvu Grada Buja („Službene novine Grada Buja”, broj 07/10).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sz w:val="22"/>
        </w:rPr>
        <w:t>Čl.  50. Statuta Grada Buja-Buie ( „Službene novine Grada Buja“ broj 11/09, 05/11, 11/11, 03/13, 05/18, 04/21) propisano je da Gradsko vijeće donosi odluke i opće akte kojima uređuje pitanja iz samoupravnog djelokruga Grada.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</w:rPr>
        <w:t xml:space="preserve">II. PRIJEDLOG ODLUKE O IZMJENAMA I DOPUNAMA </w:t>
      </w:r>
      <w:r>
        <w:rPr>
          <w:rFonts w:ascii="Times New Roman" w:hAnsi="Times New Roman"/>
          <w:b/>
          <w:sz w:val="22"/>
        </w:rPr>
        <w:t xml:space="preserve">PRAVILNIKA </w:t>
      </w:r>
      <w:r>
        <w:rPr>
          <w:rFonts w:ascii="Times New Roman" w:hAnsi="Times New Roman"/>
          <w:b/>
          <w:sz w:val="22"/>
        </w:rPr>
        <w:t xml:space="preserve">O </w:t>
      </w:r>
      <w:r>
        <w:rPr>
          <w:rFonts w:ascii="Times New Roman" w:hAnsi="Times New Roman"/>
          <w:b/>
          <w:sz w:val="22"/>
        </w:rPr>
        <w:t>CIJENAMA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ZAKUPA ZEMLJIŠTA I ZGRADA U VLASNIŠTVU GRADA BUJA.</w:t>
      </w:r>
    </w:p>
    <w:p>
      <w:pPr>
        <w:pStyle w:val="Normal"/>
        <w:widowControl w:val="false"/>
        <w:suppressAutoHyphens w:val="true"/>
        <w:bidi w:val="0"/>
        <w:spacing w:lineRule="auto" w:line="276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Prema površini zemljišta za poljoprivrednu obradu na cjelokupnom području Grada Buja utvrđuju se slijedeće godišnje zakupnine: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8850" w:type="dxa"/>
        <w:jc w:val="start"/>
        <w:tblInd w:w="0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33"/>
        <w:gridCol w:w="1184"/>
        <w:gridCol w:w="1250"/>
        <w:gridCol w:w="1133"/>
        <w:gridCol w:w="1317"/>
        <w:gridCol w:w="1416"/>
        <w:gridCol w:w="1417"/>
      </w:tblGrid>
      <w:tr>
        <w:trPr/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Do 500 </w:t>
            </w:r>
          </w:p>
        </w:tc>
        <w:tc>
          <w:tcPr>
            <w:tcW w:w="12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Iznad 500  do 1000</w:t>
            </w:r>
          </w:p>
        </w:tc>
        <w:tc>
          <w:tcPr>
            <w:tcW w:w="113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Iznad 1000 do 1500</w:t>
            </w:r>
          </w:p>
        </w:tc>
        <w:tc>
          <w:tcPr>
            <w:tcW w:w="13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Iznad 1500 do 2000</w:t>
            </w:r>
          </w:p>
        </w:tc>
        <w:tc>
          <w:tcPr>
            <w:tcW w:w="14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Iznad 2000 do 3000</w:t>
            </w:r>
          </w:p>
        </w:tc>
        <w:tc>
          <w:tcPr>
            <w:tcW w:w="14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Iznad 3000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Jedinična cijena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1,50 €/m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1,00 €/m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0,80 €/m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     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14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0,20€/m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>
        <w:trPr/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Godišnja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zakupnina</w:t>
            </w:r>
          </w:p>
        </w:tc>
        <w:tc>
          <w:tcPr>
            <w:tcW w:w="1184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Umnožak površine i jedinićne cijene</w:t>
            </w:r>
          </w:p>
        </w:tc>
        <w:tc>
          <w:tcPr>
            <w:tcW w:w="1250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Zbroj 500 i umnoška površine iznad 500 i jedinične cijene</w:t>
            </w:r>
          </w:p>
        </w:tc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Zbroj 900 i umnoška površine iznad 1000 i jedinične cijene</w:t>
            </w:r>
          </w:p>
        </w:tc>
        <w:tc>
          <w:tcPr>
            <w:tcW w:w="131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Zbroj 1200 i umnoška površine iznad 1500 i jedinične cijene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Zbroj 1400 i umnoška površine iznad 2000 i jedinične cijene</w:t>
            </w:r>
          </w:p>
        </w:tc>
        <w:tc>
          <w:tcPr>
            <w:tcW w:w="1417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Zbroj 1600 i umnoška površine iznad 3000 i jedinične   cijene      </w:t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U svrhu uređenja zelene površine , par</w:t>
      </w:r>
      <w:r>
        <w:rPr>
          <w:rFonts w:ascii="Times New Roman" w:hAnsi="Times New Roman"/>
        </w:rPr>
        <w:t>kirališnog prostora, okoliša i sl.može se dati u zakup do 300m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position w:val="0"/>
          <w:sz w:val="24"/>
          <w:vertAlign w:val="baseline"/>
        </w:rPr>
        <w:t xml:space="preserve"> zemljišta po jediničnoj cijeni od </w:t>
      </w:r>
      <w:r>
        <w:rPr>
          <w:rFonts w:ascii="Times New Roman" w:hAnsi="Times New Roman"/>
          <w:position w:val="0"/>
          <w:sz w:val="24"/>
          <w:vertAlign w:val="baseline"/>
        </w:rPr>
        <w:t>2,00</w:t>
      </w:r>
      <w:r>
        <w:rPr>
          <w:rFonts w:ascii="Times New Roman" w:hAnsi="Times New Roman"/>
          <w:position w:val="0"/>
          <w:sz w:val="24"/>
          <w:vertAlign w:val="baseline"/>
        </w:rPr>
        <w:t xml:space="preserve"> </w:t>
      </w:r>
      <w:r>
        <w:rPr>
          <w:rFonts w:ascii="Times New Roman" w:hAnsi="Times New Roman"/>
          <w:position w:val="0"/>
          <w:sz w:val="24"/>
          <w:vertAlign w:val="baseline"/>
        </w:rPr>
        <w:t xml:space="preserve">€ </w:t>
      </w:r>
      <w:r>
        <w:rPr>
          <w:rFonts w:ascii="Times New Roman" w:hAnsi="Times New Roman"/>
          <w:position w:val="0"/>
          <w:sz w:val="24"/>
          <w:vertAlign w:val="baseline"/>
        </w:rPr>
        <w:t>/m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position w:val="0"/>
          <w:sz w:val="24"/>
          <w:vertAlign w:val="baseline"/>
        </w:rPr>
        <w:t>.</w:t>
      </w:r>
    </w:p>
    <w:p>
      <w:pPr>
        <w:pStyle w:val="Normal"/>
        <w:bidi w:val="0"/>
        <w:jc w:val="start"/>
        <w:rPr>
          <w:position w:val="0"/>
          <w:sz w:val="24"/>
          <w:vertAlign w:val="baseline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vertAlign w:val="baseline"/>
        </w:rPr>
        <w:t xml:space="preserve">Jedinična cijena za davanje u zakup zgrada za gospodarsku namjenu iznosi </w:t>
      </w:r>
      <w:r>
        <w:rPr>
          <w:rFonts w:ascii="Times New Roman" w:hAnsi="Times New Roman"/>
          <w:position w:val="0"/>
          <w:sz w:val="24"/>
          <w:vertAlign w:val="baseline"/>
        </w:rPr>
        <w:t>3,00</w:t>
      </w:r>
      <w:r>
        <w:rPr>
          <w:rFonts w:ascii="Times New Roman" w:hAnsi="Times New Roman"/>
          <w:position w:val="0"/>
          <w:sz w:val="24"/>
          <w:vertAlign w:val="baseline"/>
        </w:rPr>
        <w:t>€</w:t>
      </w:r>
      <w:r>
        <w:rPr>
          <w:rFonts w:ascii="Times New Roman" w:hAnsi="Times New Roman"/>
          <w:position w:val="0"/>
          <w:sz w:val="24"/>
          <w:vertAlign w:val="baseline"/>
        </w:rPr>
        <w:t xml:space="preserve"> /m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position w:val="0"/>
          <w:sz w:val="24"/>
          <w:vertAlign w:val="baseline"/>
        </w:rPr>
        <w:t>.</w:t>
      </w:r>
    </w:p>
    <w:p>
      <w:pPr>
        <w:pStyle w:val="Normal"/>
        <w:bidi w:val="0"/>
        <w:jc w:val="start"/>
        <w:rPr>
          <w:position w:val="0"/>
          <w:sz w:val="24"/>
          <w:vertAlign w:val="baseline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/>
        </w:rPr>
      </w:pPr>
      <w:r>
        <w:rPr>
          <w:rFonts w:ascii="Times New Roman" w:hAnsi="Times New Roman"/>
          <w:position w:val="0"/>
          <w:sz w:val="24"/>
          <w:vertAlign w:val="baseline"/>
        </w:rPr>
        <w:t>Za davanje u zakup zgrada za ostale namjene primjenjivati će se cijena iz Zaključka o utvrđivanju visine slobodno ugovorene najamnine.</w:t>
      </w:r>
    </w:p>
    <w:p>
      <w:pPr>
        <w:pStyle w:val="Normal"/>
        <w:bidi w:val="0"/>
        <w:jc w:val="both"/>
        <w:rPr>
          <w:position w:val="0"/>
          <w:sz w:val="24"/>
          <w:vertAlign w:val="baseline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position w:val="0"/>
          <w:sz w:val="22"/>
          <w:sz w:val="22"/>
          <w:vertAlign w:val="baseline"/>
        </w:rPr>
        <w:t>Zakupnine mogu biti oslobođene pravne osobe i ustanove čiji je osnivač Grad Buje-Buie kao i udruge i ustanove koje se financiraju iz Proračuna.</w:t>
      </w:r>
      <w:r>
        <w:rPr>
          <w:rFonts w:ascii="Times New Roman" w:hAnsi="Times New Roman"/>
          <w:b w:val="false"/>
          <w:sz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LibreOffice/6.3.4.2$Windows_X86_64 LibreOffice_project/60da17e045e08f1793c57c00ba83cdfce946d0aa</Application>
  <Pages>1</Pages>
  <Words>266</Words>
  <Characters>1423</Characters>
  <CharactersWithSpaces>2005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2023-09-22T09:27:59Z</dcterms:created>
  <dc:creator/>
  <dc:description/>
  <dc:language>hr-HR</dc:language>
  <cp:lastModifiedBy/>
  <cp:lastPrinted>2023-09-25T09:06:25Z</cp:lastPrinted>
  <dcterms:modified xsi:type="dcterms:W3CDTF">2023-09-25T09:18:35Z</dcterms:modified>
  <cp:revision>2</cp:revision>
  <dc:subject/>
  <dc:title/>
</cp:coreProperties>
</file>