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bidi w:val="0"/>
        <w:spacing w:lineRule="auto" w:line="276" w:before="0" w:after="200"/>
        <w:jc w:val="center"/>
        <w:rPr/>
      </w:pPr>
      <w:r>
        <w:rPr>
          <w:rFonts w:ascii="Times New Roman" w:hAnsi="Times New Roman"/>
          <w:b/>
          <w:sz w:val="22"/>
        </w:rPr>
        <w:t>OBRAZLOŽENJE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center"/>
        <w:rPr>
          <w:rFonts w:ascii="Times New Roman" w:hAnsi="Times New Roman"/>
          <w:b/>
          <w:b/>
          <w:sz w:val="24"/>
        </w:rPr>
      </w:pPr>
      <w:r>
        <w:rPr>
          <w:rFonts w:ascii="Times New Roman" w:hAnsi="Times New Roman"/>
          <w:b/>
          <w:sz w:val="24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start"/>
        <w:rPr/>
      </w:pPr>
      <w:r>
        <w:rPr>
          <w:rFonts w:ascii="Times New Roman" w:hAnsi="Times New Roman"/>
          <w:b/>
          <w:sz w:val="22"/>
        </w:rPr>
        <w:t>I. PRAVNI OSNOV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rPr/>
      </w:pPr>
      <w:r>
        <w:rPr>
          <w:rFonts w:ascii="Times New Roman" w:hAnsi="Times New Roman"/>
          <w:b w:val="false"/>
          <w:sz w:val="22"/>
        </w:rPr>
        <w:t>Na temelju članka 23.  Odluke o davanju u zakup poslovnog prostora („Službene novine Grada Buja” broj 12/10).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rPr/>
      </w:pPr>
      <w:r>
        <w:rPr>
          <w:rFonts w:ascii="Times New Roman" w:hAnsi="Times New Roman"/>
          <w:b w:val="false"/>
          <w:sz w:val="22"/>
        </w:rPr>
        <w:t xml:space="preserve">Čl.  50. Statuta Grada Buja-Buie ( „Službene novine Grada Buja“ broj 11/09, 05/11, 11/11, 03/13, 05/18, 04/21) propisano je da Gradsko vijeće donosi odluke i opće akte kojima uređuje pitanja iz samoupravnog djelokruga Grada.                     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rPr/>
      </w:pPr>
      <w:r>
        <w:rPr>
          <w:rFonts w:ascii="Times New Roman" w:hAnsi="Times New Roman"/>
          <w:b/>
          <w:sz w:val="22"/>
        </w:rPr>
        <w:t xml:space="preserve">II. PRIJEDLOG ODLUKE O IZMJENAMA I DOPUNAMA </w:t>
      </w:r>
      <w:r>
        <w:rPr>
          <w:rFonts w:ascii="Times New Roman" w:hAnsi="Times New Roman"/>
          <w:b/>
          <w:sz w:val="22"/>
        </w:rPr>
        <w:t xml:space="preserve">PRAVILNIKA </w:t>
      </w:r>
      <w:r>
        <w:rPr>
          <w:rFonts w:ascii="Times New Roman" w:hAnsi="Times New Roman"/>
          <w:b/>
          <w:sz w:val="22"/>
        </w:rPr>
        <w:t xml:space="preserve">O </w:t>
      </w:r>
      <w:r>
        <w:rPr>
          <w:rFonts w:ascii="Times New Roman" w:hAnsi="Times New Roman"/>
          <w:b/>
          <w:sz w:val="22"/>
        </w:rPr>
        <w:t>CIJENAMA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ZAKUPA ZEMLJIŠTA I ZGRADA U VLASNIŠTVU GRADA BUJA.</w:t>
      </w:r>
    </w:p>
    <w:p>
      <w:pPr>
        <w:pStyle w:val="Normal"/>
        <w:widowControl w:val="false"/>
        <w:suppressAutoHyphens w:val="true"/>
        <w:bidi w:val="0"/>
        <w:spacing w:lineRule="auto" w:line="276"/>
        <w:jc w:val="both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rPr/>
      </w:pPr>
      <w:r>
        <w:rPr>
          <w:rFonts w:ascii="Times New Roman" w:hAnsi="Times New Roman"/>
          <w:b w:val="false"/>
          <w:sz w:val="22"/>
        </w:rPr>
        <w:t>Predlažu se izmjene i dopune na način da se predlažu izmjene cijena i iskazivanje cijena u eurima kako slijedi:</w:t>
      </w:r>
    </w:p>
    <w:tbl>
      <w:tblPr>
        <w:tblW w:w="9638" w:type="dxa"/>
        <w:jc w:val="start"/>
        <w:tblInd w:w="0" w:type="dxa"/>
        <w:tblCellMar>
          <w:top w:w="55" w:type="dxa"/>
          <w:start w:w="55" w:type="dxa"/>
          <w:bottom w:w="55" w:type="dxa"/>
          <w:end w:w="55" w:type="dxa"/>
        </w:tblCellMar>
      </w:tblPr>
      <w:tblGrid>
        <w:gridCol w:w="1017"/>
        <w:gridCol w:w="2150"/>
        <w:gridCol w:w="3516"/>
        <w:gridCol w:w="1027"/>
        <w:gridCol w:w="1928"/>
      </w:tblGrid>
      <w:tr>
        <w:trPr/>
        <w:tc>
          <w:tcPr>
            <w:tcW w:w="101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REDNI BROJ</w:t>
            </w:r>
          </w:p>
        </w:tc>
        <w:tc>
          <w:tcPr>
            <w:tcW w:w="215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OBJEKT ZAKUPA</w:t>
            </w:r>
          </w:p>
        </w:tc>
        <w:tc>
          <w:tcPr>
            <w:tcW w:w="3516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DJELATNOST</w:t>
            </w:r>
          </w:p>
        </w:tc>
        <w:tc>
          <w:tcPr>
            <w:tcW w:w="102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ZONA</w:t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  <w:r>
              <w:rPr>
                <w:rFonts w:ascii="Times New Roman" w:hAnsi="Times New Roman"/>
              </w:rPr>
              <w:t>/m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position w:val="0"/>
                <w:sz w:val="24"/>
                <w:vertAlign w:val="baseline"/>
              </w:rPr>
              <w:t xml:space="preserve"> mjesečno</w:t>
            </w:r>
          </w:p>
        </w:tc>
        <w:tc>
          <w:tcPr>
            <w:tcW w:w="192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 ZONA</w:t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(30%)</w:t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€</w:t>
            </w:r>
            <w:r>
              <w:rPr>
                <w:rFonts w:ascii="Times New Roman" w:hAnsi="Times New Roman"/>
              </w:rPr>
              <w:t>/m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  <w:position w:val="0"/>
                <w:sz w:val="24"/>
                <w:vertAlign w:val="baseline"/>
              </w:rPr>
              <w:t xml:space="preserve"> mjesečno</w:t>
            </w:r>
          </w:p>
        </w:tc>
      </w:tr>
      <w:tr>
        <w:trPr/>
        <w:tc>
          <w:tcPr>
            <w:tcW w:w="1017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0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POSLOVNI POROSTOR</w:t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e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PROIZVODNJA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STARI ZANATI,OBRTI I  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USLUGE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PROIZVODNJA I PRODAJA  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TRADIOCIONALNIH 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POLJ .PROIZVODA I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SUVENIRA</w:t>
            </w:r>
            <w:r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2,00 </w:t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1,50</w:t>
            </w:r>
            <w:r>
              <w:rPr>
                <w:rFonts w:ascii="Times New Roman" w:hAnsi="Times New Roman"/>
              </w:rPr>
              <w:t xml:space="preserve">   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</w:p>
        </w:tc>
      </w:tr>
      <w:tr>
        <w:trPr/>
        <w:tc>
          <w:tcPr>
            <w:tcW w:w="1017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0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TRGOVINA</w:t>
            </w:r>
            <w:r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4,00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3,00</w:t>
            </w:r>
          </w:p>
        </w:tc>
      </w:tr>
      <w:tr>
        <w:trPr/>
        <w:tc>
          <w:tcPr>
            <w:tcW w:w="1017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0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-TURISTIČKE AGENCIJE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PRAVNE,FINANCIJSKE I  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DRUGE POSLOVNE USLUGE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POLITIČKE STRANKE,  -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DRŽAVNA TIJELA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UGOSTITELJSTVO I OSTALE 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USLUGE</w:t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5,00</w:t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t>50</w:t>
            </w:r>
          </w:p>
        </w:tc>
      </w:tr>
      <w:tr>
        <w:trPr/>
        <w:tc>
          <w:tcPr>
            <w:tcW w:w="1017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0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BANKE, MIJENJAČNICE, 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>IGRE NA SREĆU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OSIGURAVAJUĆA DRUŠTVA I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DRUGE FINANCIJSKE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INSTITUCIJE</w:t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en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</w:rPr>
              <w:t>6,50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</w:p>
        </w:tc>
      </w:tr>
      <w:tr>
        <w:trPr/>
        <w:tc>
          <w:tcPr>
            <w:tcW w:w="1017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0" w:type="dxa"/>
            <w:vMerge w:val="restart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JAVNE POVRŠINE</w:t>
            </w:r>
          </w:p>
        </w:tc>
        <w:tc>
          <w:tcPr>
            <w:tcW w:w="35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>
              <w:rPr>
                <w:rFonts w:ascii="Times New Roman" w:hAnsi="Times New Roman"/>
              </w:rPr>
              <w:t>UGOSTITELJSTVO</w:t>
            </w:r>
            <w:r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</w:t>
            </w:r>
          </w:p>
        </w:tc>
      </w:tr>
      <w:tr>
        <w:trPr/>
        <w:tc>
          <w:tcPr>
            <w:tcW w:w="1017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0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TRGOVINA, IZLOŽBENI 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PROSTOR</w:t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>
        <w:trPr/>
        <w:tc>
          <w:tcPr>
            <w:tcW w:w="1017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150" w:type="dxa"/>
            <w:vMerge w:val="continue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5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MANIPULATIVNI PROSTOR</w:t>
            </w:r>
          </w:p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ARKIRALIŠTE</w:t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  <w:tr>
        <w:trPr/>
        <w:tc>
          <w:tcPr>
            <w:tcW w:w="101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0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GARAŽE</w:t>
            </w:r>
          </w:p>
        </w:tc>
        <w:tc>
          <w:tcPr>
            <w:tcW w:w="3516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star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027" w:type="dxa"/>
            <w:tcBorders>
              <w:star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1,50</w:t>
            </w:r>
          </w:p>
        </w:tc>
        <w:tc>
          <w:tcPr>
            <w:tcW w:w="1928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eastAsia="Calibri" w:cs="Arial" w:ascii="Times New Roman" w:hAnsi="Times New Roman"/>
        </w:rPr>
        <w:t xml:space="preserve">Cijena zakupa poslovnih prostora, garaža i javnih površina ispred poslovnih prostora postignuta na javnom natječaju uvećat će se za zakonom propisanu stopu poreza na dodanu vrijednost. 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Calibri" w:cs="Arial"/>
        </w:rPr>
      </w:pPr>
      <w:r>
        <w:rPr>
          <w:rFonts w:eastAsia="Calibri" w:cs="Arial" w:ascii="Times New Roman" w:hAnsi="Times New Roman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Calibri" w:cs="Arial" w:ascii="Times New Roman" w:hAnsi="Times New Roman"/>
        </w:rPr>
        <w:t>Na postojeće ugovorene cijene zakupa poslovnih prostora, garaža i javnih površina ispred poslovnih prostora obračunat će se za zakonom propisana stopa poreza na dodanu vrijednost o čemu će biti sastavljene odgovarajuće isprave.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eastAsia="Calibri" w:cs="Arial"/>
        </w:rPr>
      </w:pPr>
      <w:r>
        <w:rPr>
          <w:rFonts w:eastAsia="Calibri" w:cs="Arial" w:ascii="Times New Roman" w:hAnsi="Times New Roman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200"/>
        <w:jc w:val="both"/>
        <w:rPr>
          <w:rFonts w:ascii="Times New Roman" w:hAnsi="Times New Roman"/>
          <w:b w:val="false"/>
          <w:b w:val="false"/>
          <w:sz w:val="24"/>
          <w:lang w:val="hr-HR"/>
        </w:rPr>
      </w:pPr>
      <w:r>
        <w:rPr>
          <w:rFonts w:eastAsia="Calibri" w:cs="Arial" w:ascii="Times New Roman" w:hAnsi="Times New Roman"/>
          <w:b w:val="false"/>
          <w:sz w:val="24"/>
          <w:lang w:val="hr-HR"/>
        </w:rPr>
        <w:t>Za prostore koji se daju na korištenje udrugama i neprofitnim organizacijama temeljem Odluke o davanju u zakup poslovnog prostora (Službene novine Grada Buja br. 12/10) utvrđuje se naknada u iznosu o 1 €/m².</w:t>
      </w:r>
      <w:r>
        <w:rPr>
          <w:rFonts w:ascii="Times New Roman" w:hAnsi="Times New Roman"/>
          <w:b w:val="false"/>
          <w:sz w:val="24"/>
          <w:lang w:val="hr-HR"/>
        </w:rPr>
        <w:t xml:space="preserve">    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r-H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hr-H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LibreOffice/6.3.4.2$Windows_X86_64 LibreOffice_project/60da17e045e08f1793c57c00ba83cdfce946d0aa</Application>
  <Pages>2</Pages>
  <Words>283</Words>
  <Characters>1578</Characters>
  <CharactersWithSpaces>2069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2023-09-21T08:49:08Z</dcterms:created>
  <dc:creator/>
  <dc:description/>
  <dc:language>hr-HR</dc:language>
  <cp:lastModifiedBy/>
  <dcterms:modified xsi:type="dcterms:W3CDTF">2023-09-25T09:01:14Z</dcterms:modified>
  <cp:revision>2</cp:revision>
  <dc:subject/>
  <dc:title/>
</cp:coreProperties>
</file>