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end"/>
        <w:rPr/>
      </w:pPr>
      <w:r>
        <w:rPr/>
        <w:t xml:space="preserve">                                                                                                                                           </w:t>
      </w:r>
      <w:r>
        <w:rPr/>
        <w:t>PRIJEDLOG</w:t>
      </w:r>
    </w:p>
    <w:p>
      <w:pPr>
        <w:pStyle w:val="Normal"/>
        <w:bidi w:val="0"/>
        <w:jc w:val="start"/>
        <w:rPr/>
      </w:pPr>
      <w:r>
        <w:rPr/>
        <w:t>Na temelju članka 30. Odluke o uvjetima, načinu i postupku raspolaganja nekretninama u vlasništvu Grad Buja („Službene novine Grada Buja”, broj 07/10), i članka 50. Statuta Grada Buja (Službene novine Grada Buja”, broj 11/09, 05/11,11/11 i 03/13), Gradsko vijeće Grada Buja, na sjednici održanoj dana _________ donosi.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ODLUKU O </w:t>
      </w:r>
    </w:p>
    <w:p>
      <w:pPr>
        <w:pStyle w:val="Normal"/>
        <w:bidi w:val="0"/>
        <w:jc w:val="center"/>
        <w:rPr/>
      </w:pPr>
      <w:r>
        <w:rPr/>
        <w:t xml:space="preserve">       </w:t>
      </w:r>
      <w:r>
        <w:rPr/>
        <w:t>IZMJENA</w:t>
      </w:r>
      <w:r>
        <w:rPr/>
        <w:t>MA</w:t>
      </w:r>
      <w:r>
        <w:rPr/>
        <w:t xml:space="preserve"> I DOPUNA</w:t>
      </w:r>
      <w:r>
        <w:rPr/>
        <w:t>MA</w:t>
      </w:r>
      <w:r>
        <w:rPr/>
        <w:t xml:space="preserve"> PRAVILNIKA O CIJENAMA ZAKUPA ZEMLJIŠT</w:t>
      </w:r>
      <w:r>
        <w:rPr/>
        <w:t>A</w:t>
      </w:r>
    </w:p>
    <w:p>
      <w:pPr>
        <w:pStyle w:val="Normal"/>
        <w:bidi w:val="0"/>
        <w:jc w:val="center"/>
        <w:rPr/>
      </w:pPr>
      <w:r>
        <w:rPr/>
        <w:t>I ZGRADA U VLASNIŠTVU GRADA BUJA</w:t>
      </w:r>
    </w:p>
    <w:p>
      <w:pPr>
        <w:pStyle w:val="Normal"/>
        <w:bidi w:val="0"/>
        <w:jc w:val="center"/>
        <w:rPr/>
      </w:pPr>
      <w:r>
        <w:rPr/>
        <w:t xml:space="preserve">                                                                                                          </w:t>
      </w:r>
      <w:r>
        <w:rPr/>
        <w:t xml:space="preserve">  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Ovom Odlukom mijenja se članak 3.  Pravilnik o cijenama zakupa zemljišta i zgrada u vlasništvu Grada Buja, KLASA: 944-01/14-01/43, URBROJ: 2105/01-02-14-4</w:t>
      </w:r>
      <w:r>
        <w:rPr/>
        <w:t xml:space="preserve"> </w:t>
      </w:r>
      <w:r>
        <w:rPr/>
        <w:t>na način da ona sada glasi: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Prema površini zemljišta za poljoprivrednu obradu na cjelokupnom području Grada Buja utvrđuju se slijedeće godišnje zakupnine: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                                                                                                                                                     </w:t>
      </w:r>
    </w:p>
    <w:tbl>
      <w:tblPr>
        <w:tblW w:w="8850" w:type="dxa"/>
        <w:jc w:val="start"/>
        <w:tblInd w:w="0" w:type="dxa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133"/>
        <w:gridCol w:w="1184"/>
        <w:gridCol w:w="1250"/>
        <w:gridCol w:w="1133"/>
        <w:gridCol w:w="1317"/>
        <w:gridCol w:w="1416"/>
        <w:gridCol w:w="1417"/>
      </w:tblGrid>
      <w:tr>
        <w:trPr/>
        <w:tc>
          <w:tcPr>
            <w:tcW w:w="113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 xml:space="preserve"> </w:t>
            </w:r>
            <w:r>
              <w:rPr/>
              <w:t xml:space="preserve">Do 500 </w:t>
            </w:r>
          </w:p>
        </w:tc>
        <w:tc>
          <w:tcPr>
            <w:tcW w:w="125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Iznad 500  do 1000</w:t>
            </w:r>
          </w:p>
        </w:tc>
        <w:tc>
          <w:tcPr>
            <w:tcW w:w="113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Iznad 1000 do 1500</w:t>
            </w:r>
          </w:p>
        </w:tc>
        <w:tc>
          <w:tcPr>
            <w:tcW w:w="131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Iznad 1500 do 2000</w:t>
            </w:r>
          </w:p>
        </w:tc>
        <w:tc>
          <w:tcPr>
            <w:tcW w:w="141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Iznad 2000 do 3000</w:t>
            </w:r>
          </w:p>
        </w:tc>
        <w:tc>
          <w:tcPr>
            <w:tcW w:w="141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Iznad 3000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 xml:space="preserve"> </w:t>
            </w:r>
            <w:r>
              <w:rPr/>
              <w:t>Jedinična cijena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 xml:space="preserve"> €</w:t>
            </w:r>
            <w:r>
              <w:rPr/>
              <w:t>/m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 xml:space="preserve"> </w:t>
            </w:r>
            <w:r>
              <w:rPr/>
              <w:t>1,50€/m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 xml:space="preserve">  </w:t>
            </w:r>
            <w:r>
              <w:rPr/>
              <w:t>1,00 €/m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0,80 €/m</w:t>
            </w:r>
            <w:r>
              <w:rPr>
                <w:vertAlign w:val="superscript"/>
              </w:rPr>
              <w:t>2</w:t>
            </w:r>
            <w:r>
              <w:rPr/>
              <w:t xml:space="preserve">   </w:t>
            </w:r>
          </w:p>
        </w:tc>
        <w:tc>
          <w:tcPr>
            <w:tcW w:w="1317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0,50€/m</w:t>
            </w:r>
            <w:r>
              <w:rPr>
                <w:vertAlign w:val="superscript"/>
              </w:rPr>
              <w:t>2</w:t>
            </w:r>
            <w:r>
              <w:rPr/>
              <w:t xml:space="preserve">      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 xml:space="preserve">          </w:t>
            </w:r>
          </w:p>
        </w:tc>
        <w:tc>
          <w:tcPr>
            <w:tcW w:w="1416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0,3</w:t>
            </w:r>
            <w:r>
              <w:rPr/>
              <w:t>0</w:t>
            </w:r>
            <w:r>
              <w:rPr/>
              <w:t xml:space="preserve"> €/m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 xml:space="preserve">    </w:t>
            </w:r>
            <w:r>
              <w:rPr/>
              <w:t>0,20€/m</w:t>
            </w:r>
            <w:r>
              <w:rPr>
                <w:vertAlign w:val="superscript"/>
              </w:rPr>
              <w:t>2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 xml:space="preserve"> </w:t>
            </w:r>
            <w:r>
              <w:rPr/>
              <w:t>Godišnja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/>
              <w:t>zakupnina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Umnožak površine i jedinićne cijene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Zbroj 500 i umnoška površine iznad 500 i jedinične cijene</w:t>
            </w:r>
          </w:p>
        </w:tc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Zbroj 900 i umnoška površine iznad 1000 i jedinične cijene</w:t>
            </w:r>
          </w:p>
        </w:tc>
        <w:tc>
          <w:tcPr>
            <w:tcW w:w="1317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Zbroj 1200 i umnoška površine iznad 1500 i jedinične cijene</w:t>
            </w:r>
            <w:r>
              <w:rPr/>
              <w:t xml:space="preserve"> </w:t>
            </w:r>
          </w:p>
        </w:tc>
        <w:tc>
          <w:tcPr>
            <w:tcW w:w="1416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Zbroj 1400 i umnoška površine iznad 2000 i jedinične cijene</w:t>
            </w:r>
          </w:p>
        </w:tc>
        <w:tc>
          <w:tcPr>
            <w:tcW w:w="141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 xml:space="preserve"> </w:t>
            </w:r>
            <w:r>
              <w:rPr/>
              <w:t xml:space="preserve">Zbroj 1600 i umnoška   površine iznad 3000 i jedinične   cijene      </w:t>
            </w:r>
          </w:p>
        </w:tc>
      </w:tr>
    </w:tbl>
    <w:p>
      <w:pPr>
        <w:pStyle w:val="Normal"/>
        <w:bidi w:val="0"/>
        <w:jc w:val="start"/>
        <w:rPr/>
      </w:pPr>
      <w:r>
        <w:rPr/>
        <w:t xml:space="preserve">   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start"/>
        <w:rPr/>
      </w:pPr>
      <w:r>
        <w:rPr/>
        <w:t>U svrhu uređenja zelene površine , par</w:t>
      </w:r>
      <w:r>
        <w:rPr/>
        <w:t>kirališnog prostora, okoliša i sl.može se dati u zakup do 300m</w:t>
      </w:r>
      <w:r>
        <w:rPr>
          <w:vertAlign w:val="superscript"/>
        </w:rPr>
        <w:t>2</w:t>
      </w:r>
      <w:r>
        <w:rPr>
          <w:position w:val="0"/>
          <w:sz w:val="24"/>
          <w:vertAlign w:val="baseline"/>
        </w:rPr>
        <w:t xml:space="preserve"> zemljišta po jediničnoj cijeni od </w:t>
      </w:r>
      <w:r>
        <w:rPr>
          <w:position w:val="0"/>
          <w:sz w:val="24"/>
          <w:vertAlign w:val="baseline"/>
        </w:rPr>
        <w:t>2,00</w:t>
      </w:r>
      <w:r>
        <w:rPr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€</w:t>
      </w:r>
      <w:r>
        <w:rPr>
          <w:position w:val="0"/>
          <w:sz w:val="24"/>
          <w:vertAlign w:val="baseline"/>
        </w:rPr>
        <w:t>/m</w:t>
      </w:r>
      <w:r>
        <w:rPr>
          <w:vertAlign w:val="superscript"/>
        </w:rPr>
        <w:t>2</w:t>
      </w:r>
      <w:r>
        <w:rPr>
          <w:position w:val="0"/>
          <w:sz w:val="24"/>
          <w:vertAlign w:val="baseline"/>
        </w:rPr>
        <w:t>.</w:t>
      </w:r>
    </w:p>
    <w:p>
      <w:pPr>
        <w:pStyle w:val="Normal"/>
        <w:bidi w:val="0"/>
        <w:jc w:val="start"/>
        <w:rPr>
          <w:position w:val="0"/>
          <w:sz w:val="24"/>
          <w:vertAlign w:val="baseline"/>
        </w:rPr>
      </w:pPr>
      <w:r>
        <w:rPr/>
      </w:r>
    </w:p>
    <w:p>
      <w:pPr>
        <w:pStyle w:val="Normal"/>
        <w:bidi w:val="0"/>
        <w:jc w:val="start"/>
        <w:rPr/>
      </w:pPr>
      <w:r>
        <w:rPr>
          <w:position w:val="0"/>
          <w:sz w:val="24"/>
          <w:vertAlign w:val="baseline"/>
        </w:rPr>
        <w:t xml:space="preserve">Jedinična cijena za davanje u zakup zgrada za gospodarsku namjenu iznosi </w:t>
      </w:r>
      <w:r>
        <w:rPr>
          <w:position w:val="0"/>
          <w:sz w:val="24"/>
          <w:vertAlign w:val="baseline"/>
        </w:rPr>
        <w:t>3,00</w:t>
      </w:r>
      <w:r>
        <w:rPr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€</w:t>
      </w:r>
      <w:r>
        <w:rPr>
          <w:position w:val="0"/>
          <w:sz w:val="24"/>
          <w:vertAlign w:val="baseline"/>
        </w:rPr>
        <w:t>/m</w:t>
      </w:r>
      <w:r>
        <w:rPr>
          <w:vertAlign w:val="superscript"/>
        </w:rPr>
        <w:t>2</w:t>
      </w:r>
      <w:r>
        <w:rPr>
          <w:position w:val="0"/>
          <w:sz w:val="24"/>
          <w:vertAlign w:val="baseline"/>
        </w:rPr>
        <w:t>.</w:t>
      </w:r>
    </w:p>
    <w:p>
      <w:pPr>
        <w:pStyle w:val="Normal"/>
        <w:bidi w:val="0"/>
        <w:jc w:val="start"/>
        <w:rPr>
          <w:position w:val="0"/>
          <w:sz w:val="24"/>
          <w:vertAlign w:val="baseline"/>
        </w:rPr>
      </w:pPr>
      <w:r>
        <w:rPr/>
      </w:r>
    </w:p>
    <w:p>
      <w:pPr>
        <w:pStyle w:val="Normal"/>
        <w:bidi w:val="0"/>
        <w:jc w:val="start"/>
        <w:rPr/>
      </w:pPr>
      <w:r>
        <w:rPr>
          <w:position w:val="0"/>
          <w:sz w:val="24"/>
          <w:vertAlign w:val="baseline"/>
        </w:rPr>
        <w:t>Za davanje u zakup zgrada za ostale namjene primjenjivati će se cijena iz Zaključka o utvrđivanju visine slobodno ugovorene najamnine.</w:t>
      </w:r>
    </w:p>
    <w:p>
      <w:pPr>
        <w:pStyle w:val="Normal"/>
        <w:bidi w:val="0"/>
        <w:jc w:val="start"/>
        <w:rPr>
          <w:position w:val="0"/>
          <w:sz w:val="24"/>
          <w:vertAlign w:val="baseline"/>
        </w:rPr>
      </w:pPr>
      <w:r>
        <w:rPr/>
      </w:r>
    </w:p>
    <w:p>
      <w:pPr>
        <w:pStyle w:val="Normal"/>
        <w:bidi w:val="0"/>
        <w:jc w:val="start"/>
        <w:rPr/>
      </w:pPr>
      <w:r>
        <w:rPr>
          <w:position w:val="0"/>
          <w:sz w:val="24"/>
          <w:vertAlign w:val="baseline"/>
        </w:rPr>
        <w:t>Zakupnine mogu biti oslobođene pravne osobe i ustanove čiji je osnivač Grad Buje-Buie kao i udruge i ustanove koje se financiraju iz Proračuna.</w:t>
      </w:r>
      <w:r>
        <w:rPr/>
        <w:t xml:space="preserve"> </w:t>
      </w:r>
    </w:p>
    <w:p>
      <w:pPr>
        <w:pStyle w:val="Normal"/>
        <w:bidi w:val="0"/>
        <w:jc w:val="center"/>
        <w:rPr/>
      </w:pPr>
      <w:r>
        <w:rPr/>
        <w:t xml:space="preserve">                           </w:t>
      </w:r>
    </w:p>
    <w:p>
      <w:pPr>
        <w:pStyle w:val="Normal"/>
        <w:bidi w:val="0"/>
        <w:jc w:val="center"/>
        <w:rPr/>
      </w:pPr>
      <w:r>
        <w:rPr/>
        <w:t>Članak 2.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both"/>
        <w:rPr/>
      </w:pPr>
      <w:r>
        <w:rPr/>
        <w:t>Sve ostale odredbe ovog Pravilnika ostaju neprom</w:t>
      </w:r>
      <w:r>
        <w:rPr/>
        <w:t>ij</w:t>
      </w:r>
      <w:r>
        <w:rPr/>
        <w:t>enjene.</w:t>
      </w:r>
    </w:p>
    <w:p>
      <w:pPr>
        <w:pStyle w:val="Normal"/>
        <w:bidi w:val="0"/>
        <w:jc w:val="both"/>
        <w:rPr/>
      </w:pPr>
      <w:r>
        <w:rPr/>
        <w:t xml:space="preserve">                                                                                                  </w:t>
      </w:r>
    </w:p>
    <w:p>
      <w:pPr>
        <w:pStyle w:val="Normal"/>
        <w:bidi w:val="0"/>
        <w:jc w:val="both"/>
        <w:rPr/>
      </w:pPr>
      <w:r>
        <w:rPr/>
        <w:t xml:space="preserve">                                                                                         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Članak 3.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Ovaj Pravilnik stupa na snagu danom donošenja, a objavit</w:t>
      </w:r>
      <w:r>
        <w:rPr/>
        <w:t xml:space="preserve">i </w:t>
      </w:r>
      <w:r>
        <w:rPr/>
        <w:t>će se u „Službenim novinama Grada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Buja”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  <w:tab/>
        <w:t xml:space="preserve">   </w:t>
      </w:r>
      <w:r>
        <w:rPr/>
        <w:t>Članak 4.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Ova Odluka primjenjivati će se na buduće zakupe.</w:t>
      </w:r>
    </w:p>
    <w:p>
      <w:pPr>
        <w:pStyle w:val="Normal"/>
        <w:bidi w:val="0"/>
        <w:jc w:val="center"/>
        <w:rPr/>
      </w:pPr>
      <w:r>
        <w:rPr/>
        <w:t xml:space="preserve">                                                                                                                 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KLASA:944-06/23-01/26</w:t>
      </w:r>
    </w:p>
    <w:p>
      <w:pPr>
        <w:pStyle w:val="Normal"/>
        <w:bidi w:val="0"/>
        <w:jc w:val="start"/>
        <w:rPr/>
      </w:pPr>
      <w:r>
        <w:rPr/>
        <w:t>URBROJ:2163-2-04/01-23-1</w:t>
      </w:r>
    </w:p>
    <w:p>
      <w:pPr>
        <w:pStyle w:val="Normal"/>
        <w:bidi w:val="0"/>
        <w:jc w:val="start"/>
        <w:rPr/>
      </w:pPr>
      <w:r>
        <w:rPr/>
        <w:t>Buje,14.09.2023.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  <w:tab/>
        <w:tab/>
      </w:r>
      <w:r>
        <w:rPr/>
        <w:t>GRADSKO VIJEĆE GRADA BUJA</w:t>
      </w:r>
      <w:r>
        <w:rPr/>
        <w:t xml:space="preserve">  </w:t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  <w:tab/>
        <w:tab/>
        <w:tab/>
        <w:t xml:space="preserve">       </w:t>
      </w:r>
      <w:r>
        <w:rPr/>
        <w:t xml:space="preserve">Predsjednik </w:t>
      </w:r>
      <w:r>
        <w:rPr/>
        <w:t xml:space="preserve">              </w:t>
      </w:r>
    </w:p>
    <w:p>
      <w:pPr>
        <w:pStyle w:val="Normal"/>
        <w:bidi w:val="0"/>
        <w:jc w:val="center"/>
        <w:rPr/>
      </w:pPr>
      <w:r>
        <w:rPr/>
        <w:t xml:space="preserve">                                                               </w:t>
      </w:r>
      <w:r>
        <w:rPr/>
        <w:t>Franko Gergorić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ab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                                                                  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hr-H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</TotalTime>
  <Application>LibreOffice/6.3.4.2$Windows_X86_64 LibreOffice_project/60da17e045e08f1793c57c00ba83cdfce946d0aa</Application>
  <Pages>2</Pages>
  <Words>324</Words>
  <Characters>1806</Characters>
  <CharactersWithSpaces>3306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2023-09-15T10:35:16Z</dcterms:created>
  <dc:creator/>
  <dc:description/>
  <dc:language>hr-HR</dc:language>
  <cp:lastModifiedBy/>
  <cp:lastPrinted>2023-09-25T09:26:03Z</cp:lastPrinted>
  <dcterms:modified xsi:type="dcterms:W3CDTF">2023-09-25T09:25:54Z</dcterms:modified>
  <cp:revision>5</cp:revision>
  <dc:subject/>
  <dc:title/>
</cp:coreProperties>
</file>