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članka 35. i članka 391. Zakona o vlasništvu i drugim stvarnim pravima (“Narodne novine”, br. 91/96, 69/98, 137/99, 22/00, 73/00, 114/01, 79/06 i 141/06), članka 6., 25. i 26.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Odluke o uvjetima, načinu i postupku raspolaganja nekretninama u vlasništvu Grada Buja (“Službene novine Grada Buja”, broj 7/10, 4/12),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i članka 65 a. Statuta Grada Buja (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žbene novine Grada Buja“ broj 11/09, 05/11, 11/11 i 03/13, 05/18, 19/18, 05/21), Gradonačelnik Grada Buja dana 22.08.2023. godine, raspisuje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  <w:t xml:space="preserve">N A T J E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  <w:t xml:space="preserve">Č A J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  <w:t xml:space="preserve">ZA DAVANJE U ZAKUP NEURE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  <w:t xml:space="preserve">ĐENOG GRAĐEVINSKOG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  <w:t xml:space="preserve"> ZEMLJI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  <w:t xml:space="preserve">ŠTA I ZGRADA U VLASNIŠTVU GRADA BUJA- ISPRAVAK</w:t>
      </w:r>
    </w:p>
    <w:p>
      <w:pPr>
        <w:widowControl w:val="false"/>
        <w:tabs>
          <w:tab w:val="left" w:pos="708" w:leader="none"/>
          <w:tab w:val="center" w:pos="44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center" w:pos="44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I.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        Raspisuje se natje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čaj za davanje u zakup zgrada i neuređenog građevinskog zemljišta, zgrada i gospodarskih objekata u vlasništvu Grada Buja prikupljanjem pisanih ponuda i to kako slijedi: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24"/>
          <w:shd w:fill="auto" w:val="clear"/>
        </w:rPr>
      </w:pPr>
    </w:p>
    <w:tbl>
      <w:tblPr>
        <w:tblInd w:w="8" w:type="dxa"/>
      </w:tblPr>
      <w:tblGrid>
        <w:gridCol w:w="720"/>
        <w:gridCol w:w="1703"/>
        <w:gridCol w:w="1418"/>
        <w:gridCol w:w="1417"/>
        <w:gridCol w:w="1277"/>
        <w:gridCol w:w="2126"/>
        <w:gridCol w:w="1296"/>
      </w:tblGrid>
      <w:tr>
        <w:trPr>
          <w:trHeight w:val="522" w:hRule="auto"/>
          <w:jc w:val="left"/>
        </w:trPr>
        <w:tc>
          <w:tcPr>
            <w:tcW w:w="720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red. br.</w:t>
            </w:r>
          </w:p>
        </w:tc>
        <w:tc>
          <w:tcPr>
            <w:tcW w:w="1703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č.</w:t>
            </w:r>
          </w:p>
        </w:tc>
        <w:tc>
          <w:tcPr>
            <w:tcW w:w="1418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K.O.</w:t>
            </w:r>
          </w:p>
        </w:tc>
        <w:tc>
          <w:tcPr>
            <w:tcW w:w="1417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šina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Mjesto nekretnine</w:t>
            </w:r>
          </w:p>
        </w:tc>
        <w:tc>
          <w:tcPr>
            <w:tcW w:w="2126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šnja zakupnina eura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€</w:t>
            </w:r>
          </w:p>
        </w:tc>
        <w:tc>
          <w:tcPr>
            <w:tcW w:w="1296" w:type="dxa"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čevina</w:t>
            </w:r>
          </w:p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eura €</w:t>
            </w:r>
          </w:p>
        </w:tc>
      </w:tr>
      <w:tr>
        <w:trPr>
          <w:trHeight w:val="522" w:hRule="auto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0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216/1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Brdo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665</w:t>
            </w:r>
          </w:p>
        </w:tc>
        <w:tc>
          <w:tcPr>
            <w:tcW w:w="127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Brdo</w:t>
            </w: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83,88</w:t>
            </w:r>
          </w:p>
        </w:tc>
        <w:tc>
          <w:tcPr>
            <w:tcW w:w="1296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8,38</w:t>
            </w:r>
          </w:p>
        </w:tc>
      </w:tr>
      <w:tr>
        <w:trPr>
          <w:trHeight w:val="522" w:hRule="auto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2.</w:t>
            </w:r>
          </w:p>
        </w:tc>
        <w:tc>
          <w:tcPr>
            <w:tcW w:w="170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773/2 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štel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127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Montrin</w:t>
            </w: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20,04</w:t>
            </w:r>
          </w:p>
        </w:tc>
        <w:tc>
          <w:tcPr>
            <w:tcW w:w="1296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,00</w:t>
            </w:r>
          </w:p>
        </w:tc>
      </w:tr>
      <w:tr>
        <w:trPr>
          <w:trHeight w:val="522" w:hRule="auto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3.</w:t>
            </w:r>
          </w:p>
        </w:tc>
        <w:tc>
          <w:tcPr>
            <w:tcW w:w="170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1247, 1249/3</w:t>
            </w:r>
          </w:p>
        </w:tc>
        <w:tc>
          <w:tcPr>
            <w:tcW w:w="141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šće</w:t>
            </w:r>
          </w:p>
        </w:tc>
        <w:tc>
          <w:tcPr>
            <w:tcW w:w="141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654</w:t>
            </w:r>
          </w:p>
        </w:tc>
        <w:tc>
          <w:tcPr>
            <w:tcW w:w="127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Oskoru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</w:t>
            </w:r>
          </w:p>
        </w:tc>
        <w:tc>
          <w:tcPr>
            <w:tcW w:w="2126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82,71</w:t>
            </w:r>
          </w:p>
        </w:tc>
        <w:tc>
          <w:tcPr>
            <w:tcW w:w="1296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auto" w:val="clear"/>
            <w:tcMar>
              <w:left w:w="6" w:type="dxa"/>
              <w:right w:w="6" w:type="dxa"/>
            </w:tcMar>
            <w:vAlign w:val="bottom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8,27</w:t>
            </w:r>
          </w:p>
        </w:tc>
      </w:tr>
    </w:tbl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Cijena zakupa utvr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đena je Pravilnikom o cijenama zakupa zemljišta i zgrada u vlasništvu Grada Buja (Službene novine Grada Buja br. 7/14)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Za nekretninu pod rednim brojem 2. utvr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đuje se pravo prvenstva vlasniku nekretnine  koji neposredno graniči sa nekretninom koja se daje u zakup.                                                                                                                           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II.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Gore navedeno neure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đeno građevinsko zemljište i zgrade daju se u zakup putem javnog natječaja u viđenom stanju.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Kasnije davanje neure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đenog građevinskog zemljišta u podzakup nije dopušteno kao ni promjena namjene. Izmjera i iskolčenje katastarske čestice kao i utvrđivanje međa  izrađuje Zakupnik o svom trošku po ovlaštenom geometru.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Ugovor o zakupu zaklju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čuje se na određeno vrijeme od pet godina.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III.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Jam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čevina naznačena u točki I. uplaćuje se na transakcijski račun Grada Buja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IBAN: HR5223800061804200004 s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pozivom na broj 68-7722-OIB za fizi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čke osobe ili pozivom na broj 68-7722-OIB za pravne osobe, ponuditelje.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Priznanica o uplati jam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čevine za fizičke osobe, odnosno ovjerena kopija naloga za prijenos sredstava o uplati jamčevine za pravne osobe prilaže se pismenoj ponudi.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Jam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čevina najpovoljnijeg  ponuditelja uračunava se u zakupninu počev od dana nastanka obveze plaćanja iste.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ab/>
        <w:t xml:space="preserve">Jedna uplata  jam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čevine vrijedi samo za jedno neuređeno građevinsko zemljište odnosno zgradu.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IV.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ab/>
        <w:t xml:space="preserve">Natje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čaj se provodi prikupljanjem pisanih ponuda u zatvorenim omotnicama do  u roku od 8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dana od dana objave natječaja na oglasnoj ploči Grada Buja zaključno do 29.08.2023. Dan isticanja natječaja na oglasnoj ploči Grada Buja smatra se danom objave natječaja.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         Oglas o raspisivanju natje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čaja biti će objavljen u dnevnim novinama “ Glas Istre” , ''La voce del popolo'' i na web stranicama Grada Buja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ab/>
        <w:t xml:space="preserve">Natjecatelji su du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žni pisane ponude dostaviti putem pošte ili predajom u pisarnici u zatvorenoj omotnici uz naznaku “NE OTVARAJ - NATJEČAJ ZA ZAKUP NEKRETNINA pod rednim brojem ___” na adresu Grad Buje, Istarska 2, 52460 BUJE.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Pismena ponuda obavezno sadr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ži: </w:t>
      </w:r>
    </w:p>
    <w:p>
      <w:pPr>
        <w:widowControl w:val="false"/>
        <w:numPr>
          <w:ilvl w:val="0"/>
          <w:numId w:val="34"/>
        </w:numPr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Ime i prezime, s naznakom prebivali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šta, za fizičke osobe, odnosno naziv ponuditelja i sjedišta, za pravne osobe,</w:t>
      </w:r>
    </w:p>
    <w:p>
      <w:pPr>
        <w:widowControl w:val="false"/>
        <w:numPr>
          <w:ilvl w:val="0"/>
          <w:numId w:val="34"/>
        </w:numPr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Redni broj i naziv nekretnine za koju se nadme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će,</w:t>
      </w:r>
    </w:p>
    <w:p>
      <w:pPr>
        <w:widowControl w:val="false"/>
        <w:numPr>
          <w:ilvl w:val="0"/>
          <w:numId w:val="34"/>
        </w:numPr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Ponu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đenu cijenu koja ne može biti niža od utvrđene početne cijene, u kunama, ispisanu brojkama i slovima</w:t>
      </w:r>
    </w:p>
    <w:p>
      <w:pPr>
        <w:widowControl w:val="false"/>
        <w:numPr>
          <w:ilvl w:val="0"/>
          <w:numId w:val="34"/>
        </w:numPr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Dokaz o dr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žavljanstvu za fizičke osobe (domovnica ili preslik osobne iskaznice)</w:t>
      </w:r>
    </w:p>
    <w:p>
      <w:pPr>
        <w:widowControl w:val="false"/>
        <w:numPr>
          <w:ilvl w:val="0"/>
          <w:numId w:val="34"/>
        </w:numPr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Izvornik ili preslik registracije pravne osobe u Republici Hrvatskoj,</w:t>
      </w:r>
    </w:p>
    <w:p>
      <w:pPr>
        <w:widowControl w:val="false"/>
        <w:numPr>
          <w:ilvl w:val="0"/>
          <w:numId w:val="34"/>
        </w:numPr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Dokaz o upla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ćenoj jamčevini,</w:t>
      </w:r>
    </w:p>
    <w:p>
      <w:pPr>
        <w:widowControl w:val="false"/>
        <w:numPr>
          <w:ilvl w:val="0"/>
          <w:numId w:val="34"/>
        </w:numPr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Dokaz o pravu prvokupa za osobe iz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članka 27. Odluke o uvjetima, načinu i  postupku raspolaganja nekretninama u vlasništvu Grada Buja (dokazi iz točke 7. prilažu se u presliku ili izvorniku),</w:t>
      </w:r>
    </w:p>
    <w:p>
      <w:pPr>
        <w:widowControl w:val="false"/>
        <w:numPr>
          <w:ilvl w:val="0"/>
          <w:numId w:val="34"/>
        </w:numPr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Dokaz o podmirenju svih dospjelih dugovanja prema Gradu Buje (potvrda  Upravnog odjela za op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će poslove Grada Buja, Istarska 2),</w:t>
      </w:r>
    </w:p>
    <w:p>
      <w:pPr>
        <w:widowControl w:val="false"/>
        <w:numPr>
          <w:ilvl w:val="0"/>
          <w:numId w:val="34"/>
        </w:numPr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Ovla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štenje odnosno punomoć ( za ovlaštene predstavnike, odnosno opunomoćenike)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Zaka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šnjele ili nepotpune ponude neće se razmatrati.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V.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Pravo sudjelovanja u natje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čaju imaju pravne i fizičke osobe.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VI.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isteku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čaja Povjerenstvo za provedbu natječaja za prodaju i zakup nekretnina u vlasništvu Grada Buja, koja je osnovana kao radno tijelo od strane Gradskog vijeća Grada Buja, na svojoj sjednici dana 31.08.2023. u 12.00  sati otvara pristigle ponude i pri tome vodi zapisnik.</w:t>
      </w: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zapisniku Povjerenstvo konstatira valjanost ponuda i predla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najbolje ponuditelje.</w:t>
      </w: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 je za iste nekretnine prispjelo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valjanih najpovoljnijih ponuda ponuditelja koje su istovjetne glede ponuđene zakupnine, Povjerenstvo će naknadno odrediti vrijeme i mjesto, te pismenim putem pozvati te ponuditelje na usmeno nadmetanje.</w:t>
      </w:r>
    </w:p>
    <w:p>
      <w:pPr>
        <w:widowControl w:val="false"/>
        <w:suppressAutoHyphens w:val="true"/>
        <w:spacing w:before="0" w:after="0" w:line="252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 se za ponuditelja koji ostvaruje pravo prvenstva utvrdi da nije napovoljniji ponuda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č, Povjerenstvo će takvog ponuditelja pismenim putem pozvati da u roku od 8 dana pristupi u gradski upravni Odjel radi upoznavanja s najvišom postignutom cijenom, te da da izjavu o prihvaćanju najviše postignute cijene.</w:t>
      </w:r>
    </w:p>
    <w:p>
      <w:pPr>
        <w:widowControl w:val="false"/>
        <w:suppressAutoHyphens w:val="true"/>
        <w:spacing w:before="0" w:after="0" w:line="240"/>
        <w:ind w:right="0" w:left="0" w:firstLine="6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Ukoliko se pozivu ne odazove, gubi pravo prvenstva.                                                                                                          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52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okon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čanju postupka natječaja, zapisnik o provedenom natječaju s prijedlozima ponuda koje smatra da je potrebno prihvatiti, izjavama ovlaštenika prvokupa o prihvaćanju najviše ponuđene cijene i eventualnim prigovorima ponuditelja, Povjerenstvo dostavlja Gradonačelniku.</w:t>
      </w: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dostavljenog zapisnika s prijedlogom Povjerenstva, Gradona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 Grada Buja donosi Odluku o utvrđivanju najpovoljnijih ponuda i zaključenju ugovora s najboljim ponuditeljima. </w:t>
      </w: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žni upravni odjel Grada dostavlja dopis s preslikom Odluke Gradonačelnika svim ponuditeljima koji su se javili na natječaj, te poziva najbolje ponuditelje na zaključenje ugovora u roku od 15 (petnaest) dana od zaprimanja istoga. </w:t>
      </w: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roku od 8 (osam) dana od prijema navedenog dopisa ponuditelji imaju pravo na prigovor na Odluku Gradona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čelnika, ali samo na dio natječaja koji se odnosi na nekretninu za koju su dostavili ponudu. Istekom nevedenog roka, prigovor će se odbaciti, te se uopće neće razmatrati. O uloženom prigovoru Gradonačelnik će se konačno očitovati odlukom.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 po pojedinom prigovoru ponuditelja donosi konačnu odluku te na tu odluku ponuditelj nema više pravo prigovora ili žalbe. </w:t>
      </w:r>
    </w:p>
    <w:p>
      <w:pPr>
        <w:widowControl w:val="false"/>
        <w:suppressAutoHyphens w:val="true"/>
        <w:spacing w:before="0" w:after="0" w:line="252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čnoj odluci Gradonačelnika o najpovoljnijim ponuditeljima i o eventualnim prigovorima nadležno upravno tijelo pripremiti će odgovarajuće ugovore koje će potpisati Gradonačelnik ili osoba koju on opunomoći, s jedne strane, te najpovoljniji ponuditelj  s druge strane.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VIII.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Najbolji ponuditelji koji nakon dono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šenja odluke o prihvatu njihove ponude odustaju od zaključenje ugovora ili se ne odazovu na zaključenje ugovora u roku od  15 (petnaest) dana od zaprimanja dopisa, gube pravo na povrat uplaćene jamčevine.                </w:t>
      </w:r>
    </w:p>
    <w:p>
      <w:pPr>
        <w:widowControl w:val="false"/>
        <w:suppressAutoHyphens w:val="true"/>
        <w:spacing w:before="0" w:after="0" w:line="252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Ponuditelji kojima su ponude utvrdene kao nevaljane ili nepovoljne, upla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ćena jamčevina vratit de se u roku od 8 dana od donošenja konačne odluke Gradonačelnika o prihvatu najpovolnije ponude.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Gradona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čelnik Grada Buja zadržava pravo ne odabrati najpovoljnijeg ponuditelja i poništiti natječaj u odnosu na sve ili pojedine nekretnine, bez obveze da natjecateljima obrazlaže razlog poništenja natječaja ili ne odabira najpovoljnijeg ponuditelja., kao i pravo da poništi odluku  o prihvatu najpovoljnije ponude prije sklapanja ugovora.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IX.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Zakupniku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će se predati u posjed nekretnina na dan sklapanja ugovora o zakupu.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ab/>
        <w:t xml:space="preserve">Ugovor o zakupu sadr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žavati će otkazni rok od šest mjeseci.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ab/>
        <w:t xml:space="preserve">Ugovor o zakupu prestaje u slu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čaju neispunjenja obveza iz ugovora o zakupu</w:t>
      </w:r>
      <w:r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  <w:t xml:space="preserve">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X.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ab/>
        <w:t xml:space="preserve">Zainteresirani ponuditelji mogu dobiti sve informacije o nekretninama izlo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ženih natječaju u Upravnom odjelu za prostorno uređenje i upravljanje gradskom imovinom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Klasa: 944-06/23-01/11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Urbroj: 2163-2-01/1-23-1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Buje,  22. kolovoza 2023.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                                                        </w:t>
      </w: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0" w:leader="none"/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center" w:pos="447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                                                                                  GRADONA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ČELNIK GRADA BUJA</w:t>
      </w:r>
    </w:p>
    <w:p>
      <w:pPr>
        <w:widowControl w:val="false"/>
        <w:tabs>
          <w:tab w:val="left" w:pos="708" w:leader="none"/>
          <w:tab w:val="center" w:pos="44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  <w:tab w:val="center" w:pos="4476" w:leader="none"/>
        </w:tabs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                                                                                                    Fabrizio Vi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žintin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