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 xml:space="preserve">    </w:t>
      </w:r>
      <w:r>
        <w:rPr/>
        <w:t xml:space="preserve">Na temelju članka 92. Statuta Grada Buja (Službene novine Grada Buja br. 11/09, 05/11, 11/11, 03/13, 05/18, 19/18 i 04/21) i članka 38. stavak 2. Poslovnika Gradskog vijeća Grada Buja (Službene novine Grada Buja br. 11/09, 05/11, 10/17, 19/18-pročišćeni tekst i 04/21),  Odbor za statut, poslovnik i administrativna pitanja, dana                </w:t>
      </w:r>
      <w:r>
        <w:rPr>
          <w:sz w:val="24"/>
          <w:szCs w:val="24"/>
        </w:rPr>
        <w:t>2023</w:t>
      </w:r>
      <w:r>
        <w:rPr/>
        <w:t>. godine, donosi: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O D L U K U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o postupku davanja u zakup javnih površina i iznosu naknade za korištenje javnih površina </w:t>
      </w:r>
    </w:p>
    <w:p>
      <w:pPr>
        <w:pStyle w:val="Normal"/>
        <w:jc w:val="center"/>
        <w:rPr>
          <w:b/>
          <w:b/>
        </w:rPr>
      </w:pPr>
      <w:r>
        <w:rPr>
          <w:rFonts w:cs="TimesNewRomanPS-BoldMT;Times New Roman" w:ascii="TimesNewRomanPS-BoldMT;Times New Roman" w:hAnsi="TimesNewRomanPS-BoldMT;Times New Roman"/>
          <w:b/>
          <w:bCs/>
          <w:strike w:val="false"/>
          <w:dstrike w:val="false"/>
        </w:rPr>
        <w:t>- pročišćeni tekst -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730" w:leader="none"/>
        </w:tabs>
        <w:rPr>
          <w:b/>
          <w:b/>
        </w:rPr>
      </w:pPr>
      <w:r>
        <w:rPr>
          <w:b/>
        </w:rPr>
        <w:t>I.OPĆE ODREDBE</w:t>
        <w:tab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jc w:val="center"/>
        <w:rPr/>
      </w:pPr>
      <w:r>
        <w:rPr/>
        <w:t>Članak 1.</w:t>
      </w:r>
    </w:p>
    <w:p>
      <w:pPr>
        <w:pStyle w:val="Normal"/>
        <w:ind w:firstLine="708"/>
        <w:jc w:val="both"/>
        <w:rPr/>
      </w:pPr>
      <w:r>
        <w:rPr/>
        <w:t>Ovom se Odlukom uređuje postupak davanja u zakup javnih površina i iznos naknade za korištenje javnih površina na području Grada Buja-Buie (dalje u tekstu:Grad) putem ugovora o zakupu.</w:t>
      </w:r>
    </w:p>
    <w:p>
      <w:pPr>
        <w:pStyle w:val="Normal"/>
        <w:ind w:firstLine="708"/>
        <w:jc w:val="both"/>
        <w:rPr/>
      </w:pPr>
      <w:r>
        <w:rPr/>
        <w:t>Sadržaj pojma javne površine određen je odlukom kojom se uređuje komunalni red.</w:t>
      </w:r>
    </w:p>
    <w:p>
      <w:pPr>
        <w:pStyle w:val="Normal"/>
        <w:jc w:val="both"/>
        <w:rPr/>
      </w:pPr>
      <w:r>
        <w:rPr/>
        <w:tab/>
        <w:t>Javne površine daju se u zakup za: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obavljanje trgovine na malo izvan prodavaonica na području Grada </w:t>
      </w:r>
      <w:r>
        <w:rPr>
          <w:lang w:eastAsia="hr-HR"/>
        </w:rPr>
        <w:t xml:space="preserve"> </w:t>
      </w:r>
      <w:r>
        <w:rPr/>
        <w:t xml:space="preserve">za razdoblje duže </w:t>
      </w:r>
    </w:p>
    <w:p>
      <w:pPr>
        <w:pStyle w:val="Normal"/>
        <w:jc w:val="both"/>
        <w:rPr/>
      </w:pPr>
      <w:r>
        <w:rPr/>
        <w:t>od 45 dana,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za postavljanje reklama i reklamnih panoa na javnim površinama za razdoblje duže </w:t>
      </w:r>
    </w:p>
    <w:p>
      <w:pPr>
        <w:pStyle w:val="Normal"/>
        <w:jc w:val="both"/>
        <w:rPr/>
      </w:pPr>
      <w:r>
        <w:rPr/>
        <w:t>od 45 dana,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pružanje ugostiteljskih usluga kao ugostiteljski objekt u kiosku, nepokretnom vozilu i </w:t>
      </w:r>
    </w:p>
    <w:p>
      <w:pPr>
        <w:pStyle w:val="Normal"/>
        <w:rPr/>
      </w:pPr>
      <w:r>
        <w:rPr/>
        <w:t>priključnom vozilu, šatoru, na klupi, kolicima i sličnim napravama opremljenim za  pružanje ugostiteljskih usluga za razdoblje duže od 45 dana na javnim površinama koje odredi Gradsko vijeće,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pružanje ugostiteljskih usluga  u šatoru i sličnim napravama opremljenim za pružanje </w:t>
      </w:r>
    </w:p>
    <w:p>
      <w:pPr>
        <w:pStyle w:val="Normal"/>
        <w:jc w:val="both"/>
        <w:rPr/>
      </w:pPr>
      <w:r>
        <w:rPr/>
        <w:t>ugostiteljskih usluga na javnim površinama za vrijeme trajanja manifestacija, sajmova, prigodnih priredbi i slično,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pružanje ugostiteljskih usluga  u  nepokretnom vozilu i priključnom vozilu,  na klupi, </w:t>
      </w:r>
    </w:p>
    <w:p>
      <w:pPr>
        <w:pStyle w:val="Normal"/>
        <w:jc w:val="both"/>
        <w:rPr/>
      </w:pPr>
      <w:r>
        <w:rPr/>
        <w:t>kolicima i sličnim napravama opremljenim za pružanje ugostiteljskih usluga na javnim površinama za vrijeme trajanja manifestacija, sajmova, prigodnih priredbi i slično,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pružanje ostalih usluga za vrijeme trajanja manifestacija, sajmova, prigodnih priredbi i </w:t>
      </w:r>
    </w:p>
    <w:p>
      <w:pPr>
        <w:pStyle w:val="Normal"/>
        <w:jc w:val="both"/>
        <w:rPr/>
      </w:pPr>
      <w:r>
        <w:rPr/>
        <w:t>slično,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potrebe korisnika poslovnih prostora u slučajevima kada javna površina sa poslovnim </w:t>
      </w:r>
    </w:p>
    <w:p>
      <w:pPr>
        <w:pStyle w:val="Normal"/>
        <w:rPr/>
      </w:pPr>
      <w:r>
        <w:rPr/>
        <w:t>prostorom čini funkcionalnu ili tehnološku cjelinu.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II.ZAKUP JAVNE POVRŠINE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Članak 2.</w:t>
      </w:r>
    </w:p>
    <w:p>
      <w:pPr>
        <w:pStyle w:val="Normal"/>
        <w:jc w:val="both"/>
        <w:rPr>
          <w:b/>
          <w:b/>
          <w:bCs/>
          <w:szCs w:val="20"/>
          <w:lang w:eastAsia="hr-HR"/>
        </w:rPr>
      </w:pPr>
      <w:r>
        <w:rPr/>
        <w:tab/>
        <w:t>Javne površine daju se u zakup prikupljanjem pisanih ponuda putem javnog natječaja.</w:t>
      </w:r>
      <w:r>
        <w:rPr>
          <w:b/>
          <w:bCs/>
          <w:szCs w:val="20"/>
          <w:lang w:eastAsia="hr-HR"/>
        </w:rPr>
        <w:t xml:space="preserve"> </w:t>
      </w:r>
    </w:p>
    <w:p>
      <w:pPr>
        <w:pStyle w:val="Normal"/>
        <w:ind w:firstLine="708"/>
        <w:jc w:val="both"/>
        <w:rPr>
          <w:bCs/>
          <w:szCs w:val="20"/>
          <w:lang w:eastAsia="hr-HR"/>
        </w:rPr>
      </w:pPr>
      <w:r>
        <w:rPr>
          <w:bCs/>
          <w:szCs w:val="20"/>
          <w:lang w:eastAsia="hr-HR"/>
        </w:rPr>
        <w:t>Javne površine daju se u zakup za razdoblje do 3 (tri) godine.</w:t>
      </w:r>
    </w:p>
    <w:p>
      <w:pPr>
        <w:pStyle w:val="Normal"/>
        <w:ind w:firstLine="708"/>
        <w:jc w:val="both"/>
        <w:rPr/>
      </w:pPr>
      <w:r>
        <w:rPr/>
        <w:t>Odluku o raspisivanju natječaja donosi Gradonačelnik.</w:t>
      </w:r>
    </w:p>
    <w:p>
      <w:pPr>
        <w:pStyle w:val="Normal"/>
        <w:ind w:firstLine="708"/>
        <w:jc w:val="both"/>
        <w:rPr>
          <w:lang w:val="en-AU"/>
        </w:rPr>
      </w:pPr>
      <w:r>
        <w:rPr>
          <w:lang w:val="en-AU"/>
        </w:rPr>
        <w:t>Natječaj se objavljuje na oglasnoj ploči i web stranici Grada, dok se podnositelji zahtjeva obavještavaju pisanim putem sa dostavnicom.</w:t>
      </w:r>
    </w:p>
    <w:p>
      <w:pPr>
        <w:pStyle w:val="Normal"/>
        <w:jc w:val="both"/>
        <w:rPr/>
      </w:pPr>
      <w:r>
        <w:rPr/>
        <w:tab/>
        <w:t>Dan isticanja natječaja na oglasnoj ploči smatra se danom objave natječaja.</w:t>
      </w:r>
    </w:p>
    <w:p>
      <w:pPr>
        <w:pStyle w:val="Normal"/>
        <w:jc w:val="both"/>
        <w:rPr>
          <w:b/>
          <w:b/>
        </w:rPr>
      </w:pPr>
      <w:r>
        <w:rPr>
          <w:b w:val="false"/>
          <w:bCs w:val="false"/>
        </w:rPr>
        <w:tab/>
        <w:t>Iznimno za  korisnike poslovnog prostora s kojim javna površina čini funkcionalnu ili tehnološku cjelinu i u poslovnom prostoru obavljaju djelatnost koja je u vezi sa djelatnosti koja će se obavljati i na javnoj površini javna površina se može dodijeliti rješenjem upravnog odjela bez provedbe natječaja.</w:t>
      </w:r>
    </w:p>
    <w:p>
      <w:pPr>
        <w:pStyle w:val="Normal"/>
        <w:jc w:val="both"/>
        <w:rPr>
          <w:b/>
          <w:b/>
        </w:rPr>
      </w:pPr>
      <w:r>
        <w:rPr>
          <w:b w:val="false"/>
          <w:bCs w:val="false"/>
        </w:rPr>
        <w:tab/>
        <w:t xml:space="preserve">Prava i obveze iz prethodnog stavka uređuju se Ugovorom o </w:t>
      </w:r>
      <w:r>
        <w:rPr>
          <w:b w:val="false"/>
          <w:bCs w:val="false"/>
          <w:sz w:val="24"/>
          <w:szCs w:val="24"/>
        </w:rPr>
        <w:t>zakupu</w:t>
      </w:r>
      <w:r>
        <w:rPr>
          <w:b w:val="false"/>
          <w:bCs w:val="false"/>
        </w:rPr>
        <w:t xml:space="preserve"> javne površine.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III. JAVNI NATJEČAJ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Članak 3.</w:t>
      </w:r>
    </w:p>
    <w:p>
      <w:pPr>
        <w:pStyle w:val="Normal"/>
        <w:overflowPunct w:val="false"/>
        <w:ind w:firstLine="708"/>
        <w:jc w:val="both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>Uvjete natječaja utvrđuje Gradonačelnik prilikom donošenja odluke o raspisivanju natječaja, a na prijedlog nadležnog upravnog odjela Grada.</w:t>
      </w:r>
    </w:p>
    <w:p>
      <w:pPr>
        <w:pStyle w:val="Normal"/>
        <w:overflowPunct w:val="false"/>
        <w:jc w:val="both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ab/>
        <w:t>Natječaj za davanje u zakup javne površine u pravilu sadrži sljedeće odredbe:</w:t>
      </w:r>
    </w:p>
    <w:p>
      <w:pPr>
        <w:pStyle w:val="Normal"/>
        <w:overflowPunct w:val="false"/>
        <w:jc w:val="both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 xml:space="preserve">- podatke o javnoj površini </w:t>
      </w:r>
    </w:p>
    <w:p>
      <w:pPr>
        <w:pStyle w:val="Normal"/>
        <w:overflowPunct w:val="false"/>
        <w:jc w:val="both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>- djelatnost koja će se obavljati na javnoj površini</w:t>
      </w:r>
    </w:p>
    <w:p>
      <w:pPr>
        <w:pStyle w:val="Normal"/>
        <w:overflowPunct w:val="false"/>
        <w:jc w:val="both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>- iznos naknade za korištenje javne površine,</w:t>
      </w:r>
    </w:p>
    <w:p>
      <w:pPr>
        <w:pStyle w:val="Normal"/>
        <w:overflowPunct w:val="false"/>
        <w:jc w:val="both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>- iznos jamčevine, rok i način plaćanja, rok za sklapanje ugovora,</w:t>
      </w:r>
    </w:p>
    <w:p>
      <w:pPr>
        <w:pStyle w:val="Normal"/>
        <w:overflowPunct w:val="false"/>
        <w:jc w:val="both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>- vrijeme na koje se ugovor o zakupu sklapa,</w:t>
      </w:r>
    </w:p>
    <w:p>
      <w:pPr>
        <w:pStyle w:val="Normal"/>
        <w:overflowPunct w:val="false"/>
        <w:jc w:val="both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>- rok, način i mjesto dostave ponude,</w:t>
      </w:r>
    </w:p>
    <w:p>
      <w:pPr>
        <w:pStyle w:val="Normal"/>
        <w:overflowPunct w:val="false"/>
        <w:jc w:val="both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>- mjesto i vrijeme otvaranja pisanih ponuda,</w:t>
      </w:r>
    </w:p>
    <w:p>
      <w:pPr>
        <w:pStyle w:val="Normal"/>
        <w:overflowPunct w:val="false"/>
        <w:jc w:val="both"/>
        <w:textAlignment w:val="auto"/>
        <w:rPr>
          <w:color w:val="FF0000"/>
          <w:szCs w:val="20"/>
          <w:lang w:eastAsia="hr-HR"/>
        </w:rPr>
      </w:pPr>
      <w:r>
        <w:rPr>
          <w:szCs w:val="20"/>
          <w:lang w:eastAsia="hr-HR"/>
        </w:rPr>
        <w:t>- redoslijed prvenstvenog prava,</w:t>
      </w:r>
    </w:p>
    <w:p>
      <w:pPr>
        <w:pStyle w:val="Normal"/>
        <w:overflowPunct w:val="false"/>
        <w:textAlignment w:val="auto"/>
        <w:rPr>
          <w:lang w:val="en-AU" w:eastAsia="hr-HR"/>
        </w:rPr>
      </w:pPr>
      <w:r>
        <w:rPr>
          <w:lang w:val="en-AU" w:eastAsia="hr-HR"/>
        </w:rPr>
        <w:t>- mogućnost i vrijeme pregleda javne površine,</w:t>
      </w:r>
    </w:p>
    <w:p>
      <w:pPr>
        <w:pStyle w:val="Normal"/>
        <w:rPr/>
      </w:pPr>
      <w:r>
        <w:rPr>
          <w:sz w:val="20"/>
          <w:szCs w:val="20"/>
          <w:lang w:val="en-AU" w:eastAsia="hr-HR"/>
        </w:rPr>
        <w:t xml:space="preserve">- </w:t>
      </w:r>
      <w:r>
        <w:rPr>
          <w:lang w:val="en-AU" w:eastAsia="hr-HR"/>
        </w:rPr>
        <w:t>ostalo od značaja za natječaj.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Članak 4.</w:t>
      </w:r>
    </w:p>
    <w:p>
      <w:pPr>
        <w:pStyle w:val="Normal"/>
        <w:ind w:firstLine="708"/>
        <w:rPr/>
      </w:pPr>
      <w:r>
        <w:rPr/>
        <w:t>Prikupljanje pisanih ponuda je postupak u kojem podnositelji svoje ponude dostavljaju u pisanom obliku u zatvorenim omotnicama s naznakom:”NE OTVARAJ-NATJEČAJ ZA ZAKUP JAVNIH POVRŠINA”, a ponude se dostavljaju na adresu Grada.</w:t>
      </w:r>
    </w:p>
    <w:p>
      <w:pPr>
        <w:pStyle w:val="Normal"/>
        <w:ind w:firstLine="708"/>
        <w:jc w:val="both"/>
        <w:rPr>
          <w:lang w:val="en-AU"/>
        </w:rPr>
      </w:pPr>
      <w:r>
        <w:rPr>
          <w:lang w:val="en-AU"/>
        </w:rPr>
        <w:t>U razmatranje će se uzeti samo one ponude koje su unutar roka za natječaj osobno dostavljene nadležnom upravnom odjelu kroz pisarnicu Grada ili dostavljene preporučeno putem pošte.</w:t>
      </w:r>
    </w:p>
    <w:p>
      <w:pPr>
        <w:pStyle w:val="Normal"/>
        <w:jc w:val="both"/>
        <w:rPr/>
      </w:pPr>
      <w:r>
        <w:rPr/>
        <w:tab/>
        <w:t>Ponude koje pristignu poštom ili budu predane u nadležni upravni odjel nakon tog roka smatrat će se nepravodobnima te će se odbaciti.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Članak 5.</w:t>
      </w:r>
    </w:p>
    <w:p>
      <w:pPr>
        <w:pStyle w:val="Normal"/>
        <w:ind w:firstLine="283"/>
        <w:jc w:val="both"/>
        <w:rPr/>
      </w:pPr>
      <w:r>
        <w:rPr/>
        <w:t>Pisana ponuda obvezno sadrži: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ime i prezime, odnosno naziv ponuditelja s naznakom prebivališta, odnosno sjedišta,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oznaku javne površine za koji se ponuditelj natječe i djelatnost koju će obavljati,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preslik osobne iskaznice za fizičku ili odgovornu osobu pravne osobe,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izvod iz registra trgovačkog suda ili izvod iz obrtnog registra (obrtnica) ili dokaz o upisu u Upisnik poljoprivrednih gospodarstava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dokaz o uplaćenoj jamčevini,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potvrdu porezne uprave o stanju duga po osnovi poreza i obveza za mirovinsko i zdravstveno osiguranje ne stariju od trideset dana od dana podnošenja zahtjeva,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iznos ponuđene naknade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isprave kojima dokazuje pravo prvenstva iz članka 7. ove Odluke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ostale isprave određene Natječajem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Članak 6.</w:t>
      </w:r>
    </w:p>
    <w:p>
      <w:pPr>
        <w:pStyle w:val="Normal"/>
        <w:ind w:firstLine="708"/>
        <w:jc w:val="both"/>
        <w:rPr/>
      </w:pPr>
      <w:r>
        <w:rPr/>
        <w:t>Otvaranje i razmatranje ponuda provodi Komisija za provođenje natječaja koju imenuje Gradonačelnik, na mjestu i u vremenu utvrđenom u natječaju, na način da utvrdi koliko je ponuda zaprimljeno te koji su ponuditelji nazočni.</w:t>
      </w:r>
    </w:p>
    <w:p>
      <w:pPr>
        <w:pStyle w:val="Normal"/>
        <w:jc w:val="both"/>
        <w:rPr/>
      </w:pPr>
      <w:r>
        <w:rPr/>
        <w:tab/>
        <w:t>Ponude se, u pravilu, otvaraju u roku 5 dana od dana isteka roka za podnošenje ponuda, sukladno odluci o provođenju natječaja.</w:t>
      </w:r>
    </w:p>
    <w:p>
      <w:pPr>
        <w:pStyle w:val="Normal"/>
        <w:jc w:val="both"/>
        <w:rPr/>
      </w:pPr>
      <w:r>
        <w:rPr/>
        <w:tab/>
        <w:t>O tijeku sjednice Komisije vodi se zapisnik kojeg po okončanju sjednice potpisuju nazočni članovi Komisije.</w:t>
      </w:r>
    </w:p>
    <w:p>
      <w:pPr>
        <w:pStyle w:val="Normal"/>
        <w:jc w:val="both"/>
        <w:rPr/>
      </w:pPr>
      <w:r>
        <w:rPr/>
        <w:tab/>
        <w:t>Nepravodobne ili nepotpune ponude Komisija neće uzeti u razmatranje već će se odmah zapisnički utvrditi njihova nevaljanost i donijeti će se odluka o njihovom odbacivanju.</w:t>
      </w:r>
    </w:p>
    <w:p>
      <w:pPr>
        <w:pStyle w:val="Normal"/>
        <w:jc w:val="both"/>
        <w:rPr/>
      </w:pPr>
      <w:r>
        <w:rPr/>
        <w:tab/>
        <w:t>Valjane ponude Komisija razmatra i utvrđuje da li su ispunjeni propisani uvjeti iz natječaja te usporedbom ponuda zapisnički utvrđuje koju ponudu smatra najpovoljnijom.</w:t>
      </w:r>
    </w:p>
    <w:p>
      <w:pPr>
        <w:pStyle w:val="Normal"/>
        <w:jc w:val="both"/>
        <w:rPr/>
      </w:pPr>
      <w:r>
        <w:rPr/>
        <w:tab/>
        <w:t xml:space="preserve"> </w:t>
      </w:r>
    </w:p>
    <w:p>
      <w:pPr>
        <w:pStyle w:val="Normal"/>
        <w:jc w:val="center"/>
        <w:rPr/>
      </w:pPr>
      <w:r>
        <w:rPr/>
        <w:t>Članak 7.</w:t>
      </w:r>
    </w:p>
    <w:p>
      <w:pPr>
        <w:pStyle w:val="Normal"/>
        <w:jc w:val="both"/>
        <w:rPr/>
      </w:pPr>
      <w:r>
        <w:rPr/>
        <w:tab/>
        <w:t>Pravo prvenstva u postupku javnog natječaja ostvaruje se sljedećim redosljedom: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ponuditelj koji je korisnik poslovnog prostora s kojim javna površina čini  </w:t>
      </w:r>
    </w:p>
    <w:p>
      <w:pPr>
        <w:pStyle w:val="Normal"/>
        <w:jc w:val="both"/>
        <w:rPr/>
      </w:pPr>
      <w:r>
        <w:rPr/>
        <w:t>funkcionalnu ili tehnološku cjelinu i u poslovnom prostoru obavlja djelatnost koja je u vezi sa djelatnosti koja će se obavljati i na javnoj površini,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ponuditelj koji je dosadašnji korisnik/zakupoprimac javne površine i koji je uredno </w:t>
      </w:r>
    </w:p>
    <w:p>
      <w:pPr>
        <w:pStyle w:val="Normal"/>
        <w:jc w:val="both"/>
        <w:rPr/>
      </w:pPr>
      <w:r>
        <w:rPr/>
        <w:t>ispunio obaveze prema Gradu,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ponuditelj pravna osoba/obrtnik koji ima sjedište na području Grada ili ponuditelj </w:t>
      </w:r>
    </w:p>
    <w:p>
      <w:pPr>
        <w:pStyle w:val="Normal"/>
        <w:jc w:val="both"/>
        <w:rPr/>
      </w:pPr>
      <w:r>
        <w:rPr/>
        <w:t>fizička osoba koji ima prebivalište na području Grada,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ponuditelj koji je kao nositelj OPG-a upisan u odgovarajući registar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ponuditelj koji je kao pravna osoba ili obrtnik upisan u odgovarajući registar države </w:t>
      </w:r>
    </w:p>
    <w:p>
      <w:pPr>
        <w:pStyle w:val="Normal"/>
        <w:jc w:val="both"/>
        <w:rPr/>
      </w:pPr>
      <w:r>
        <w:rPr/>
        <w:t>sjedišta,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ponuditelj koji ima veći broj zaposlenih. </w:t>
      </w:r>
    </w:p>
    <w:p>
      <w:pPr>
        <w:pStyle w:val="Normal"/>
        <w:ind w:firstLine="360"/>
        <w:jc w:val="both"/>
        <w:rPr/>
      </w:pPr>
      <w:r>
        <w:rPr/>
        <w:t xml:space="preserve">    </w:t>
      </w:r>
      <w:r>
        <w:rPr/>
        <w:t>Ako su ponuditelji izjednačeni po svim navedenim kriterijima iz st. 1. ovog članka, izbor najpovoljnijeg ponuditelja utvrđuje se na osnovi najviše ponuđene naknade.</w:t>
      </w:r>
    </w:p>
    <w:p>
      <w:pPr>
        <w:pStyle w:val="Normal"/>
        <w:ind w:firstLine="360"/>
        <w:jc w:val="both"/>
        <w:rPr/>
      </w:pPr>
      <w:r>
        <w:rPr/>
        <w:t xml:space="preserve">   </w:t>
      </w:r>
      <w:r>
        <w:rPr/>
        <w:t>Iznimno, pravo prvenstva u postupku javnog natječaja za pružanje usluga na javnim površinama za vrijeme trajanja manifestacija, sajmova, prigodnih priredbi i slično ostvaruje se sljedećim redosljedom: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ponuditelj koji je korisnik poslovnog prostora s kojim javna površina čini  </w:t>
      </w:r>
    </w:p>
    <w:p>
      <w:pPr>
        <w:pStyle w:val="Normal"/>
        <w:ind w:firstLine="360"/>
        <w:jc w:val="both"/>
        <w:rPr/>
      </w:pPr>
      <w:r>
        <w:rPr/>
        <w:t>funkcionalnu ili tehnološku cjelinu i u poslovnom prostoru obavlja djelatnost koja je u vezi sa djelatnosti koja će se obavljati i na javnoj površini,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ponuditelj koji je dosadašnji korisnik/zakupoprimac javne površine i koji je uredno </w:t>
      </w:r>
    </w:p>
    <w:p>
      <w:pPr>
        <w:pStyle w:val="Normal"/>
        <w:ind w:firstLine="360"/>
        <w:jc w:val="both"/>
        <w:rPr/>
      </w:pPr>
      <w:r>
        <w:rPr/>
        <w:t>ispunio obaveze prema Gradu,</w:t>
      </w:r>
    </w:p>
    <w:p>
      <w:pPr>
        <w:pStyle w:val="Normal"/>
        <w:ind w:firstLine="360"/>
        <w:jc w:val="both"/>
        <w:rPr/>
      </w:pPr>
      <w:r>
        <w:rPr/>
        <w:t xml:space="preserve"> </w:t>
      </w:r>
      <w:r>
        <w:rPr/>
        <w:t>Ako su ponuditelji izjednačeni po svim navedenim kriterijima iz st. 3. ovog članka, izbor najpovoljnijeg ponuditelja utvrđuje se na osnovi najviše ponuđene naknade.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Članak 8.</w:t>
      </w:r>
    </w:p>
    <w:p>
      <w:pPr>
        <w:pStyle w:val="Normal"/>
        <w:ind w:firstLine="708"/>
        <w:jc w:val="both"/>
        <w:rPr/>
      </w:pPr>
      <w:r>
        <w:rPr/>
        <w:t>Zapisnik o provedenom natječaju s prijedlogom ponude za koju smatra da je treba prihvatiti, Komisija dostavlja Gradonačelniku radi donošenja odluke o prihvatu ponude i sklapanja ugovora o zakupu.</w:t>
      </w:r>
    </w:p>
    <w:p>
      <w:pPr>
        <w:pStyle w:val="Normal"/>
        <w:jc w:val="both"/>
        <w:rPr/>
      </w:pPr>
      <w:r>
        <w:rPr/>
        <w:tab/>
        <w:t>Gradonačelnik će poništiti natječaj ukoliko se ustanove nepravilnosti koje su mogle utjecati na postupak, odnosno rezultate natječaja.</w:t>
      </w:r>
    </w:p>
    <w:p>
      <w:pPr>
        <w:pStyle w:val="Normal"/>
        <w:jc w:val="both"/>
        <w:rPr/>
      </w:pPr>
      <w:r>
        <w:rPr/>
        <w:tab/>
        <w:t>Odluka iz st. 1. ovog članka je konačna.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Članak 9.</w:t>
      </w:r>
    </w:p>
    <w:p>
      <w:pPr>
        <w:pStyle w:val="Normal"/>
        <w:ind w:firstLine="708"/>
        <w:jc w:val="both"/>
        <w:rPr/>
      </w:pPr>
      <w:r>
        <w:rPr/>
        <w:t>Ponuditeljima kojima su ponude utvrđene kao nevaljane i ponuditeljima koji nisu uspjeli u natječaju, uplaćena jamčevina vratit će se u roku od osam dana od donošenja odluke Gradonačelnika o najpovoljnijoj ponudi ili o poništenju natječaja.</w:t>
      </w:r>
    </w:p>
    <w:p>
      <w:pPr>
        <w:pStyle w:val="Normal"/>
        <w:jc w:val="both"/>
        <w:rPr/>
      </w:pPr>
      <w:r>
        <w:rPr/>
        <w:tab/>
        <w:t>Ponuditelju koji odustane od ponude prije nego se izvrši otvaranje ponuda, uplaćena jamčevina vratit će se u roku od osam dana od zaprimanja izjave o odustanku od ponude.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Članak 10.</w:t>
      </w:r>
    </w:p>
    <w:p>
      <w:pPr>
        <w:pStyle w:val="Normal"/>
        <w:ind w:firstLine="708"/>
        <w:jc w:val="both"/>
        <w:rPr/>
      </w:pPr>
      <w:r>
        <w:rPr/>
        <w:t>Ugovor o zakupu javne površine sklapa se u pisanom obliku.</w:t>
      </w:r>
    </w:p>
    <w:p>
      <w:pPr>
        <w:pStyle w:val="Normal"/>
        <w:ind w:firstLine="708"/>
        <w:jc w:val="both"/>
        <w:rPr/>
      </w:pPr>
      <w:r>
        <w:rPr/>
        <w:t>Ugovor o zakupu u ime zakupodavca potpisuje Gradonačelnik.</w:t>
      </w:r>
    </w:p>
    <w:p>
      <w:pPr>
        <w:pStyle w:val="Normal"/>
        <w:ind w:firstLine="708"/>
        <w:jc w:val="both"/>
        <w:rPr/>
      </w:pPr>
      <w:r>
        <w:rPr/>
        <w:t>Ukoliko su ispunjeni propisani uvjeti, Gradonačelnik će prihvatiti zahtjev za sklapanje aneksa postojećem ugovoru o zakupu i stupanju u prava i obveze dosadašnjeg zakupnika: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u slučaju smrti zakupnika – nasljednicima, ukoliko ispunjavaju uvjete za nastavak ugovorene djelatnosti,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pravnoj osobi kao pravnom slijedniku pravne osobe.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IV. NAKNADA ZA KORIŠTENJE JAVNIH POVRŠINA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Članak 11.</w:t>
      </w:r>
    </w:p>
    <w:p>
      <w:pPr>
        <w:pStyle w:val="Normal"/>
        <w:jc w:val="both"/>
        <w:rPr/>
      </w:pPr>
      <w:r>
        <w:rPr/>
        <w:tab/>
        <w:t>Za zakupljenu javnu površinu plaća se naknada za korištenje javnih površina.</w:t>
      </w:r>
    </w:p>
    <w:p>
      <w:pPr>
        <w:pStyle w:val="Normal"/>
        <w:ind w:firstLine="708"/>
        <w:jc w:val="both"/>
        <w:rPr/>
      </w:pPr>
      <w:r>
        <w:rPr/>
        <w:t xml:space="preserve">Visina naknade iz stavka 1. ovog članka određuje se prema namjeni, napravama koje se postavljaju na javnu površinu, metru kvadratnom zauzete javne površine i zoni. </w:t>
      </w:r>
    </w:p>
    <w:p>
      <w:pPr>
        <w:pStyle w:val="Normal"/>
        <w:ind w:firstLine="708"/>
        <w:jc w:val="both"/>
        <w:rPr/>
      </w:pPr>
      <w:r>
        <w:rPr/>
        <w:t>Iznimno od st. 2. ovog članka naknada za korištenje javnih površina za naprave za reklamiranje plaća se po m² reklamne površine.</w:t>
      </w:r>
    </w:p>
    <w:p>
      <w:pPr>
        <w:pStyle w:val="Normal"/>
        <w:ind w:firstLine="708"/>
        <w:jc w:val="both"/>
        <w:rPr/>
      </w:pPr>
      <w:r>
        <w:rPr/>
        <w:t>U 1. zonu pogodnosti spadaju naselja Buje, Kaštel, Kaldanija, Plovanija, Krasica, Momjan, Kanegra i Škrile dok ostala naselja na području Grada spadaju u 2. zonu pogodnosti.</w:t>
      </w:r>
    </w:p>
    <w:p>
      <w:pPr>
        <w:pStyle w:val="Normal"/>
        <w:ind w:firstLine="708"/>
        <w:jc w:val="both"/>
        <w:rPr/>
      </w:pPr>
      <w:r>
        <w:rPr/>
        <w:t>Naknada za korištenje javnih površina određuje se u sljedećim iznosima: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57"/>
        <w:gridCol w:w="1675"/>
        <w:gridCol w:w="1532"/>
        <w:gridCol w:w="1521"/>
      </w:tblGrid>
      <w:tr>
        <w:trPr>
          <w:trHeight w:val="276" w:hRule="atLeast"/>
        </w:trPr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Dnevna/mjesečna visina naknade u eurima po m² </w:t>
            </w:r>
          </w:p>
        </w:tc>
      </w:tr>
      <w:tr>
        <w:trPr>
          <w:trHeight w:val="275" w:hRule="atLeast"/>
        </w:trPr>
        <w:tc>
          <w:tcPr>
            <w:tcW w:w="4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dnevno/mjesečno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zona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zona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Obavljanje trgovine na malo izvan prodavaonica na području Grada (kiosk, štand i sl.)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8,00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Reklamne zastave, reklamna platna i transparenti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4,00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ormarić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Reklamne poruke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stupovi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16,00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13,20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Putokazni (usmjeravajući) panoi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pano- samostojeći reklamni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pano (jumbo plakat)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6,70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pano na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građevinama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Pokretni reklamni panoi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Osvijetljene reklamne vitrine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uređaji - display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16,00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13,20</w:t>
            </w:r>
          </w:p>
        </w:tc>
      </w:tr>
      <w:tr>
        <w:trPr/>
        <w:tc>
          <w:tcPr>
            <w:tcW w:w="4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ugostiteljskih usluga  na javnim površinama za vrijeme trajanja manifestacija, sajmova, prigodnih priredbi i slično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ugostiteljskih usluga kao ugostiteljski objekt u kiosku, nepokretnom vozilu i  priključnom vozilu, šatoru, na klupi, kolicima i sličnim napravama opremljenim za pružanje ugostiteljskih usluga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6,70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3,40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ugostiteljskih usluga  u šatoru i sličnim napravama opremljenim za pružanje ugostiteljskih usluga na javnim površinama za vrijeme trajanja manifestacija, sajmova, prigodnih priredbi i slično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7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6,80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ugostiteljskih usluga  u  nepokretnom vozilu i priključnom vozilu,  na klupi, kolicima i sličnim napravama   opremljenim za pružanje ugostiteljskih usluga na javnim površinama za vrijeme trajanja manifestacija, sajmova, prigodnih priredbi i slično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11,00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6,00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ostalih usluga za vrijeme trajanja manifestacija, sajmova, prigodnih priredbi i slično ( zabavni park)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ostalih usluga za vrijeme trajanja manifestacija, sajmova, prigodnih priredbi i slično ( ostale naprave)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ostalih usluga za vrijeme trajanja manifestacija, sajmova, prigodnih priredbi i slično (prigodna prodaja)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Korištenje javnih površina za potrebe korisnika poslovnih prostora u slučajevima kada javna površina sa poslovnim prostorom čini funkcionalnu ili tehnološku cjelinu - ugostiteljstvo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 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1,60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1,10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Korištenje javnih površina za potrebe korisnika poslovnih prostora u slučajevima kada javna površina sa poslovnim prostorom čini funkcionalnu ili tehnološku cjelinu – ostale djelatnosti osim ugostiteljstva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 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0,40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0,20</w:t>
            </w:r>
          </w:p>
        </w:tc>
      </w:tr>
      <w:tr>
        <w:trPr/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Korištenje javnih površina za potrebe korisnika poslovnih prostora u slučajevima kada javna površina sa poslovnim prostorom čini funkcionalnu ili tehnološku cjelinu – pristupno-manipulativni prostor, parkirališno mjesto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 m²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1,20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0,80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/>
      </w:pPr>
      <w:r>
        <w:rPr/>
        <w:t>Članak 12.</w:t>
      </w:r>
    </w:p>
    <w:p>
      <w:pPr>
        <w:pStyle w:val="Normal"/>
        <w:ind w:firstLine="708"/>
        <w:jc w:val="both"/>
        <w:rPr/>
      </w:pPr>
      <w:r>
        <w:rPr/>
        <w:t>Utvrđivanje i naplata naknade za korištenje javne površine iz ove Odluke u nadležnosti je upravnog tijela Grada nadležnog za poslove komunalnog gospodarstva.</w:t>
      </w:r>
    </w:p>
    <w:p>
      <w:pPr>
        <w:pStyle w:val="Normal"/>
        <w:jc w:val="both"/>
        <w:rPr/>
      </w:pPr>
      <w:r>
        <w:rPr>
          <w:sz w:val="18"/>
          <w:szCs w:val="18"/>
        </w:rPr>
        <w:tab/>
      </w:r>
      <w:r>
        <w:rPr/>
        <w:t>Za korištenje javnih površina za koje je kao obračunska jedinica određen dan/m², naknada za korištenje javnih površina plaća se odjednom, dok se za korištenje javnih površina za koje je kao obračunska jedinica određen mjesec/m² naknada za korištenje javnih površina plaća se mjesečno.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V.PRIJELAZNE I ZAVRŠNE ODREDBE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Članak 13.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rPr/>
      </w:pPr>
      <w:r>
        <w:rPr/>
        <w:t>Stupanjem na snagu ove Odluke prestaju važiti: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čl. 7. st. 3. i 4., čl. 8. st. 2. i 3., čl. 13. st. 3. i 4. i čl. 14. st. 2. i 3. </w:t>
      </w:r>
      <w:r>
        <w:rPr>
          <w:lang w:val="pl-PL"/>
        </w:rPr>
        <w:t>Odluke o određivanju načina, uvjeta i mjesta za obavljanje trgovine na malo izvan prodavaonica na području Grada Buja-Buie (Službene novine Grada Buja br.12/15)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čl. 36. st. 1. Odluke o komunalnom redu </w:t>
      </w:r>
      <w:r>
        <w:rPr>
          <w:i/>
          <w:lang w:val="pl-PL"/>
        </w:rPr>
        <w:t>(</w:t>
      </w:r>
      <w:r>
        <w:rPr>
          <w:lang w:val="pl-PL"/>
        </w:rPr>
        <w:t>Službene novine Grada Buja br. 5/11, 11/11) u dijelu koji se odnosi na javne površine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lang w:val="pl-PL"/>
        </w:rPr>
        <w:t xml:space="preserve">čl. 2. red.br. 2. Pravilnika </w:t>
      </w:r>
      <w:r>
        <w:rPr/>
        <w:t>o cijenama zakupa poslovnih prostora, garaža i javnih površina ispred poslovnih prostora („Službene novine Grada Buje-Buie broj 13/10, 12/13 i 02/14).</w:t>
      </w:r>
    </w:p>
    <w:p>
      <w:pPr>
        <w:pStyle w:val="Normal"/>
        <w:ind w:firstLine="360"/>
        <w:jc w:val="both"/>
        <w:rPr/>
      </w:pPr>
      <w:r>
        <w:rPr/>
        <w:t xml:space="preserve">     </w:t>
      </w:r>
      <w:r>
        <w:rPr/>
        <w:t>Ugovori o zakupu javne površine koji su na snazi u trenutku donošenja ove Odluke izvršavat će se do isteka roka iz Ugovora prema ugovorenim uvjetima.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ind w:firstLine="360"/>
        <w:jc w:val="center"/>
        <w:rPr/>
      </w:pPr>
      <w:r>
        <w:rPr/>
        <w:t>Članak 14.</w:t>
      </w:r>
    </w:p>
    <w:p>
      <w:pPr>
        <w:pStyle w:val="Normal"/>
        <w:ind w:firstLine="360"/>
        <w:jc w:val="both"/>
        <w:rPr>
          <w:bCs/>
        </w:rPr>
      </w:pPr>
      <w:r>
        <w:rPr>
          <w:bCs/>
        </w:rPr>
        <w:t xml:space="preserve">       </w:t>
      </w:r>
      <w:r>
        <w:rPr>
          <w:bCs/>
        </w:rPr>
        <w:t>Ova Odluka stupa na snagu danom objave u Službenim novinama Grada Buja-Buie.</w:t>
      </w:r>
    </w:p>
    <w:p>
      <w:pPr>
        <w:pStyle w:val="Normal"/>
        <w:ind w:firstLine="360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KLASA:363-01/20-01/05</w:t>
      </w:r>
    </w:p>
    <w:p>
      <w:pPr>
        <w:pStyle w:val="Normal"/>
        <w:jc w:val="both"/>
        <w:rPr/>
      </w:pPr>
      <w:r>
        <w:rPr/>
        <w:t>URBROJ:2</w:t>
      </w:r>
      <w:bookmarkStart w:id="0" w:name="_GoBack"/>
      <w:bookmarkEnd w:id="0"/>
      <w:r>
        <w:rPr/>
        <w:t>163-2-02-23-19</w:t>
      </w:r>
    </w:p>
    <w:p>
      <w:pPr>
        <w:pStyle w:val="Normal"/>
        <w:jc w:val="both"/>
        <w:rPr/>
      </w:pPr>
      <w:r>
        <w:rPr/>
        <w:t>Buje, _________2023.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ODBOR ZA STATUT POSLOVNIK I ADMINISTRATIVNA PITANJA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Predsjednica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Marilena Sinković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0ec7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99"/>
    <w:qFormat/>
    <w:rsid w:val="00d40ec7"/>
    <w:rPr>
      <w:b/>
      <w:bCs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2c4ade"/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d383b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d383b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92fb5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BodyTextChar"/>
    <w:uiPriority w:val="99"/>
    <w:semiHidden/>
    <w:unhideWhenUsed/>
    <w:rsid w:val="002c4ade"/>
    <w:pPr>
      <w:spacing w:before="0" w:after="12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link w:val="TitleChar"/>
    <w:uiPriority w:val="99"/>
    <w:qFormat/>
    <w:rsid w:val="00d40ec7"/>
    <w:pPr>
      <w:widowControl w:val="false"/>
      <w:tabs>
        <w:tab w:val="clear" w:pos="708"/>
        <w:tab w:val="left" w:pos="709" w:leader="none"/>
        <w:tab w:val="left" w:pos="1134" w:leader="none"/>
      </w:tabs>
      <w:overflowPunct w:val="false"/>
      <w:jc w:val="center"/>
      <w:textAlignment w:val="auto"/>
    </w:pPr>
    <w:rPr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d40ec7"/>
    <w:pPr>
      <w:ind w:left="720" w:hanging="0"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9d383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FooterChar"/>
    <w:uiPriority w:val="99"/>
    <w:unhideWhenUsed/>
    <w:rsid w:val="009d383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92fb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A913-73FA-4AD2-999D-CD73D3BB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LibreOffice/6.4.3.2$Windows_X86_64 LibreOffice_project/747b5d0ebf89f41c860ec2a39efd7cb15b54f2d8</Application>
  <Pages>5</Pages>
  <Words>1965</Words>
  <Characters>11370</Characters>
  <CharactersWithSpaces>13169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2017-08-31T06:14:00Z</dcterms:created>
  <dc:creator>GRAD BUJE</dc:creator>
  <dc:description/>
  <dc:language>hr-HR</dc:language>
  <cp:lastModifiedBy/>
  <cp:lastPrinted>2017-08-22T06:41:00Z</cp:lastPrinted>
  <dcterms:modified xsi:type="dcterms:W3CDTF">2023-07-10T08:57:11Z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