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PRIJEDLOG</w:t>
      </w:r>
    </w:p>
    <w:p>
      <w:pPr>
        <w:pStyle w:val="Normal"/>
        <w:spacing w:lineRule="auto" w:line="276" w:before="0" w:after="20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temelju članka 104. Zakona o komunalnom gospodarstvu (Narodne novine 68/18, 110/18, 32/20) i članka 50. Statuta Grada Buja-Buie („Službene novine Grada Buja-Buie“, broj 11/09, 05/11, 11/11, 03/13, 04/21) Gradsko vijeće Grada Buja-Buie na sjednici održanoj dana, 20.12.2022. godine, donosi:</w:t>
      </w:r>
    </w:p>
    <w:p>
      <w:pPr>
        <w:pStyle w:val="Normal"/>
        <w:spacing w:lineRule="auto" w:line="240" w:before="0" w:after="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Izmjene i dopune Odluke</w:t>
      </w:r>
    </w:p>
    <w:p>
      <w:pPr>
        <w:pStyle w:val="Normal"/>
        <w:spacing w:lineRule="auto" w:line="240" w:before="0" w:after="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o komunalnom redu</w:t>
      </w:r>
    </w:p>
    <w:p>
      <w:pPr>
        <w:pStyle w:val="Normal"/>
        <w:numPr>
          <w:ilvl w:val="0"/>
          <w:numId w:val="0"/>
        </w:numPr>
        <w:spacing w:lineRule="auto" w:line="240" w:before="0" w:after="0"/>
        <w:ind w:left="720" w:hanging="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Članak 1.</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Ovim se </w:t>
      </w:r>
      <w:r>
        <w:rPr>
          <w:rFonts w:eastAsia="Times New Roman" w:cs="Times New Roman" w:ascii="Times New Roman" w:hAnsi="Times New Roman"/>
          <w:color w:val="000000"/>
          <w:kern w:val="0"/>
          <w:sz w:val="24"/>
          <w:szCs w:val="24"/>
          <w:lang w:val="hr-HR" w:eastAsia="hr-HR" w:bidi="ar-SA"/>
        </w:rPr>
        <w:t xml:space="preserve">izmjenama i dopunama Odluke o komunalnom redu mijenja i dopunjuje Odluka o komunalnom redu od 28.03.2019., </w:t>
      </w:r>
      <w:r>
        <w:rPr>
          <w:rFonts w:eastAsia="Calibri" w:cs="Times New Roman" w:ascii="Times New Roman" w:hAnsi="Times New Roman"/>
          <w:color w:val="000000"/>
          <w:kern w:val="0"/>
          <w:sz w:val="24"/>
          <w:szCs w:val="24"/>
          <w:lang w:val="hr-HR" w:eastAsia="hr-HR" w:bidi="ar-SA"/>
        </w:rPr>
        <w:t>Klasa: 363-01/19-01/02, Urbroj: 2105/01-02-19-2 (Službene novine Grada Buja-Buie 05/19).</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 </w:t>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2.</w:t>
      </w:r>
    </w:p>
    <w:p>
      <w:pPr>
        <w:pStyle w:val="Normal"/>
        <w:spacing w:lineRule="auto" w:line="240" w:before="0" w:after="0"/>
        <w:ind w:firstLine="709"/>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val="false"/>
          <w:bCs w:val="false"/>
          <w:color w:val="000000"/>
          <w:sz w:val="24"/>
          <w:szCs w:val="24"/>
          <w:lang w:eastAsia="hr-HR"/>
        </w:rPr>
        <w:t>Nakon članka 2. dodaje se članak 2a. koji glasi:</w:t>
      </w:r>
    </w:p>
    <w:p>
      <w:pPr>
        <w:pStyle w:val="Normal"/>
        <w:spacing w:lineRule="auto" w:line="240" w:before="0" w:after="0"/>
        <w:ind w:firstLine="709"/>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val="false"/>
          <w:bCs w:val="false"/>
          <w:color w:val="000000"/>
          <w:sz w:val="24"/>
          <w:szCs w:val="24"/>
          <w:lang w:eastAsia="hr-HR"/>
        </w:rPr>
        <w:t>„</w:t>
      </w:r>
      <w:r>
        <w:rPr>
          <w:rFonts w:eastAsia="Times New Roman" w:cs="Times New Roman" w:ascii="Times New Roman" w:hAnsi="Times New Roman"/>
          <w:b w:val="false"/>
          <w:bCs w:val="false"/>
          <w:color w:val="000000"/>
          <w:sz w:val="24"/>
          <w:szCs w:val="24"/>
          <w:lang w:eastAsia="hr-HR"/>
        </w:rPr>
        <w:t xml:space="preserve">Prilikom projektiranja i građenja građevina i objekata iz čl. 2. ove Odluke, </w:t>
      </w:r>
      <w:r>
        <w:rPr>
          <w:rFonts w:eastAsia="Times New Roman" w:cs="Times New Roman" w:ascii="Times New Roman" w:hAnsi="Times New Roman"/>
          <w:b w:val="false"/>
          <w:bCs w:val="false"/>
          <w:color w:val="000000"/>
          <w:kern w:val="0"/>
          <w:sz w:val="24"/>
          <w:szCs w:val="24"/>
          <w:lang w:val="hr-HR" w:eastAsia="hr-HR" w:bidi="ar-SA"/>
        </w:rPr>
        <w:t>kao</w:t>
      </w:r>
      <w:r>
        <w:rPr>
          <w:rFonts w:eastAsia="Times New Roman" w:cs="Times New Roman" w:ascii="Times New Roman" w:hAnsi="Times New Roman"/>
          <w:b w:val="false"/>
          <w:bCs w:val="false"/>
          <w:color w:val="000000"/>
          <w:sz w:val="24"/>
          <w:szCs w:val="24"/>
          <w:lang w:eastAsia="hr-HR"/>
        </w:rPr>
        <w:t xml:space="preserve"> i postavljanja i/ili ugradnje pokretnih naprava obveza je primjenjivati tehnička rješenja u projektiranju i građenju kojima se osobama s invaliditetom i smanjene pokretljivosti osigurava nesmetan pristup, kretanje, boravak i rad </w:t>
      </w:r>
      <w:r>
        <w:rPr>
          <w:rFonts w:eastAsia="Times New Roman" w:cs="Times New Roman" w:ascii="Times New Roman" w:hAnsi="Times New Roman"/>
          <w:b w:val="false"/>
          <w:bCs w:val="false"/>
          <w:color w:val="000000"/>
          <w:sz w:val="24"/>
          <w:szCs w:val="24"/>
          <w:lang w:eastAsia="hr-HR"/>
        </w:rPr>
        <w:t xml:space="preserve">i to </w:t>
      </w:r>
      <w:r>
        <w:rPr>
          <w:rFonts w:eastAsia="Times New Roman" w:cs="Times New Roman" w:ascii="Times New Roman" w:hAnsi="Times New Roman"/>
          <w:b w:val="false"/>
          <w:bCs w:val="false"/>
          <w:color w:val="000000"/>
          <w:sz w:val="24"/>
          <w:szCs w:val="24"/>
          <w:lang w:eastAsia="hr-HR"/>
        </w:rPr>
        <w:t>na jednakoj razini kao i ostalim osobama.”</w:t>
      </w:r>
    </w:p>
    <w:p>
      <w:pPr>
        <w:pStyle w:val="Normal"/>
        <w:spacing w:lineRule="auto" w:line="240" w:before="0" w:after="0"/>
        <w:ind w:firstLine="709"/>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bCs/>
          <w:color w:val="000000"/>
          <w:sz w:val="24"/>
          <w:szCs w:val="24"/>
          <w:lang w:eastAsia="hr-HR"/>
        </w:rPr>
        <w:t>Članak 3.</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val="false"/>
          <w:bCs w:val="false"/>
          <w:color w:val="000000"/>
          <w:sz w:val="24"/>
          <w:szCs w:val="24"/>
          <w:lang w:eastAsia="hr-HR"/>
        </w:rPr>
        <w:t>Mijenja se članak 123. na način da glasi:</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w:t>
      </w:r>
      <w:r>
        <w:rPr>
          <w:rFonts w:eastAsia="Times New Roman" w:cs="Times New Roman" w:ascii="Times New Roman" w:hAnsi="Times New Roman"/>
          <w:color w:val="000000"/>
          <w:sz w:val="24"/>
          <w:szCs w:val="24"/>
          <w:lang w:eastAsia="hr-HR"/>
        </w:rPr>
        <w:t xml:space="preserve">Novčanom kaznom u iznosu od 390,00 eura </w:t>
      </w:r>
      <w:r>
        <w:rPr>
          <w:rFonts w:eastAsia="Times New Roman" w:cs="Times New Roman" w:ascii="Times New Roman" w:hAnsi="Times New Roman"/>
          <w:sz w:val="24"/>
          <w:szCs w:val="24"/>
          <w:lang w:eastAsia="hr-HR"/>
        </w:rPr>
        <w:t xml:space="preserve">do </w:t>
      </w:r>
      <w:r>
        <w:rPr>
          <w:rFonts w:eastAsia="Times New Roman" w:cs="Times New Roman" w:ascii="Times New Roman" w:hAnsi="Times New Roman"/>
          <w:color w:val="auto"/>
          <w:kern w:val="0"/>
          <w:sz w:val="24"/>
          <w:szCs w:val="24"/>
          <w:lang w:val="hr-HR" w:eastAsia="hr-HR" w:bidi="ar-SA"/>
        </w:rPr>
        <w:t>660,00 eura</w:t>
      </w:r>
      <w:r>
        <w:rPr>
          <w:rFonts w:eastAsia="Times New Roman" w:cs="Times New Roman" w:ascii="Times New Roman" w:hAnsi="Times New Roman"/>
          <w:color w:val="000000"/>
          <w:sz w:val="24"/>
          <w:szCs w:val="24"/>
          <w:lang w:eastAsia="hr-HR"/>
        </w:rPr>
        <w:t xml:space="preserve"> kaznit će se za prekršaj pravna osoba ako:</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1. ne održava vanjske dijelove zgrade urednima ili ne obnovi i ne održava vanjske dijelove zgrade tako da se obnovljeni dijelovi zgrade uklapaju u cjeloviti izgled zgrade </w:t>
      </w:r>
      <w:r>
        <w:rPr>
          <w:rFonts w:eastAsia="Times New Roman" w:cs="Times New Roman" w:ascii="Times New Roman" w:hAnsi="Times New Roman"/>
          <w:sz w:val="24"/>
          <w:szCs w:val="24"/>
          <w:lang w:eastAsia="hr-HR"/>
        </w:rPr>
        <w:t>(članak 4. stavci 1. i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2. postavi ogradu uz javnu površinu tako da ometa sigurnost prometa i ljudi (članak 9. stavak 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3. postavi bodljikavu žicu, šiljke i slično tako da smeta prolaznicima i predstavlja opasnost od ozljeda (članak 9.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4. ne posječe stablo za koje je komunalni redar rješenjem naredio sječu jer postoji opasnost od rušenja stabla na javnu površinu i ozljeđivanje ljudi i/ili oštećivanje imovine (članak 11.),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5. piše grafite, poruke i slično te na drugi način oštećuje i uništava objekte u općoj uporabi (članak 46.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6. postavi nadstrešnicu tako da ometa promet vozila i pješaka (članak 51.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7. redovito ne održava nadstrešnice (članak 51.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8. postavi, premjesti ili ukloni spomenik bez rješenja ili suprotno rješenju iz članka 52. stavka 3. ove Odluke,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9. oštećuje, uništava i ne održava urednima spomenik, skulpturu, spomen-ploču i sakralno obilježje (članak 58.),</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10. prodaje ili izlaže proizvode izvan prostora otvorenih tržnica, (članak 63.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11. koristi javnoprometnu površinu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70. stavka 2. ove 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12. koristi javnu zelenu površinu ili neizgrađeno građevinsko zemljište u vlasništvu Grada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70. stavka 3. ove Odluke,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13. ne ukloni snijeg i led s krova zgrade i nogostupa uz zgradu (članak 105.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14. ne ukloni snijeg i led s javnih površina (autobusno stajalište, javno parkiralište, tržnica na malo, sportski objekti i slično) koje su joj dane na upravljanje, odnosno na kojoj obavlja poslovnu djelatnost (članak 106.),</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15. ne ukloni snijeg i led s nogostupa uz kioske, pokretne naprave i s otvorenih terasa (članak 107. stavak 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16. ne ukloni snijeg i led s nogostupa ispred poslovnih prostora (članak 107.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17. postupi protivno članku 2a. ove Odluke.</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 xml:space="preserve">Novčanom kaznom u iznosu od </w:t>
      </w:r>
      <w:r>
        <w:rPr>
          <w:rFonts w:eastAsia="Times New Roman" w:cs="Times New Roman" w:ascii="Times New Roman" w:hAnsi="Times New Roman"/>
          <w:color w:val="auto"/>
          <w:kern w:val="0"/>
          <w:sz w:val="24"/>
          <w:szCs w:val="24"/>
          <w:lang w:val="hr-HR" w:eastAsia="hr-HR" w:bidi="ar-SA"/>
        </w:rPr>
        <w:t>60,00 eura</w:t>
      </w:r>
      <w:r>
        <w:rPr>
          <w:rFonts w:eastAsia="Times New Roman" w:cs="Times New Roman" w:ascii="Times New Roman" w:hAnsi="Times New Roman"/>
          <w:sz w:val="24"/>
          <w:szCs w:val="24"/>
          <w:lang w:eastAsia="hr-HR"/>
        </w:rPr>
        <w:t xml:space="preserve"> do 130,00 eura kaznit će se i odgovorna osoba u pravnoj osobi koja počini prekršaj iz stavka 1. ovoga članka.</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 xml:space="preserve">Novčanom kaznom u iznosu od </w:t>
      </w:r>
      <w:r>
        <w:rPr>
          <w:rFonts w:eastAsia="Times New Roman" w:cs="Times New Roman" w:ascii="Times New Roman" w:hAnsi="Times New Roman"/>
          <w:color w:val="auto"/>
          <w:kern w:val="0"/>
          <w:sz w:val="24"/>
          <w:szCs w:val="24"/>
          <w:lang w:val="hr-HR" w:eastAsia="hr-HR" w:bidi="ar-SA"/>
        </w:rPr>
        <w:t>130,00 eura</w:t>
      </w:r>
      <w:r>
        <w:rPr>
          <w:rFonts w:eastAsia="Times New Roman" w:cs="Times New Roman" w:ascii="Times New Roman" w:hAnsi="Times New Roman"/>
          <w:sz w:val="24"/>
          <w:szCs w:val="24"/>
          <w:lang w:eastAsia="hr-HR"/>
        </w:rPr>
        <w:t xml:space="preserve"> do </w:t>
      </w:r>
      <w:r>
        <w:rPr>
          <w:rFonts w:eastAsia="Times New Roman" w:cs="Times New Roman" w:ascii="Times New Roman" w:hAnsi="Times New Roman"/>
          <w:color w:val="auto"/>
          <w:kern w:val="0"/>
          <w:sz w:val="24"/>
          <w:szCs w:val="24"/>
          <w:lang w:val="hr-HR" w:eastAsia="hr-HR" w:bidi="ar-SA"/>
        </w:rPr>
        <w:t>260,00 eura</w:t>
      </w:r>
      <w:r>
        <w:rPr>
          <w:rFonts w:eastAsia="Times New Roman" w:cs="Times New Roman" w:ascii="Times New Roman" w:hAnsi="Times New Roman"/>
          <w:sz w:val="24"/>
          <w:szCs w:val="24"/>
          <w:lang w:eastAsia="hr-HR"/>
        </w:rPr>
        <w:t xml:space="preserve">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b w:val="false"/>
          <w:bCs w:val="false"/>
          <w:color w:val="000000"/>
          <w:sz w:val="24"/>
          <w:szCs w:val="24"/>
          <w:lang w:eastAsia="hr-HR"/>
        </w:rPr>
        <w:t xml:space="preserve">Novčanom kaznom u iznosu od </w:t>
      </w:r>
      <w:r>
        <w:rPr>
          <w:rFonts w:eastAsia="Times New Roman" w:cs="Times New Roman" w:ascii="Times New Roman" w:hAnsi="Times New Roman"/>
          <w:b w:val="false"/>
          <w:bCs w:val="false"/>
          <w:color w:val="auto"/>
          <w:kern w:val="0"/>
          <w:sz w:val="24"/>
          <w:szCs w:val="24"/>
          <w:lang w:val="hr-HR" w:eastAsia="hr-HR" w:bidi="ar-SA"/>
        </w:rPr>
        <w:t>60,00 eura</w:t>
      </w:r>
      <w:r>
        <w:rPr>
          <w:rFonts w:eastAsia="Times New Roman" w:cs="Times New Roman" w:ascii="Times New Roman" w:hAnsi="Times New Roman"/>
          <w:b w:val="false"/>
          <w:bCs w:val="false"/>
          <w:color w:val="000000"/>
          <w:sz w:val="24"/>
          <w:szCs w:val="24"/>
          <w:lang w:eastAsia="hr-HR"/>
        </w:rPr>
        <w:t xml:space="preserve"> do 130,00 eura kaznit će se fizička osoba koja počini prekršaj iz stavka l. točaka 1., 2., 3., 4., 5., 6., 9., 10., 11., 12., 13. i 14. ovoga članka.”</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bCs/>
          <w:color w:val="000000"/>
          <w:sz w:val="24"/>
          <w:szCs w:val="24"/>
          <w:lang w:eastAsia="hr-HR"/>
        </w:rPr>
        <w:t>Članak 4.</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val="false"/>
          <w:bCs w:val="false"/>
          <w:color w:val="000000"/>
          <w:sz w:val="24"/>
          <w:szCs w:val="24"/>
          <w:lang w:eastAsia="hr-HR"/>
        </w:rPr>
        <w:t>Mijenja se članak 124. na način da glasi:</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w:t>
      </w:r>
      <w:r>
        <w:rPr>
          <w:rFonts w:eastAsia="Times New Roman" w:cs="Times New Roman" w:ascii="Times New Roman" w:hAnsi="Times New Roman"/>
          <w:color w:val="000000"/>
          <w:sz w:val="24"/>
          <w:szCs w:val="24"/>
          <w:lang w:eastAsia="hr-HR"/>
        </w:rPr>
        <w:t xml:space="preserve">Novčanom kaznom u iznosu </w:t>
      </w:r>
      <w:r>
        <w:rPr>
          <w:rFonts w:eastAsia="Times New Roman" w:cs="Times New Roman" w:ascii="Times New Roman" w:hAnsi="Times New Roman"/>
          <w:sz w:val="24"/>
          <w:szCs w:val="24"/>
          <w:lang w:eastAsia="hr-HR"/>
        </w:rPr>
        <w:t xml:space="preserve">od </w:t>
      </w:r>
      <w:r>
        <w:rPr>
          <w:rFonts w:eastAsia="Times New Roman" w:cs="Times New Roman" w:ascii="Times New Roman" w:hAnsi="Times New Roman"/>
          <w:color w:val="auto"/>
          <w:kern w:val="0"/>
          <w:sz w:val="24"/>
          <w:szCs w:val="24"/>
          <w:lang w:val="hr-HR" w:eastAsia="hr-HR" w:bidi="ar-SA"/>
        </w:rPr>
        <w:t>190,00 eura</w:t>
      </w:r>
      <w:r>
        <w:rPr>
          <w:rFonts w:eastAsia="Times New Roman" w:cs="Times New Roman" w:ascii="Times New Roman" w:hAnsi="Times New Roman"/>
          <w:sz w:val="24"/>
          <w:szCs w:val="24"/>
          <w:lang w:eastAsia="hr-HR"/>
        </w:rPr>
        <w:t xml:space="preserve"> do </w:t>
      </w:r>
      <w:r>
        <w:rPr>
          <w:rFonts w:eastAsia="Times New Roman" w:cs="Times New Roman" w:ascii="Times New Roman" w:hAnsi="Times New Roman"/>
          <w:color w:val="auto"/>
          <w:kern w:val="0"/>
          <w:sz w:val="24"/>
          <w:szCs w:val="24"/>
          <w:lang w:val="hr-HR" w:eastAsia="hr-HR" w:bidi="ar-SA"/>
        </w:rPr>
        <w:t>390,00 eura</w:t>
      </w: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color w:val="000000"/>
          <w:sz w:val="24"/>
          <w:szCs w:val="24"/>
          <w:lang w:eastAsia="hr-HR"/>
        </w:rPr>
        <w:t>kaznit će se za prekršaj pravna osoba ako:</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piše grafite, poruke i slično te na drugi način uništava vanjske dijelove zgrade (članak 4. stavak 4.);</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rasvjetljava vanjske dijelove zgrade bez rješenja ili suprotno rješenju iz članka 7. stavka 1. ove Odluke;</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urednom ogradu uz javnu površinu (članak 9. stavak 3.);</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orezuje ogradu od ukrasne živice tako da nije opasna za prolaznike te da ne ometa promet ljudi i vozila (članak 9. stavak 4.);</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otkloni nedostatke u dvorištu, vrtu, voćnjaku, na zelenoj i drugoj površini zgrade te na neizgrađenom građevinskom zemljištu ili ogradi uz javnu površinu za koje je komunalni redar rješenjem naredio otklanjanje (članak 10.);</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oštećuje i uništava te neovlašteno skida i mijenja ploče i pločice iz članka 13. ove Odluke (članak 16.);</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oštećenje izloga bez odgode, odnosno najkasnije u roku od 15 dana od nastanka oštećenja, ili ne ukloni oštećenja izloga za koje je komunalni redar rješenjem naredio uklanjanje (članak 18. stavci 2. i 3.);</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tendu bez rješenja ili suprotno rješenju iz članka 19. stavka 2. ove Odluke;</w:t>
      </w:r>
    </w:p>
    <w:p>
      <w:pPr>
        <w:pStyle w:val="Normal"/>
        <w:numPr>
          <w:ilvl w:val="0"/>
          <w:numId w:val="1"/>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kameru suprotno svrsi propisanoj člankom 20. stavkom 1.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kamere funkcionalno ispravnima (članak 20. stavak 3.);</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plakat bez rješenja ili suprotno rješenju iz članka 21. stavaka 2. i 3.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šara, oštećuje ili na drugi način uništava plakate (članak 21. stavak 5.);</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 i čistim mjesto za postavljanje plakata (članak 21. stavak 6.);</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ploču s tvrtkom, nazivom i natpisom na pročelje zgrade bez rješenja ili suprotno rješenju iz članka 22. stavka 4.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ploču s tvrtkom, nazivom i natpisom s pročelja zgrade u roku od 15 dana od prestanka obavljanja djelatnosti, odnosno prestanka korištenja poslovnog prostora, i ne vrati pročelje zgrade u prvobitno stanje ili ne ukloni ploču s tvrtkom, nazivom i natpisom s pročelja zgrade za koju je komunalni redar rješenjem naredio uklanjanje (članak 22. stavci 6. i 7.);</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jarbol za zastave bez rješenja ili suprotno rješenju iz članka 23. stavka 3.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urednima, čistima i neoštećenima jarbole za zastave i zastave (članak 24.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reklamu bez rješenja ili suprotno rješenju iz članka 25. stavka 2.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baca reklamne i druge letke (iz zrakoplova, balona i slično), bez rješenja ili suprotno rješenju iz članka 25. stavka 3.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reklamni pano oglasne površine do 12 m² bez rješenja ili suprotno rješenju iz članka 26. stavka 2.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istakne tvrtku ili ime vlasnika na reklamnom panou (članak 26. </w:t>
      </w:r>
      <w:r>
        <w:rPr>
          <w:rFonts w:eastAsia="Times New Roman" w:cs="Times New Roman" w:ascii="Times New Roman" w:hAnsi="Times New Roman"/>
          <w:sz w:val="24"/>
          <w:szCs w:val="24"/>
          <w:lang w:eastAsia="hr-HR"/>
        </w:rPr>
        <w:t>stavak 4.);</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prekrije odgovarajućim materijalnom bijele boje reklamni pano koji nema istaknutu reklamnu poruku (članak 26. </w:t>
      </w:r>
      <w:r>
        <w:rPr>
          <w:rFonts w:eastAsia="Times New Roman" w:cs="Times New Roman" w:ascii="Times New Roman" w:hAnsi="Times New Roman"/>
          <w:sz w:val="24"/>
          <w:szCs w:val="24"/>
          <w:lang w:eastAsia="hr-HR"/>
        </w:rPr>
        <w:t>stavak 5.);</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postavljene zaštitne naprave, plakati, ploče s tvrtkom, nazivom i natpisom, jarboli, reklame i reklamni panoi nisu uredni i funkcionalno ispravni (članak 27.);</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zaštitne naprave, plakate, ploče s tvrtkom, nazivom i natpisom, jarbole, reklame i reklamne panoe za koje je komunalni redar rješenjem naredio uklanjanje (članak 28.);</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privremene građevine bez rješenja ili suprotno rješenju iz članka 31. stavka 2.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objekte, uređaje, pokretne naprave, zastave i drugu sličnu prigodnu opremu bez rješenja ili suprotno rješenju iz članka 33. stavka 2.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svjetleće žaruljice, ukrasne predmete bez reklamne poruke, prigodne zastave na postojećim jarbolima, ukrasna drvca i slično suprotno uvjetima što ih je utvrdilo nadležno upravno tijelo (članak 33. stavak 3.);</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objekte, uređaje, pokretne naprave, opremu, ukrase, svjetleće žaruljice, ukrasne predmete bez reklamne poruke, prigodne zastave na postojećim jarbolima, ukrasna drvca i slično u roku od 2 dana od proteka blagdana i manifestacije (članak 33. stavak 4.);</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na javnu površinu kiosk površine do 15 m² bez rješenja ili suprotno rješenju iz članka 34.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pokretnu napravu na kojoj se obavlja djelatnost iz članka 2. točke 2. Odluke bez rješenja ili suprotno rješenju iz članka 36.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otvorenu terasu bez rješenja ili suprotno rješenju iz članka 39.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montažno-demontažnu nadstrešnicu iznad otvorene terase na javnoj površini bez rješenja ili suprotno rješenju iz članka 40. stavka 1.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drži urednima i funkcionalno ispravnima kioske, pokretne naprave, otvorene terase i montažno-demontažne nadstrešnice iznad otvorenih terasa te redovito ne čisti njihov okoliš (članak 41.);</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kioske, pokretne naprave, otvorene terase i montažno-demontažne nadstrešnice iznad otvorenih terasa za koje je komunalni redar rješenjem naredio uklanjanje (članak 42.);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objekte u općoj uporabi bez rješenja ili suprotno rješenju iz članka 47. stavka 1.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nemaju javnu rasvjetu ili se ne rasvjetljuju noću (članak 48. stavci 1. i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lijepi plakate i drugo, ispisuje grafite i uništava nadstrešnice (članak 51. stavak 4.);</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premjesti ili ukloni skulpturu, spomen-ploču i sakralno obilježje bez rješenja ili suprotno rješenju iz članka 53.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čistima i urednima javna parkirališta i javne garaže (članak 60. stavak 1.);</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redovito ne održava u čistom i urednom stanju parkirališta uz ugostiteljske objekte, trgovačke centre i objekte drugih namjena (članak 60.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donese tržni red (članak 62.);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urednima i funkcionalno ispravnima kioske, klupe, suncobrane, tende, ručna kolica i slične naprave na tržnicama i sajmištima (članak 63.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očisti, ne opere i ne uredi tržnicu nakon isteka radnog vremena tržnice (članak 64.);</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redovno i izvanredno ne održava i ne čisti javne površine sukladno programu iz članka 67.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redovito ne čisti ili ne osigurava čišćenje onečišćenih javnih površina zbog obavljanja djelatnosti (članak 69. stavak 1.);</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čisti javne površine koje služe kao pristup sportskim ili rekreacijskim objektima, zabavnim parkovima ili igralištima, javnim skupovima, javnim priredbama i ne čisti javne površine na kojima su postavljeni privremeni objekti (kiosci i slično) (članak 69.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očisti javnu površinu odmah po završetku javne priredbe ili događanja ili ne očisti javnu površinu za koju je komunalni redar rješenjem naredio čišćenje (članak 69. stavci 3. i 4.);</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odmah s javne površine građevinsku skelu i drugi materijal u slučaju da s radovima na objektu ne započne u roku od sedam dana od dana postavljanja građevinske skele ili ako se na vrijeme duže od 30 dana zaustavi gradnja (članak 73. stavak 1.);</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s javne površine građevinsku skelu i drugi materijal za koje je komunalni redar rješenjem naredio uklanjanje (članak 73.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poduzima mjere sprečavanja onečišćavanja javnih površina iz članka 71.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nakon završetka radova ne ostavi zauzetu površinu u stanju u kakvom je bila prije izvođenja radova (članak 74.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dovede u roku od 48 sati u prvobitno stanje korištenu javnu površinu na kojoj je komunalni redar utvrdio postojanje oštećenja (članak 74. stavak 3.);</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koristi dio javne površine za istovar drva, ugljena i sličnoga te za slaganje i piljenje ogrjevnog drva tako da ometa cestovni i pješački promet (članak 75. stavak 1.);</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u roku od 24 sata s javne površine drva, ugljen i slično i odmah je ne očisti od piljevine i drugih otpadaka (članak 75.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čistima i funkcionalno ispravnima kante za otpatke i kante za pseći izmet (članak 77. stavak 3. i stavak 4.);</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kante za otpatke i kante za pseći izmet na mjesta zabranjena člankom 78. stavkom 2.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postupi suprotno zabranama iz članka 80.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i ne uređuje javne zelene površine (članak 81.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uređuje javne zelene površine bez rješenja ili suprotno rješenju iz članka 83. stavka 2.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sječe, orezuje i sadi stabla na javne zelene površine bez rješenja ili suprotno rješenju iz članka 84.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ili ukloni dječje igralište, pješačku stazu, parkovnu opremu i slično na javnim zelenim površinama bez rješenja ili suprotno rješenju iz članka 85.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prilikom gradnje objekata, ne zaštiti stabla na zemljištu određenom za zelenu površinu na način propisan člankom 86. stavkom 1.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nadomjesti uklonjenu vegetaciju zamjenskim sadnicama primjerene vrste i veličine (članak 86. stavak 2.);</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postupa suprotno zabranama iz članka 88. ove odluke;</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dostavi podatke ili ne dostavi potpune podatke o izvedenim radovima na digitaliziranoj katastarskoj podlozi radi praćenja promjena na javnim zelenim površinama (članak 90.);</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obavještava svakodnevno nadležna upravna tijela o stanju javnoprometnih površina i poduzetim mjerama (članak 105. stavak 5.);</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odmah ne ukloni predmete postavljene, na javne površine te na površine i objekte u vlasništvu pravnih osoba, fizičkih osoba obrtnika ili fizičkih osoba, suprotno odredbama ove odluke (članak 115. stavak 1.);</w:t>
      </w:r>
    </w:p>
    <w:p>
      <w:pPr>
        <w:pStyle w:val="Normal"/>
        <w:numPr>
          <w:ilvl w:val="0"/>
          <w:numId w:val="1"/>
        </w:numPr>
        <w:spacing w:lineRule="auto" w:line="240" w:before="0" w:after="0"/>
        <w:ind w:left="1134" w:hanging="426"/>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onemogući komunalnom redaru, u provedbi njegovih ovlasti, nesmetano obavljanje nadzora i pristup do mjesta postupanja (članak 118. stavak 1.).</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Novčanom kaznom u iznosu od </w:t>
      </w:r>
      <w:r>
        <w:rPr>
          <w:rFonts w:eastAsia="Times New Roman" w:cs="Times New Roman" w:ascii="Times New Roman" w:hAnsi="Times New Roman"/>
          <w:color w:val="000000"/>
          <w:kern w:val="0"/>
          <w:sz w:val="24"/>
          <w:szCs w:val="24"/>
          <w:lang w:val="hr-HR" w:eastAsia="hr-HR" w:bidi="ar-SA"/>
        </w:rPr>
        <w:t>60,00 eura</w:t>
      </w:r>
      <w:r>
        <w:rPr>
          <w:rFonts w:eastAsia="Times New Roman" w:cs="Times New Roman" w:ascii="Times New Roman" w:hAnsi="Times New Roman"/>
          <w:color w:val="000000"/>
          <w:sz w:val="24"/>
          <w:szCs w:val="24"/>
          <w:lang w:eastAsia="hr-HR"/>
        </w:rPr>
        <w:t xml:space="preserve"> do </w:t>
      </w:r>
      <w:r>
        <w:rPr>
          <w:rFonts w:eastAsia="Times New Roman" w:cs="Times New Roman" w:ascii="Times New Roman" w:hAnsi="Times New Roman"/>
          <w:color w:val="000000"/>
          <w:kern w:val="0"/>
          <w:sz w:val="24"/>
          <w:szCs w:val="24"/>
          <w:lang w:val="hr-HR" w:eastAsia="hr-HR" w:bidi="ar-SA"/>
        </w:rPr>
        <w:t>130,00 eura</w:t>
      </w:r>
      <w:r>
        <w:rPr>
          <w:rFonts w:eastAsia="Times New Roman" w:cs="Times New Roman" w:ascii="Times New Roman" w:hAnsi="Times New Roman"/>
          <w:color w:val="000000"/>
          <w:sz w:val="24"/>
          <w:szCs w:val="24"/>
          <w:lang w:eastAsia="hr-HR"/>
        </w:rPr>
        <w:t xml:space="preserve"> kaznit će se i odgovorna osoba u pravnoj osobi koja počini prekršaj iz stavka 1. ovoga članka.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Novčanom kaznom u iznosu od </w:t>
      </w:r>
      <w:r>
        <w:rPr>
          <w:rFonts w:eastAsia="Times New Roman" w:cs="Times New Roman" w:ascii="Times New Roman" w:hAnsi="Times New Roman"/>
          <w:color w:val="000000"/>
          <w:kern w:val="0"/>
          <w:sz w:val="24"/>
          <w:szCs w:val="24"/>
          <w:lang w:val="hr-HR" w:eastAsia="hr-HR" w:bidi="ar-SA"/>
        </w:rPr>
        <w:t>100,00 eura</w:t>
      </w:r>
      <w:r>
        <w:rPr>
          <w:rFonts w:eastAsia="Times New Roman" w:cs="Times New Roman" w:ascii="Times New Roman" w:hAnsi="Times New Roman"/>
          <w:color w:val="000000"/>
          <w:sz w:val="24"/>
          <w:szCs w:val="24"/>
          <w:lang w:eastAsia="hr-HR"/>
        </w:rPr>
        <w:t xml:space="preserve"> do </w:t>
      </w:r>
      <w:r>
        <w:rPr>
          <w:rFonts w:eastAsia="Times New Roman" w:cs="Times New Roman" w:ascii="Times New Roman" w:hAnsi="Times New Roman"/>
          <w:color w:val="000000"/>
          <w:kern w:val="0"/>
          <w:sz w:val="24"/>
          <w:szCs w:val="24"/>
          <w:lang w:val="hr-HR" w:eastAsia="hr-HR" w:bidi="ar-SA"/>
        </w:rPr>
        <w:t>190,00 eura</w:t>
      </w:r>
      <w:r>
        <w:rPr>
          <w:rFonts w:eastAsia="Times New Roman" w:cs="Times New Roman" w:ascii="Times New Roman" w:hAnsi="Times New Roman"/>
          <w:color w:val="000000"/>
          <w:sz w:val="24"/>
          <w:szCs w:val="24"/>
          <w:lang w:eastAsia="hr-HR"/>
        </w:rPr>
        <w:t xml:space="preserve">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val="false"/>
          <w:bCs w:val="false"/>
          <w:color w:val="000000"/>
          <w:sz w:val="24"/>
          <w:szCs w:val="24"/>
          <w:lang w:eastAsia="hr-HR"/>
        </w:rPr>
        <w:t xml:space="preserve">Novčanom kaznom u iznosu od </w:t>
      </w:r>
      <w:r>
        <w:rPr>
          <w:rFonts w:eastAsia="Times New Roman" w:cs="Times New Roman" w:ascii="Times New Roman" w:hAnsi="Times New Roman"/>
          <w:b w:val="false"/>
          <w:bCs w:val="false"/>
          <w:color w:val="000000"/>
          <w:kern w:val="0"/>
          <w:sz w:val="24"/>
          <w:szCs w:val="24"/>
          <w:lang w:val="hr-HR" w:eastAsia="hr-HR" w:bidi="ar-SA"/>
        </w:rPr>
        <w:t>30,00 eura</w:t>
      </w:r>
      <w:r>
        <w:rPr>
          <w:rFonts w:eastAsia="Times New Roman" w:cs="Times New Roman" w:ascii="Times New Roman" w:hAnsi="Times New Roman"/>
          <w:b w:val="false"/>
          <w:bCs w:val="false"/>
          <w:color w:val="000000"/>
          <w:sz w:val="24"/>
          <w:szCs w:val="24"/>
          <w:lang w:eastAsia="hr-HR"/>
        </w:rPr>
        <w:t xml:space="preserve"> do </w:t>
      </w:r>
      <w:r>
        <w:rPr>
          <w:rFonts w:eastAsia="Times New Roman" w:cs="Times New Roman" w:ascii="Times New Roman" w:hAnsi="Times New Roman"/>
          <w:b w:val="false"/>
          <w:bCs w:val="false"/>
          <w:color w:val="000000"/>
          <w:kern w:val="0"/>
          <w:sz w:val="24"/>
          <w:szCs w:val="24"/>
          <w:lang w:val="hr-HR" w:eastAsia="hr-HR" w:bidi="ar-SA"/>
        </w:rPr>
        <w:t>60,00 eura</w:t>
      </w:r>
      <w:r>
        <w:rPr>
          <w:rFonts w:eastAsia="Times New Roman" w:cs="Times New Roman" w:ascii="Times New Roman" w:hAnsi="Times New Roman"/>
          <w:b w:val="false"/>
          <w:bCs w:val="false"/>
          <w:color w:val="000000"/>
          <w:sz w:val="24"/>
          <w:szCs w:val="24"/>
          <w:lang w:eastAsia="hr-HR"/>
        </w:rPr>
        <w:t xml:space="preserve"> kaznit će se fizička osoba koja počini prekršaj iz stavka 1. točaka 1., 2., 3., 4., 5., 6., 7., 8., 9., 11., 12., 16., 18., 19., 20., 24., 26., 27., 28., 29., 30., 31., 32., 34., 37., 38., 42., 50., 51., 52., 53., 54., 57., 60., 61., 62., 63., 64., 67. i 68. ovoga članka.”</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bCs/>
          <w:color w:val="000000"/>
          <w:sz w:val="24"/>
          <w:szCs w:val="24"/>
          <w:lang w:eastAsia="hr-HR"/>
        </w:rPr>
        <w:t>Članak 5.</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val="false"/>
          <w:bCs w:val="false"/>
          <w:color w:val="000000"/>
          <w:sz w:val="24"/>
          <w:szCs w:val="24"/>
          <w:lang w:eastAsia="hr-HR"/>
        </w:rPr>
        <w:t>Mijenja se članak 125. na način da glasi:</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w:t>
      </w:r>
      <w:r>
        <w:rPr>
          <w:rFonts w:eastAsia="Times New Roman" w:cs="Times New Roman" w:ascii="Times New Roman" w:hAnsi="Times New Roman"/>
          <w:color w:val="000000"/>
          <w:sz w:val="24"/>
          <w:szCs w:val="20"/>
          <w:lang w:eastAsia="hr-HR"/>
        </w:rPr>
        <w:t xml:space="preserve">Novčanom kaznom u iznosu od </w:t>
      </w:r>
      <w:r>
        <w:rPr>
          <w:rFonts w:eastAsia="Times New Roman" w:cs="Times New Roman" w:ascii="Times New Roman" w:hAnsi="Times New Roman"/>
          <w:color w:val="000000"/>
          <w:kern w:val="0"/>
          <w:sz w:val="24"/>
          <w:szCs w:val="20"/>
          <w:lang w:val="hr-HR" w:eastAsia="hr-HR" w:bidi="ar-SA"/>
        </w:rPr>
        <w:t xml:space="preserve">130,00 eura </w:t>
      </w:r>
      <w:r>
        <w:rPr>
          <w:rFonts w:eastAsia="Times New Roman" w:cs="Times New Roman" w:ascii="Times New Roman" w:hAnsi="Times New Roman"/>
          <w:color w:val="000000"/>
          <w:sz w:val="24"/>
          <w:szCs w:val="20"/>
          <w:lang w:eastAsia="hr-HR"/>
        </w:rPr>
        <w:t xml:space="preserve">do </w:t>
      </w:r>
      <w:r>
        <w:rPr>
          <w:rFonts w:eastAsia="Times New Roman" w:cs="Times New Roman" w:ascii="Times New Roman" w:hAnsi="Times New Roman"/>
          <w:color w:val="000000"/>
          <w:kern w:val="0"/>
          <w:sz w:val="24"/>
          <w:szCs w:val="20"/>
          <w:lang w:val="hr-HR" w:eastAsia="hr-HR" w:bidi="ar-SA"/>
        </w:rPr>
        <w:t>190,00 eura</w:t>
      </w:r>
      <w:r>
        <w:rPr>
          <w:rFonts w:eastAsia="Times New Roman" w:cs="Times New Roman" w:ascii="Times New Roman" w:hAnsi="Times New Roman"/>
          <w:color w:val="000000"/>
          <w:sz w:val="24"/>
          <w:szCs w:val="20"/>
          <w:lang w:eastAsia="hr-HR"/>
        </w:rPr>
        <w:t xml:space="preserve"> kaznit će se za prekršaj pravna osoba ako:</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postavi klimatizacijski uređaj, antenu ili drugi predmet suprotno pravilniku iz članka 6. stavka 2. ove odluke:</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drži bilo koju vrstu otpada i dotrajale stvari u dvorištu odnosno vrtu, voćnjaku, na zelenoj i drugoj površini zgrade te na neizgrađenom zemljištu uz javnu površinu (članak 8. stavak 2.);</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čisti i ne održava dvorište odnosno vrt, voćnjak, zelenu i drugu površinu zgrade te neizgrađeno zemljište uz javnu površinu (članak 8. stavak 3.);</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postavi pločicu s kućnim brojem zgrade bez rješenja ili suprotno rješenju iz članka 14. ove odluke;</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postavi na zgradu pločicu s kućnim brojem zgrade sukladno posebnim propisima i pravilniku iz članka 13. stavka 4. ove odluke ili ne zamijeni pločicu s kućnim brojem zgrade koja izgledom i veličinom nije sukladna pravilniku iz članka 13. stavku 4. ove odluke novom pločicom ili ne postavi na zgradu pločicu s kućnim brojem najkasnije do početka njezina korištenja ili ne vodi brigu o tome da zgrada bude stalno obilježena brojem (članak 15.);</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drži izlog poslovnog prostora neurednim i nečistim ili ako u izlogu drži ambalažu ili skladišti robu te izlaže robu izvan poslovnog prostora (članak 17. stavci 1. i 3.);</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rasvjetljuje izlog noću ili rasvjetljenjem izloga izravno obasjava prometnu površinu (članak 17. stavci 4. i 5.);</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prekrije uredno izlog poslovnog prostora koji se ne koristi neprozirnim materijalom, odnosno onemogući uvid u unutrašnjost poslovnog prostora (članak 18. stavak 1.);</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ploču s tvrtkom, nazivom i natpisom čistom i čitkom (članak 22. stavak 5.);</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objekte u općoj uporabi urednima, čistima i u stanju funkcionalne ispravnosti ili ne otkloni oštećenja i kvarove u najkraćem roku a najkasnije u roku od 10 dana od nastanka oštećenja ili kvara (članak 46. stavci 1. i 2.);</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javne telefonske govornice i poštanske sandučiće (članak 50.);</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urednima, čistima i funkcionalno ispravnima autobusna stajališta (članak 59.);</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čistima i urednima otvorene tržnice i sajmišta, ne osigura ispravnost i čistoću opreme i uređaja, urednost nasada te ne postavlja odgovarajuću opremu za odlaganje otpada (članak 61.);</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čistima i urednima groblja na području Grada (članak 65. stavak 1.);</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obavijesti komunalno redarstvo u roku od 24 sata nakon završetka radova i uklanjanja opreme da mu zauzeta površina više nije potrebna (članak 74. stavak 1.);</w:t>
      </w:r>
    </w:p>
    <w:p>
      <w:pPr>
        <w:pStyle w:val="Normal"/>
        <w:numPr>
          <w:ilvl w:val="0"/>
          <w:numId w:val="2"/>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ukloni snijeg i led s javnih površina i nogostupa (članak 105. stavak 1.).</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b w:val="false"/>
          <w:bCs w:val="false"/>
          <w:color w:val="000000"/>
          <w:sz w:val="24"/>
          <w:szCs w:val="20"/>
          <w:lang w:eastAsia="hr-HR"/>
        </w:rPr>
        <w:t xml:space="preserve">Novčanom kaznom u iznosu od </w:t>
      </w:r>
      <w:r>
        <w:rPr>
          <w:rFonts w:eastAsia="Times New Roman" w:cs="Times New Roman" w:ascii="Times New Roman" w:hAnsi="Times New Roman"/>
          <w:b w:val="false"/>
          <w:bCs w:val="false"/>
          <w:color w:val="000000"/>
          <w:kern w:val="0"/>
          <w:sz w:val="24"/>
          <w:szCs w:val="20"/>
          <w:lang w:val="hr-HR" w:eastAsia="hr-HR" w:bidi="ar-SA"/>
        </w:rPr>
        <w:t>60,00 eura</w:t>
      </w:r>
      <w:r>
        <w:rPr>
          <w:rFonts w:eastAsia="Times New Roman" w:cs="Times New Roman" w:ascii="Times New Roman" w:hAnsi="Times New Roman"/>
          <w:b w:val="false"/>
          <w:bCs w:val="false"/>
          <w:color w:val="000000"/>
          <w:sz w:val="24"/>
          <w:szCs w:val="20"/>
          <w:lang w:eastAsia="hr-HR"/>
        </w:rPr>
        <w:t xml:space="preserve"> do </w:t>
      </w:r>
      <w:r>
        <w:rPr>
          <w:rFonts w:eastAsia="Times New Roman" w:cs="Times New Roman" w:ascii="Times New Roman" w:hAnsi="Times New Roman"/>
          <w:b w:val="false"/>
          <w:bCs w:val="false"/>
          <w:color w:val="000000"/>
          <w:kern w:val="0"/>
          <w:sz w:val="24"/>
          <w:szCs w:val="20"/>
          <w:lang w:val="hr-HR" w:eastAsia="hr-HR" w:bidi="ar-SA"/>
        </w:rPr>
        <w:t>130,00 eura</w:t>
      </w:r>
      <w:r>
        <w:rPr>
          <w:rFonts w:eastAsia="Times New Roman" w:cs="Times New Roman" w:ascii="Times New Roman" w:hAnsi="Times New Roman"/>
          <w:b w:val="false"/>
          <w:bCs w:val="false"/>
          <w:color w:val="000000"/>
          <w:sz w:val="24"/>
          <w:szCs w:val="20"/>
          <w:lang w:eastAsia="hr-HR"/>
        </w:rPr>
        <w:t xml:space="preserve"> kaznit će se i odgovorna osoba u pravnoj osobi koja počini prekršaj iz stavka 1. ovoga članka.</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b w:val="false"/>
          <w:bCs w:val="false"/>
          <w:color w:val="000000"/>
          <w:sz w:val="24"/>
          <w:szCs w:val="20"/>
          <w:lang w:eastAsia="hr-HR"/>
        </w:rPr>
        <w:t xml:space="preserve">Novčanom kaznom u iznosu od </w:t>
      </w:r>
      <w:r>
        <w:rPr>
          <w:rFonts w:eastAsia="Times New Roman" w:cs="Times New Roman" w:ascii="Times New Roman" w:hAnsi="Times New Roman"/>
          <w:b w:val="false"/>
          <w:bCs w:val="false"/>
          <w:color w:val="000000"/>
          <w:kern w:val="0"/>
          <w:sz w:val="24"/>
          <w:szCs w:val="20"/>
          <w:lang w:val="hr-HR" w:eastAsia="hr-HR" w:bidi="ar-SA"/>
        </w:rPr>
        <w:t xml:space="preserve">70,00 eura </w:t>
      </w:r>
      <w:r>
        <w:rPr>
          <w:rFonts w:eastAsia="Times New Roman" w:cs="Times New Roman" w:ascii="Times New Roman" w:hAnsi="Times New Roman"/>
          <w:b w:val="false"/>
          <w:bCs w:val="false"/>
          <w:color w:val="000000"/>
          <w:sz w:val="24"/>
          <w:szCs w:val="20"/>
          <w:lang w:eastAsia="hr-HR"/>
        </w:rPr>
        <w:t xml:space="preserve">do </w:t>
      </w:r>
      <w:r>
        <w:rPr>
          <w:rFonts w:eastAsia="Times New Roman" w:cs="Times New Roman" w:ascii="Times New Roman" w:hAnsi="Times New Roman"/>
          <w:b w:val="false"/>
          <w:bCs w:val="false"/>
          <w:color w:val="000000"/>
          <w:kern w:val="0"/>
          <w:sz w:val="24"/>
          <w:szCs w:val="20"/>
          <w:lang w:val="hr-HR" w:eastAsia="hr-HR" w:bidi="ar-SA"/>
        </w:rPr>
        <w:t>130,00 eura</w:t>
      </w:r>
      <w:r>
        <w:rPr>
          <w:rFonts w:eastAsia="Times New Roman" w:cs="Times New Roman" w:ascii="Times New Roman" w:hAnsi="Times New Roman"/>
          <w:b w:val="false"/>
          <w:bCs w:val="false"/>
          <w:color w:val="000000"/>
          <w:sz w:val="24"/>
          <w:szCs w:val="20"/>
          <w:lang w:eastAsia="hr-HR"/>
        </w:rPr>
        <w:t xml:space="preserve">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b w:val="false"/>
          <w:bCs w:val="false"/>
          <w:color w:val="000000"/>
          <w:sz w:val="24"/>
          <w:szCs w:val="20"/>
          <w:lang w:eastAsia="hr-HR"/>
        </w:rPr>
        <w:t xml:space="preserve">Novčanom kaznom u iznosu od </w:t>
      </w:r>
      <w:r>
        <w:rPr>
          <w:rFonts w:eastAsia="Times New Roman" w:cs="Times New Roman" w:ascii="Times New Roman" w:hAnsi="Times New Roman"/>
          <w:b w:val="false"/>
          <w:bCs w:val="false"/>
          <w:color w:val="000000"/>
          <w:kern w:val="0"/>
          <w:sz w:val="24"/>
          <w:szCs w:val="20"/>
          <w:lang w:val="hr-HR" w:eastAsia="hr-HR" w:bidi="ar-SA"/>
        </w:rPr>
        <w:t>30,00 eura</w:t>
      </w:r>
      <w:r>
        <w:rPr>
          <w:rFonts w:eastAsia="Times New Roman" w:cs="Times New Roman" w:ascii="Times New Roman" w:hAnsi="Times New Roman"/>
          <w:b w:val="false"/>
          <w:bCs w:val="false"/>
          <w:color w:val="000000"/>
          <w:sz w:val="24"/>
          <w:szCs w:val="20"/>
          <w:lang w:eastAsia="hr-HR"/>
        </w:rPr>
        <w:t xml:space="preserve"> kaznit će se fizička osoba koja počini prekršaj iz stavka l.”</w:t>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6.</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val="false"/>
          <w:bCs w:val="false"/>
          <w:color w:val="000000"/>
          <w:kern w:val="0"/>
          <w:sz w:val="24"/>
          <w:szCs w:val="24"/>
          <w:lang w:val="hr-HR" w:eastAsia="hr-HR" w:bidi="ar-SA"/>
        </w:rPr>
        <w:t>Briše</w:t>
      </w:r>
      <w:r>
        <w:rPr>
          <w:rFonts w:eastAsia="Times New Roman" w:cs="Times New Roman" w:ascii="Times New Roman" w:hAnsi="Times New Roman"/>
          <w:b w:val="false"/>
          <w:bCs w:val="false"/>
          <w:color w:val="000000"/>
          <w:sz w:val="24"/>
          <w:szCs w:val="24"/>
          <w:lang w:eastAsia="hr-HR"/>
        </w:rPr>
        <w:t xml:space="preserve"> se članak 126. </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0"/>
          <w:lang w:eastAsia="hr-HR"/>
        </w:rPr>
      </w:pPr>
      <w:r>
        <w:rPr>
          <w:rFonts w:eastAsia="Times New Roman" w:cs="Times New Roman" w:ascii="Times New Roman" w:hAnsi="Times New Roman"/>
          <w:color w:val="000000"/>
          <w:sz w:val="24"/>
          <w:szCs w:val="20"/>
          <w:lang w:eastAsia="hr-HR"/>
        </w:rPr>
      </w:r>
    </w:p>
    <w:p>
      <w:pPr>
        <w:pStyle w:val="Normal"/>
        <w:spacing w:lineRule="auto" w:line="240" w:before="0" w:after="0"/>
        <w:ind w:hanging="0"/>
        <w:jc w:val="center"/>
        <w:rPr>
          <w:rFonts w:ascii="Times New Roman" w:hAnsi="Times New Roman" w:eastAsia="Times New Roman" w:cs="Times New Roman"/>
          <w:color w:val="000000"/>
          <w:sz w:val="24"/>
          <w:szCs w:val="20"/>
          <w:lang w:eastAsia="hr-HR"/>
        </w:rPr>
      </w:pPr>
      <w:r>
        <w:rPr>
          <w:rFonts w:eastAsia="Times New Roman" w:cs="Times New Roman" w:ascii="Times New Roman" w:hAnsi="Times New Roman"/>
          <w:b/>
          <w:color w:val="000000"/>
          <w:sz w:val="24"/>
          <w:szCs w:val="20"/>
          <w:lang w:eastAsia="hr-HR"/>
        </w:rPr>
        <w:t>Članak 7.</w:t>
      </w:r>
    </w:p>
    <w:p>
      <w:pPr>
        <w:pStyle w:val="Normal"/>
        <w:spacing w:lineRule="auto" w:line="240" w:before="0" w:after="0"/>
        <w:ind w:hanging="0"/>
        <w:jc w:val="center"/>
        <w:rPr>
          <w:rFonts w:ascii="Times New Roman" w:hAnsi="Times New Roman" w:eastAsia="Times New Roman" w:cs="Times New Roman"/>
          <w:color w:val="000000"/>
          <w:sz w:val="24"/>
          <w:szCs w:val="20"/>
          <w:lang w:eastAsia="hr-HR"/>
        </w:rPr>
      </w:pPr>
      <w:r>
        <w:rPr>
          <w:rFonts w:eastAsia="Times New Roman" w:cs="Times New Roman" w:ascii="Times New Roman" w:hAnsi="Times New Roman"/>
          <w:color w:val="000000"/>
          <w:sz w:val="24"/>
          <w:szCs w:val="20"/>
          <w:lang w:eastAsia="hr-HR"/>
        </w:rPr>
      </w:r>
    </w:p>
    <w:p>
      <w:pPr>
        <w:pStyle w:val="Normal"/>
        <w:spacing w:lineRule="auto" w:line="240" w:before="0" w:after="0"/>
        <w:ind w:hanging="0"/>
        <w:jc w:val="both"/>
        <w:rPr>
          <w:rFonts w:ascii="Times New Roman" w:hAnsi="Times New Roman" w:eastAsia="Times New Roman" w:cs="Times New Roman"/>
          <w:color w:val="000000"/>
          <w:sz w:val="24"/>
          <w:szCs w:val="20"/>
          <w:lang w:eastAsia="hr-HR"/>
        </w:rPr>
      </w:pPr>
      <w:r>
        <w:rPr>
          <w:rFonts w:eastAsia="Times New Roman" w:cs="Times New Roman" w:ascii="Times New Roman" w:hAnsi="Times New Roman"/>
          <w:b w:val="false"/>
          <w:bCs w:val="false"/>
          <w:color w:val="000000"/>
          <w:sz w:val="24"/>
          <w:szCs w:val="20"/>
          <w:lang w:eastAsia="hr-HR"/>
        </w:rPr>
        <w:tab/>
        <w:t xml:space="preserve">Ove izmjene </w:t>
      </w:r>
      <w:r>
        <w:rPr>
          <w:rFonts w:eastAsia="Times New Roman" w:cs="Times New Roman" w:ascii="Times New Roman" w:hAnsi="Times New Roman"/>
          <w:b w:val="false"/>
          <w:bCs w:val="false"/>
          <w:color w:val="000000"/>
          <w:kern w:val="0"/>
          <w:sz w:val="24"/>
          <w:szCs w:val="20"/>
          <w:lang w:val="hr-HR" w:eastAsia="hr-HR" w:bidi="ar-SA"/>
        </w:rPr>
        <w:t>i dopune Odluke o komunalnom redu</w:t>
      </w:r>
      <w:r>
        <w:rPr>
          <w:rFonts w:eastAsia="Times New Roman" w:cs="Times New Roman" w:ascii="Times New Roman" w:hAnsi="Times New Roman"/>
          <w:b w:val="false"/>
          <w:bCs w:val="false"/>
          <w:color w:val="000000"/>
          <w:sz w:val="24"/>
          <w:szCs w:val="20"/>
          <w:lang w:eastAsia="hr-HR"/>
        </w:rPr>
        <w:t xml:space="preserve"> stupaju na snagu na dan uvođenja eura kao službene valute u Republici Hrvatskoj i biti će objavljene u Službenim novinama Grada Buja-Buie.</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76" w:before="0" w:after="0"/>
        <w:jc w:val="both"/>
        <w:rPr>
          <w:rFonts w:ascii="Calibri" w:hAnsi="Calibri" w:eastAsia="Calibri" w:cs="Calibri"/>
        </w:rPr>
      </w:pPr>
      <w:r>
        <w:rPr>
          <w:rFonts w:eastAsia="Calibri" w:cs="Times New Roman" w:ascii="Times New Roman" w:hAnsi="Times New Roman"/>
          <w:sz w:val="24"/>
          <w:szCs w:val="24"/>
        </w:rPr>
        <w:t>Klasa: 363-01/19-01/02</w:t>
      </w:r>
    </w:p>
    <w:p>
      <w:pPr>
        <w:pStyle w:val="Normal"/>
        <w:spacing w:lineRule="auto" w:line="276" w:before="0" w:after="0"/>
        <w:jc w:val="both"/>
        <w:rPr>
          <w:rFonts w:ascii="Calibri" w:hAnsi="Calibri" w:eastAsia="Calibri" w:cs="Calibri"/>
        </w:rPr>
      </w:pPr>
      <w:r>
        <w:rPr>
          <w:rFonts w:eastAsia="Calibri" w:cs="Times New Roman" w:ascii="Times New Roman" w:hAnsi="Times New Roman"/>
          <w:sz w:val="24"/>
          <w:szCs w:val="24"/>
        </w:rPr>
        <w:t>Urbroj: 2163-02-05/02-22-5</w:t>
      </w:r>
    </w:p>
    <w:p>
      <w:pPr>
        <w:pStyle w:val="Normal"/>
        <w:spacing w:lineRule="auto" w:line="276" w:before="0" w:after="0"/>
        <w:jc w:val="both"/>
        <w:rPr>
          <w:rFonts w:ascii="Calibri" w:hAnsi="Calibri" w:eastAsia="Calibri" w:cs="Calibri"/>
        </w:rPr>
      </w:pPr>
      <w:r>
        <w:rPr>
          <w:rFonts w:eastAsia="Calibri" w:cs="Times New Roman" w:ascii="Times New Roman" w:hAnsi="Times New Roman"/>
          <w:sz w:val="24"/>
          <w:szCs w:val="24"/>
        </w:rPr>
        <w:t>Buje-Buie, 07.12.2022.</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GRADSKO VIJEĆE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Predsjednik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b w:val="false"/>
          <w:bCs w:val="false"/>
          <w:color w:val="000000"/>
          <w:sz w:val="24"/>
          <w:szCs w:val="24"/>
          <w:lang w:eastAsia="hr-HR"/>
        </w:rPr>
        <w:t>Franko Gergorić</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35" w:leader="none"/>
      </w:tabs>
      <w:spacing w:lineRule="auto" w:line="240" w:before="0" w:after="0"/>
      <w:rPr>
        <w:rFonts w:ascii="Arial" w:hAnsi="Arial" w:cs="Arial"/>
        <w:b/>
        <w:b/>
        <w:sz w:val="18"/>
        <w:szCs w:val="18"/>
        <w:lang w:val="pl-PL"/>
      </w:rPr>
    </w:pPr>
    <w:r>
      <w:rPr>
        <w:rFonts w:cs="Arial" w:ascii="Arial" w:hAnsi="Arial"/>
        <w:b/>
        <w:sz w:val="18"/>
        <w:szCs w:val="18"/>
        <w:lang w:val="pl-P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40" w:before="0" w:after="0"/>
      <w:jc w:val="center"/>
      <w:rPr>
        <w:rFonts w:ascii="Times New Roman" w:hAnsi="Times New Roman"/>
        <w:color w:val="365F91"/>
        <w:sz w:val="24"/>
        <w:szCs w:val="24"/>
        <w:lang w:eastAsia="hr-HR"/>
      </w:rPr>
    </w:pPr>
    <w:r>
      <w:rPr>
        <w:rFonts w:ascii="Times New Roman" w:hAnsi="Times New Roman"/>
        <w:color w:val="365F91"/>
        <w:sz w:val="24"/>
        <w:szCs w:val="24"/>
        <w:lang w:eastAsia="hr-H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713" w:hanging="10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decimal"/>
      <w:lvlText w:val="%1."/>
      <w:lvlJc w:val="left"/>
      <w:pPr>
        <w:ind w:left="1743" w:hanging="1035"/>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202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3">
    <w:name w:val="Heading 3"/>
    <w:basedOn w:val="Normal"/>
    <w:next w:val="Tijeloteksta"/>
    <w:link w:val="Naslov3Char"/>
    <w:qFormat/>
    <w:rsid w:val="00f448a1"/>
    <w:pPr>
      <w:keepNext w:val="true"/>
      <w:spacing w:lineRule="auto" w:line="276" w:before="140" w:after="120"/>
      <w:outlineLvl w:val="2"/>
    </w:pPr>
    <w:rPr>
      <w:rFonts w:ascii="Liberation Serif" w:hAnsi="Liberation Serif" w:eastAsia="Segoe UI" w:cs="Tahoma"/>
      <w:b/>
      <w:bCs/>
      <w:sz w:val="28"/>
      <w:szCs w:val="28"/>
    </w:rPr>
  </w:style>
  <w:style w:type="paragraph" w:styleId="Stilnaslova4">
    <w:name w:val="Heading 4"/>
    <w:basedOn w:val="Normal"/>
    <w:next w:val="Tijeloteksta"/>
    <w:link w:val="Naslov4Char"/>
    <w:qFormat/>
    <w:rsid w:val="00f448a1"/>
    <w:pPr>
      <w:spacing w:lineRule="auto" w:line="276" w:before="280" w:after="280"/>
      <w:outlineLvl w:val="3"/>
    </w:pPr>
    <w:rPr>
      <w:b/>
      <w:bCs/>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b80d71"/>
    <w:rPr>
      <w:rFonts w:ascii="Segoe UI" w:hAnsi="Segoe UI" w:cs="Segoe UI"/>
      <w:sz w:val="18"/>
      <w:szCs w:val="18"/>
    </w:rPr>
  </w:style>
  <w:style w:type="character" w:styleId="ZaglavljeChar" w:customStyle="1">
    <w:name w:val="Zaglavlje Char"/>
    <w:basedOn w:val="DefaultParagraphFont"/>
    <w:link w:val="Zaglavlje"/>
    <w:uiPriority w:val="99"/>
    <w:qFormat/>
    <w:rsid w:val="00b80d71"/>
    <w:rPr/>
  </w:style>
  <w:style w:type="character" w:styleId="PodnojeChar" w:customStyle="1">
    <w:name w:val="Podnožje Char"/>
    <w:basedOn w:val="DefaultParagraphFont"/>
    <w:link w:val="Podnoje"/>
    <w:uiPriority w:val="99"/>
    <w:qFormat/>
    <w:rsid w:val="00b80d71"/>
    <w:rPr/>
  </w:style>
  <w:style w:type="character" w:styleId="Naslov3Char" w:customStyle="1">
    <w:name w:val="Naslov 3 Char"/>
    <w:basedOn w:val="DefaultParagraphFont"/>
    <w:link w:val="Naslov3"/>
    <w:qFormat/>
    <w:rsid w:val="00f448a1"/>
    <w:rPr>
      <w:rFonts w:ascii="Liberation Serif" w:hAnsi="Liberation Serif" w:eastAsia="Segoe UI" w:cs="Tahoma"/>
      <w:b/>
      <w:bCs/>
      <w:sz w:val="28"/>
      <w:szCs w:val="28"/>
    </w:rPr>
  </w:style>
  <w:style w:type="character" w:styleId="Naslov4Char" w:customStyle="1">
    <w:name w:val="Naslov 4 Char"/>
    <w:basedOn w:val="DefaultParagraphFont"/>
    <w:link w:val="Naslov4"/>
    <w:qFormat/>
    <w:rsid w:val="00f448a1"/>
    <w:rPr>
      <w:b/>
      <w:bCs/>
    </w:rPr>
  </w:style>
  <w:style w:type="character" w:styleId="TijelotekstaChar" w:customStyle="1">
    <w:name w:val="Tijelo teksta Char"/>
    <w:basedOn w:val="DefaultParagraphFont"/>
    <w:link w:val="Tijeloteksta"/>
    <w:semiHidden/>
    <w:qFormat/>
    <w:locked/>
    <w:rsid w:val="00f448a1"/>
    <w:rPr>
      <w:i/>
      <w:iCs/>
      <w:sz w:val="24"/>
      <w:szCs w:val="24"/>
      <w:lang w:val="en-US"/>
    </w:rPr>
  </w:style>
  <w:style w:type="character" w:styleId="BodyTextChar1" w:customStyle="1">
    <w:name w:val="Body Text Char1"/>
    <w:basedOn w:val="DefaultParagraphFont"/>
    <w:uiPriority w:val="99"/>
    <w:semiHidden/>
    <w:qFormat/>
    <w:rsid w:val="00f448a1"/>
    <w:rPr/>
  </w:style>
  <w:style w:type="character" w:styleId="Internetskapoveznica" w:customStyle="1">
    <w:name w:val="Internetska poveznica"/>
    <w:basedOn w:val="DefaultParagraphFont"/>
    <w:rsid w:val="00f448a1"/>
    <w:rPr>
      <w:color w:val="0000FF"/>
      <w:u w:val="single"/>
    </w:rPr>
  </w:style>
  <w:style w:type="character" w:styleId="Pagenumber">
    <w:name w:val="page number"/>
    <w:basedOn w:val="DefaultParagraphFont"/>
    <w:qFormat/>
    <w:rsid w:val="00f448a1"/>
    <w:rPr/>
  </w:style>
  <w:style w:type="character" w:styleId="WW8Num5z2" w:customStyle="1">
    <w:name w:val="WW8Num5z2"/>
    <w:qFormat/>
    <w:rsid w:val="00f448a1"/>
    <w:rPr>
      <w:rFonts w:ascii="Wingdings" w:hAnsi="Wingdings" w:cs="Wingdings"/>
    </w:rPr>
  </w:style>
  <w:style w:type="character" w:styleId="WW8Num5z1" w:customStyle="1">
    <w:name w:val="WW8Num5z1"/>
    <w:qFormat/>
    <w:rsid w:val="00f448a1"/>
    <w:rPr>
      <w:rFonts w:ascii="Courier New" w:hAnsi="Courier New" w:cs="Courier New"/>
    </w:rPr>
  </w:style>
  <w:style w:type="character" w:styleId="WW8Num5z0" w:customStyle="1">
    <w:name w:val="WW8Num5z0"/>
    <w:qFormat/>
    <w:rsid w:val="00f448a1"/>
    <w:rPr>
      <w:rFonts w:ascii="Symbol" w:hAnsi="Symbol" w:cs="Symbol"/>
    </w:rPr>
  </w:style>
  <w:style w:type="character" w:styleId="WW8Num4z8" w:customStyle="1">
    <w:name w:val="WW8Num4z8"/>
    <w:qFormat/>
    <w:rsid w:val="00f448a1"/>
    <w:rPr/>
  </w:style>
  <w:style w:type="character" w:styleId="WW8Num4z7" w:customStyle="1">
    <w:name w:val="WW8Num4z7"/>
    <w:qFormat/>
    <w:rsid w:val="00f448a1"/>
    <w:rPr/>
  </w:style>
  <w:style w:type="character" w:styleId="WW8Num4z6" w:customStyle="1">
    <w:name w:val="WW8Num4z6"/>
    <w:qFormat/>
    <w:rsid w:val="00f448a1"/>
    <w:rPr/>
  </w:style>
  <w:style w:type="character" w:styleId="WW8Num4z5" w:customStyle="1">
    <w:name w:val="WW8Num4z5"/>
    <w:qFormat/>
    <w:rsid w:val="00f448a1"/>
    <w:rPr/>
  </w:style>
  <w:style w:type="character" w:styleId="WW8Num4z4" w:customStyle="1">
    <w:name w:val="WW8Num4z4"/>
    <w:qFormat/>
    <w:rsid w:val="00f448a1"/>
    <w:rPr/>
  </w:style>
  <w:style w:type="character" w:styleId="WW8Num4z3" w:customStyle="1">
    <w:name w:val="WW8Num4z3"/>
    <w:qFormat/>
    <w:rsid w:val="00f448a1"/>
    <w:rPr/>
  </w:style>
  <w:style w:type="character" w:styleId="WW8Num4z2" w:customStyle="1">
    <w:name w:val="WW8Num4z2"/>
    <w:qFormat/>
    <w:rsid w:val="00f448a1"/>
    <w:rPr/>
  </w:style>
  <w:style w:type="character" w:styleId="WW8Num4z1" w:customStyle="1">
    <w:name w:val="WW8Num4z1"/>
    <w:qFormat/>
    <w:rsid w:val="00f448a1"/>
    <w:rPr/>
  </w:style>
  <w:style w:type="character" w:styleId="WW8Num4z0" w:customStyle="1">
    <w:name w:val="WW8Num4z0"/>
    <w:qFormat/>
    <w:rsid w:val="00f448a1"/>
    <w:rPr/>
  </w:style>
  <w:style w:type="character" w:styleId="WW8Num3z5" w:customStyle="1">
    <w:name w:val="WW8Num3z5"/>
    <w:qFormat/>
    <w:rsid w:val="00f448a1"/>
    <w:rPr>
      <w:rFonts w:ascii="Wingdings" w:hAnsi="Wingdings" w:cs="Wingdings"/>
    </w:rPr>
  </w:style>
  <w:style w:type="character" w:styleId="WW8Num3z4" w:customStyle="1">
    <w:name w:val="WW8Num3z4"/>
    <w:qFormat/>
    <w:rsid w:val="00f448a1"/>
    <w:rPr>
      <w:rFonts w:ascii="Courier New" w:hAnsi="Courier New" w:cs="Courier New"/>
    </w:rPr>
  </w:style>
  <w:style w:type="character" w:styleId="WW8Num3z1" w:customStyle="1">
    <w:name w:val="WW8Num3z1"/>
    <w:qFormat/>
    <w:rsid w:val="00f448a1"/>
    <w:rPr>
      <w:rFonts w:ascii="Times New Roman" w:hAnsi="Times New Roman" w:eastAsia="Times New Roman" w:cs="Times New Roman"/>
    </w:rPr>
  </w:style>
  <w:style w:type="character" w:styleId="WW8Num3z0" w:customStyle="1">
    <w:name w:val="WW8Num3z0"/>
    <w:qFormat/>
    <w:rsid w:val="00f448a1"/>
    <w:rPr>
      <w:rFonts w:ascii="Symbol" w:hAnsi="Symbol" w:cs="Symbol"/>
    </w:rPr>
  </w:style>
  <w:style w:type="character" w:styleId="WW8Num2z3" w:customStyle="1">
    <w:name w:val="WW8Num2z3"/>
    <w:qFormat/>
    <w:rsid w:val="00f448a1"/>
    <w:rPr>
      <w:rFonts w:ascii="Symbol" w:hAnsi="Symbol" w:cs="Symbol"/>
    </w:rPr>
  </w:style>
  <w:style w:type="character" w:styleId="WW8Num2z2" w:customStyle="1">
    <w:name w:val="WW8Num2z2"/>
    <w:qFormat/>
    <w:rsid w:val="00f448a1"/>
    <w:rPr>
      <w:rFonts w:ascii="Wingdings" w:hAnsi="Wingdings" w:cs="Wingdings"/>
    </w:rPr>
  </w:style>
  <w:style w:type="character" w:styleId="WW8Num2z1" w:customStyle="1">
    <w:name w:val="WW8Num2z1"/>
    <w:qFormat/>
    <w:rsid w:val="00f448a1"/>
    <w:rPr>
      <w:rFonts w:ascii="Courier New" w:hAnsi="Courier New" w:cs="Courier New"/>
    </w:rPr>
  </w:style>
  <w:style w:type="character" w:styleId="WW8Num2z0" w:customStyle="1">
    <w:name w:val="WW8Num2z0"/>
    <w:qFormat/>
    <w:rsid w:val="00f448a1"/>
    <w:rPr>
      <w:rFonts w:ascii="Times New Roman" w:hAnsi="Times New Roman" w:eastAsia="Times New Roman" w:cs="Times New Roman"/>
    </w:rPr>
  </w:style>
  <w:style w:type="character" w:styleId="WW8Num1z4" w:customStyle="1">
    <w:name w:val="WW8Num1z4"/>
    <w:qFormat/>
    <w:rsid w:val="00f448a1"/>
    <w:rPr>
      <w:rFonts w:ascii="Courier New" w:hAnsi="Courier New" w:cs="Courier New"/>
    </w:rPr>
  </w:style>
  <w:style w:type="character" w:styleId="WW8Num1z2" w:customStyle="1">
    <w:name w:val="WW8Num1z2"/>
    <w:qFormat/>
    <w:rsid w:val="00f448a1"/>
    <w:rPr>
      <w:rFonts w:ascii="Wingdings" w:hAnsi="Wingdings" w:cs="Wingdings"/>
    </w:rPr>
  </w:style>
  <w:style w:type="character" w:styleId="WW8Num1z1" w:customStyle="1">
    <w:name w:val="WW8Num1z1"/>
    <w:qFormat/>
    <w:rsid w:val="00f448a1"/>
    <w:rPr>
      <w:rFonts w:ascii="Symbol" w:hAnsi="Symbol" w:cs="Symbol"/>
    </w:rPr>
  </w:style>
  <w:style w:type="character" w:styleId="WW8Num1z0" w:customStyle="1">
    <w:name w:val="WW8Num1z0"/>
    <w:qFormat/>
    <w:rsid w:val="00f448a1"/>
    <w:rPr>
      <w:rFonts w:ascii="Times New Roman" w:hAnsi="Times New Roman" w:eastAsia="Times New Roman" w:cs="Times New Roman"/>
    </w:rPr>
  </w:style>
  <w:style w:type="character" w:styleId="TijelotekstaChar1" w:customStyle="1">
    <w:name w:val="Tijelo teksta Char1"/>
    <w:basedOn w:val="DefaultParagraphFont"/>
    <w:uiPriority w:val="99"/>
    <w:semiHidden/>
    <w:qFormat/>
    <w:rsid w:val="00f448a1"/>
    <w:rPr/>
  </w:style>
  <w:style w:type="paragraph" w:styleId="Stilnaslova" w:customStyle="1">
    <w:name w:val="Stil naslova"/>
    <w:basedOn w:val="Normal"/>
    <w:next w:val="Tijeloteksta"/>
    <w:qFormat/>
    <w:rsid w:val="00f448a1"/>
    <w:pPr>
      <w:keepNext w:val="true"/>
      <w:spacing w:lineRule="auto" w:line="276" w:before="240" w:after="120"/>
    </w:pPr>
    <w:rPr>
      <w:rFonts w:ascii="Liberation Sans" w:hAnsi="Liberation Sans" w:eastAsia="Microsoft YaHei" w:cs="Arial"/>
      <w:sz w:val="28"/>
      <w:szCs w:val="28"/>
    </w:rPr>
  </w:style>
  <w:style w:type="paragraph" w:styleId="Tijeloteksta">
    <w:name w:val="Body Text"/>
    <w:basedOn w:val="Normal"/>
    <w:link w:val="TijelotekstaChar"/>
    <w:semiHidden/>
    <w:unhideWhenUsed/>
    <w:rsid w:val="00f448a1"/>
    <w:pPr>
      <w:spacing w:lineRule="auto" w:line="240" w:before="0" w:after="0"/>
    </w:pPr>
    <w:rPr>
      <w:i/>
      <w:iCs/>
      <w:sz w:val="24"/>
      <w:szCs w:val="24"/>
      <w:lang w:val="en-US"/>
    </w:rPr>
  </w:style>
  <w:style w:type="paragraph" w:styleId="Popis">
    <w:name w:val="List"/>
    <w:basedOn w:val="Tijeloteksta"/>
    <w:rsid w:val="00f448a1"/>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f448a1"/>
    <w:pPr>
      <w:suppressLineNumbers/>
      <w:spacing w:lineRule="auto" w:line="276" w:before="0" w:after="200"/>
    </w:pPr>
    <w:rPr>
      <w:rFonts w:cs="Arial"/>
    </w:rPr>
  </w:style>
  <w:style w:type="paragraph" w:styleId="BalloonText">
    <w:name w:val="Balloon Text"/>
    <w:basedOn w:val="Normal"/>
    <w:link w:val="TekstbaloniaChar"/>
    <w:uiPriority w:val="99"/>
    <w:semiHidden/>
    <w:unhideWhenUsed/>
    <w:qFormat/>
    <w:rsid w:val="00b80d71"/>
    <w:pPr>
      <w:spacing w:lineRule="auto" w:line="240" w:before="0" w:after="0"/>
    </w:pPr>
    <w:rPr>
      <w:rFonts w:ascii="Segoe UI" w:hAnsi="Segoe UI" w:cs="Segoe UI"/>
      <w:sz w:val="18"/>
      <w:szCs w:val="18"/>
    </w:rPr>
  </w:style>
  <w:style w:type="paragraph" w:styleId="Zaglavljeipodnoje">
    <w:name w:val="Zaglavlje i podnožje"/>
    <w:basedOn w:val="Normal"/>
    <w:qFormat/>
    <w:pPr/>
    <w:rPr/>
  </w:style>
  <w:style w:type="paragraph" w:styleId="Zaglavlje">
    <w:name w:val="Header"/>
    <w:basedOn w:val="Normal"/>
    <w:link w:val="ZaglavljeChar"/>
    <w:unhideWhenUsed/>
    <w:rsid w:val="00b80d71"/>
    <w:pPr>
      <w:tabs>
        <w:tab w:val="clear" w:pos="708"/>
        <w:tab w:val="center" w:pos="4536" w:leader="none"/>
        <w:tab w:val="right" w:pos="9072" w:leader="none"/>
      </w:tabs>
      <w:spacing w:lineRule="auto" w:line="240" w:before="0" w:after="0"/>
    </w:pPr>
    <w:rPr/>
  </w:style>
  <w:style w:type="paragraph" w:styleId="Podnoje">
    <w:name w:val="Footer"/>
    <w:basedOn w:val="Normal"/>
    <w:link w:val="PodnojeChar"/>
    <w:unhideWhenUsed/>
    <w:rsid w:val="00b80d71"/>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897786"/>
    <w:pPr>
      <w:spacing w:lineRule="auto" w:line="276" w:before="0" w:after="200"/>
      <w:ind w:left="720" w:hanging="0"/>
      <w:contextualSpacing/>
    </w:pPr>
    <w:rPr/>
  </w:style>
  <w:style w:type="paragraph" w:styleId="Caption">
    <w:name w:val="caption"/>
    <w:basedOn w:val="Normal"/>
    <w:qFormat/>
    <w:rsid w:val="00f448a1"/>
    <w:pPr>
      <w:suppressLineNumbers/>
      <w:spacing w:lineRule="auto" w:line="276" w:before="120" w:after="120"/>
    </w:pPr>
    <w:rPr>
      <w:rFonts w:cs="Arial"/>
      <w:i/>
      <w:iCs/>
      <w:sz w:val="24"/>
      <w:szCs w:val="24"/>
    </w:rPr>
  </w:style>
  <w:style w:type="paragraph" w:styleId="Sadrajitablice" w:customStyle="1">
    <w:name w:val="Sadržaji tablice"/>
    <w:basedOn w:val="Normal"/>
    <w:qFormat/>
    <w:rsid w:val="00f448a1"/>
    <w:pPr>
      <w:suppressLineNumbers/>
      <w:spacing w:lineRule="auto" w:line="276" w:before="0" w:after="200"/>
    </w:pPr>
    <w:rPr/>
  </w:style>
  <w:style w:type="paragraph" w:styleId="Naslovtablice" w:customStyle="1">
    <w:name w:val="Naslov tablice"/>
    <w:basedOn w:val="Sadrajitablice"/>
    <w:qFormat/>
    <w:rsid w:val="00f448a1"/>
    <w:pPr>
      <w:jc w:val="center"/>
    </w:pPr>
    <w:rPr>
      <w:b/>
      <w:bCs/>
    </w:rPr>
  </w:style>
  <w:style w:type="paragraph" w:styleId="Sadrajokvira" w:customStyle="1">
    <w:name w:val="Sadržaj okvira"/>
    <w:basedOn w:val="Normal"/>
    <w:qFormat/>
    <w:rsid w:val="00f448a1"/>
    <w:pPr>
      <w:spacing w:lineRule="auto" w:line="276" w:before="0" w:after="200"/>
    </w:pPr>
    <w:rPr/>
  </w:style>
  <w:style w:type="paragraph" w:styleId="Docline" w:customStyle="1">
    <w:name w:val="doc_line"/>
    <w:basedOn w:val="Normal"/>
    <w:qFormat/>
    <w:rsid w:val="00f448a1"/>
    <w:pPr>
      <w:spacing w:lineRule="auto" w:line="276" w:before="280" w:after="280"/>
    </w:pPr>
    <w:rPr/>
  </w:style>
  <w:style w:type="paragraph" w:styleId="Doc" w:customStyle="1">
    <w:name w:val="doc"/>
    <w:basedOn w:val="Normal"/>
    <w:qFormat/>
    <w:rsid w:val="00f448a1"/>
    <w:pPr>
      <w:spacing w:lineRule="auto" w:line="276" w:before="280" w:after="280"/>
    </w:pPr>
    <w:rPr/>
  </w:style>
  <w:style w:type="paragraph" w:styleId="Default" w:customStyle="1">
    <w:name w:val="Default"/>
    <w:qFormat/>
    <w:rsid w:val="00f448a1"/>
    <w:pPr>
      <w:widowControl/>
      <w:suppressAutoHyphens w:val="true"/>
      <w:bidi w:val="0"/>
      <w:spacing w:lineRule="auto" w:line="240" w:before="0" w:after="0"/>
      <w:jc w:val="left"/>
    </w:pPr>
    <w:rPr>
      <w:rFonts w:ascii="Times New Roman" w:hAnsi="Times New Roman" w:eastAsia="Times New Roman" w:cs="Times New Roman"/>
      <w:color w:val="000000"/>
      <w:kern w:val="2"/>
      <w:sz w:val="24"/>
      <w:szCs w:val="24"/>
      <w:lang w:val="hr-HR" w:eastAsia="zh-CN" w:bidi="ar-SA"/>
    </w:rPr>
  </w:style>
  <w:style w:type="paragraph" w:styleId="Standard" w:customStyle="1">
    <w:name w:val="Standard"/>
    <w:qFormat/>
    <w:rsid w:val="0022010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hr-HR" w:eastAsia="zh-CN" w:bidi="ar-SA"/>
    </w:rPr>
  </w:style>
  <w:style w:type="numbering" w:styleId="NoList" w:default="1">
    <w:name w:val="No List"/>
    <w:uiPriority w:val="99"/>
    <w:semiHidden/>
    <w:unhideWhenUsed/>
    <w:qFormat/>
  </w:style>
  <w:style w:type="numbering" w:styleId="Bezpopisa1" w:customStyle="1">
    <w:name w:val="Bez popisa1"/>
    <w:uiPriority w:val="99"/>
    <w:semiHidden/>
    <w:unhideWhenUsed/>
    <w:qFormat/>
    <w:rsid w:val="00f448a1"/>
  </w:style>
  <w:style w:type="numbering" w:styleId="WW8Num1" w:customStyle="1">
    <w:name w:val="WW8Num1"/>
    <w:qFormat/>
    <w:rsid w:val="00f448a1"/>
  </w:style>
  <w:style w:type="numbering" w:styleId="WW8Num2" w:customStyle="1">
    <w:name w:val="WW8Num2"/>
    <w:qFormat/>
    <w:rsid w:val="00f448a1"/>
  </w:style>
  <w:style w:type="numbering" w:styleId="WW8Num3" w:customStyle="1">
    <w:name w:val="WW8Num3"/>
    <w:qFormat/>
    <w:rsid w:val="00f448a1"/>
  </w:style>
  <w:style w:type="numbering" w:styleId="WW8Num4" w:customStyle="1">
    <w:name w:val="WW8Num4"/>
    <w:qFormat/>
    <w:rsid w:val="00f448a1"/>
  </w:style>
  <w:style w:type="numbering" w:styleId="WW8Num5" w:customStyle="1">
    <w:name w:val="WW8Num5"/>
    <w:qFormat/>
    <w:rsid w:val="00f448a1"/>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b80d71"/>
    <w:pPr>
      <w:spacing w:after="0" w:line="240" w:lineRule="auto"/>
    </w:pPr>
    <w:rPr>
      <w:lang w:eastAsia="hr-HR"/>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Reetkatablice1">
    <w:name w:val="Rešetka tablice1"/>
    <w:basedOn w:val="Obinatablica"/>
    <w:uiPriority w:val="59"/>
    <w:rsid w:val="0050457b"/>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icareetke4-isticanje31">
    <w:name w:val="Tablica rešetke 4 - isticanje 31"/>
    <w:basedOn w:val="Obinatablica"/>
    <w:uiPriority w:val="49"/>
    <w:rsid w:val="0050457b"/>
    <w:pPr>
      <w:spacing w:after="0" w:line="240" w:lineRule="auto"/>
    </w:pPr>
    <w:rPr>
      <w:lang w:val="en-US" w:eastAsia="zh-CN"/>
      <w:sz w:val="20"/>
      <w:szCs w:val="20"/>
    </w:rPr>
    <w:tblPr>
      <w:tblStyleRowBandSize w:val="1"/>
      <w:tblStyleColBandSize w:val="1"/>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bl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blPr/>
      <w:tcPr>
        <w:tcBorders>
          <w:top w:val="double" w:color="9BBB59" w:sz="4" w:space="0"/>
        </w:tcBorders>
      </w:tcPr>
    </w:tblStylePr>
    <w:tblStylePr w:type="firstCol">
      <w:rPr>
        <w:b/>
        <w:bCs/>
      </w:rPr>
      <w:tblPr/>
    </w:tblStylePr>
    <w:tblStylePr w:type="lastCol">
      <w:rPr>
        <w:b/>
        <w:bCs/>
      </w:rPr>
      <w:tblPr/>
    </w:tblStylePr>
    <w:tblStylePr w:type="band1Vert">
      <w:tblPr/>
      <w:tcPr>
        <w:shd w:val="clear" w:color="auto" w:fill="EAF1DD"/>
      </w:tcPr>
    </w:tblStylePr>
    <w:tblStylePr w:type="band1Horz">
      <w:tblPr/>
      <w:tcPr>
        <w:shd w:val="clear" w:color="auto" w:fill="EAF1DD"/>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CB34-DD98-43F5-88F5-D490E6A7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Application>LibreOffice/6.4.3.2$Windows_X86_64 LibreOffice_project/747b5d0ebf89f41c860ec2a39efd7cb15b54f2d8</Application>
  <Pages>7</Pages>
  <Words>2846</Words>
  <Characters>15064</Characters>
  <CharactersWithSpaces>17691</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2019-03-29T08:18:00Z</dcterms:created>
  <dc:creator>Mauricio</dc:creator>
  <dc:description/>
  <dc:language>hr-HR</dc:language>
  <cp:lastModifiedBy/>
  <cp:lastPrinted>2019-07-03T12:12:00Z</cp:lastPrinted>
  <dcterms:modified xsi:type="dcterms:W3CDTF">2022-12-07T14:17:58Z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