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57.png" ContentType="image/png"/>
  <Override PartName="/word/media/image69.wmf" ContentType="image/x-wmf"/>
  <Override PartName="/word/media/image1.png" ContentType="image/png"/>
  <Override PartName="/word/media/image9.png" ContentType="image/png"/>
  <Override PartName="/word/media/image75.png" ContentType="image/png"/>
  <Override PartName="/word/media/image2.png" ContentType="image/png"/>
  <Override PartName="/word/media/image70.wmf" ContentType="image/x-wmf"/>
  <Override PartName="/word/media/image3.jpeg" ContentType="image/jpeg"/>
  <Override PartName="/word/media/image120.png" ContentType="image/png"/>
  <Override PartName="/word/media/image48.png" ContentType="image/png"/>
  <Override PartName="/word/media/image5.png" ContentType="image/png"/>
  <Override PartName="/word/media/image71.png" ContentType="image/png"/>
  <Override PartName="/word/media/image4.png" ContentType="image/png"/>
  <Override PartName="/word/media/image72.png" ContentType="image/png"/>
  <Override PartName="/word/media/image6.png" ContentType="image/png"/>
  <Override PartName="/word/media/image73.png" ContentType="image/png"/>
  <Override PartName="/word/media/image7.png" ContentType="image/png"/>
  <Override PartName="/word/media/image74.png" ContentType="image/png"/>
  <Override PartName="/word/media/image8.png" ContentType="image/png"/>
  <Override PartName="/word/media/image10.png" ContentType="image/png"/>
  <Override PartName="/word/media/image11.png" ContentType="image/png"/>
  <Override PartName="/word/media/image12.png" ContentType="image/png"/>
  <Override PartName="/word/media/image86.png" ContentType="image/png"/>
  <Override PartName="/word/media/image13.jpeg" ContentType="image/jpeg"/>
  <Override PartName="/word/media/image19.png" ContentType="image/png"/>
  <Override PartName="/word/media/image14.png" ContentType="image/png"/>
  <Override PartName="/word/media/image15.png" ContentType="image/png"/>
  <Override PartName="/word/media/image16.png" ContentType="image/png"/>
  <Override PartName="/word/media/image17.png" ContentType="image/png"/>
  <Override PartName="/word/media/image18.png" ContentType="image/png"/>
  <Override PartName="/word/media/image20.png" ContentType="image/png"/>
  <Override PartName="/word/media/image21.png" ContentType="image/png"/>
  <Override PartName="/word/media/image58.jpeg" ContentType="image/jpeg"/>
  <Override PartName="/word/media/image22.png" ContentType="image/png"/>
  <Override PartName="/word/media/image23.png" ContentType="image/png"/>
  <Override PartName="/word/media/image24.png" ContentType="image/png"/>
  <Override PartName="/word/media/image25.png" ContentType="image/png"/>
  <Override PartName="/word/media/image26.jpeg" ContentType="image/jpeg"/>
  <Override PartName="/word/media/image37.png" ContentType="image/png"/>
  <Override PartName="/word/media/image27.png" ContentType="image/png"/>
  <Override PartName="/word/media/image100.png" ContentType="image/png"/>
  <Override PartName="/word/media/image28.png" ContentType="image/png"/>
  <Override PartName="/word/media/image101.png" ContentType="image/png"/>
  <Override PartName="/word/media/image29.png" ContentType="image/png"/>
  <Override PartName="/word/media/image30.png" ContentType="image/png"/>
  <Override PartName="/word/media/image31.png" ContentType="image/png"/>
  <Override PartName="/word/media/image59.jpeg" ContentType="image/jpeg"/>
  <Override PartName="/word/media/image32.png" ContentType="image/png"/>
  <Override PartName="/word/media/image33.png" ContentType="image/png"/>
  <Override PartName="/word/media/image34.png" ContentType="image/png"/>
  <Override PartName="/word/media/image35.png" ContentType="image/png"/>
  <Override PartName="/word/media/image36.png" ContentType="image/png"/>
  <Override PartName="/word/media/image38.png" ContentType="image/png"/>
  <Override PartName="/word/media/image111.png" ContentType="image/png"/>
  <Override PartName="/word/media/image39.png" ContentType="image/png"/>
  <Override PartName="/word/media/image40.png" ContentType="image/png"/>
  <Override PartName="/word/media/image41.png" ContentType="image/png"/>
  <Override PartName="/word/media/image42.png" ContentType="image/png"/>
  <Override PartName="/word/media/image43.png" ContentType="image/png"/>
  <Override PartName="/word/media/image44.png" ContentType="image/png"/>
  <Override PartName="/word/media/image45.png" ContentType="image/png"/>
  <Override PartName="/word/media/image46.png" ContentType="image/png"/>
  <Override PartName="/word/media/image47.png" ContentType="image/png"/>
  <Override PartName="/word/media/image121.png" ContentType="image/png"/>
  <Override PartName="/word/media/image49.png" ContentType="image/png"/>
  <Override PartName="/word/media/image50.png" ContentType="image/png"/>
  <Override PartName="/word/media/image51.png" ContentType="image/png"/>
  <Override PartName="/word/media/image52.png" ContentType="image/png"/>
  <Override PartName="/word/media/image65.wmf" ContentType="image/x-wmf"/>
  <Override PartName="/word/media/image53.png" ContentType="image/png"/>
  <Override PartName="/word/media/image54.png" ContentType="image/png"/>
  <Override PartName="/word/media/image66.wmf" ContentType="image/x-wmf"/>
  <Override PartName="/word/media/image55.png" ContentType="image/png"/>
  <Override PartName="/word/media/image67.wmf" ContentType="image/x-wmf"/>
  <Override PartName="/word/media/image56.png" ContentType="image/png"/>
  <Override PartName="/word/media/image68.wmf" ContentType="image/x-wmf"/>
  <Override PartName="/word/media/image60.png" ContentType="image/png"/>
  <Override PartName="/word/media/image61.png" ContentType="image/png"/>
  <Override PartName="/word/media/image62.png" ContentType="image/png"/>
  <Override PartName="/word/media/image63.png" ContentType="image/png"/>
  <Override PartName="/word/media/image64.png" ContentType="image/png"/>
  <Override PartName="/word/media/image76.png" ContentType="image/png"/>
  <Override PartName="/word/media/image77.png" ContentType="image/png"/>
  <Override PartName="/word/media/image78.png" ContentType="image/png"/>
  <Override PartName="/word/media/image79.png" ContentType="image/png"/>
  <Override PartName="/word/media/image80.png" ContentType="image/png"/>
  <Override PartName="/word/media/image81.png" ContentType="image/png"/>
  <Override PartName="/word/media/image82.png" ContentType="image/png"/>
  <Override PartName="/word/media/image83.png" ContentType="image/png"/>
  <Override PartName="/word/media/image84.png" ContentType="image/png"/>
  <Override PartName="/word/media/image85.png" ContentType="image/png"/>
  <Override PartName="/word/media/image87.png" ContentType="image/png"/>
  <Override PartName="/word/media/image88.png" ContentType="image/png"/>
  <Override PartName="/word/media/image89.png" ContentType="image/png"/>
  <Override PartName="/word/media/image90.png" ContentType="image/png"/>
  <Override PartName="/word/media/image91.png" ContentType="image/png"/>
  <Override PartName="/word/media/image92.png" ContentType="image/png"/>
  <Override PartName="/word/media/image93.png" ContentType="image/png"/>
  <Override PartName="/word/media/image94.png" ContentType="image/png"/>
  <Override PartName="/word/media/image95.png" ContentType="image/png"/>
  <Override PartName="/word/media/image96.png" ContentType="image/png"/>
  <Override PartName="/word/media/image97.png" ContentType="image/png"/>
  <Override PartName="/word/media/image98.png" ContentType="image/png"/>
  <Override PartName="/word/media/image99.png" ContentType="image/png"/>
  <Override PartName="/word/media/image102.png" ContentType="image/png"/>
  <Override PartName="/word/media/image103.png" ContentType="image/png"/>
  <Override PartName="/word/media/image104.png" ContentType="image/png"/>
  <Override PartName="/word/media/image105.jpeg" ContentType="image/jpeg"/>
  <Override PartName="/word/media/image106.png" ContentType="image/png"/>
  <Override PartName="/word/media/image107.png" ContentType="image/png"/>
  <Override PartName="/word/media/image108.png" ContentType="image/png"/>
  <Override PartName="/word/media/image109.png" ContentType="image/png"/>
  <Override PartName="/word/media/image110.jpeg" ContentType="image/jpeg"/>
  <Override PartName="/word/media/image112.png" ContentType="image/png"/>
  <Override PartName="/word/media/image113.png" ContentType="image/png"/>
  <Override PartName="/word/media/image114.png" ContentType="image/png"/>
  <Override PartName="/word/media/image115.png" ContentType="image/png"/>
  <Override PartName="/word/media/image116.jpeg" ContentType="image/jpeg"/>
  <Override PartName="/word/media/image117.png" ContentType="image/png"/>
  <Override PartName="/word/media/image118.png" ContentType="image/png"/>
  <Override PartName="/word/media/image119.png" ContentType="image/png"/>
  <Override PartName="/word/media/image122.png" ContentType="image/png"/>
  <Override PartName="/word/media/image123.png" ContentType="image/png"/>
  <Override PartName="/word/media/image124.png" ContentType="image/png"/>
  <Override PartName="/word/media/image125.png" ContentType="image/png"/>
  <Override PartName="/word/media/image126.png" ContentType="image/png"/>
  <Override PartName="/word/media/image127.png" ContentType="image/png"/>
  <Override PartName="/word/media/image128.png" ContentType="image/png"/>
  <Override PartName="/word/media/image129.png" ContentType="image/png"/>
  <Override PartName="/word/media/image130.png" ContentType="image/png"/>
  <Override PartName="/word/media/image131.png" ContentType="image/pn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_rels/chart1.xml.rels" ContentType="application/vnd.openxmlformats-package.relationships+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notes.xml" ContentType="application/vnd.openxmlformats-officedocument.wordprocessingml.footnotes+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glossary/_rels/document.xml.rels" ContentType="application/vnd.openxmlformats-package.relationships+xml"/>
  <Override PartName="/word/glossary/document.xml" ContentType="application/vnd.openxmlformats-officedocument.wordprocessingml.document.glossary+xml"/>
  <Override PartName="/word/glossary/settings.xml" ContentType="application/vnd.openxmlformats-officedocument.wordprocessingml.setting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embeddings/Microsoft_Excel_Worksheet1.xlsx" ContentType="application/vnd.openxmlformats-officedocument.spreadsheetml.sheet"/>
  <Override PartName="/word/_rels/footer1.xml.rels" ContentType="application/vnd.openxmlformats-package.relationships+xml"/>
  <Override PartName="/word/_rels/document.xml.rels" ContentType="application/vnd.openxmlformats-package.relationships+xml"/>
  <Override PartName="/word/_rels/footer5.xml.rels" ContentType="application/vnd.openxmlformats-package.relationships+xml"/>
  <Override PartName="/word/_rels/header3.xml.rels" ContentType="application/vnd.openxmlformats-package.relationships+xml"/>
  <Override PartName="/word/_rels/footer4.xml.rels" ContentType="application/vnd.openxmlformats-package.relationships+xml"/>
  <Override PartName="/word/_rels/header2.xml.rels" ContentType="application/vnd.openxmlformats-package.relationships+xml"/>
  <Override PartName="/word/_rels/footer3.xml.rels" ContentType="application/vnd.openxmlformats-package.relationships+xml"/>
  <Override PartName="/word/_rels/header1.xml.rels" ContentType="application/vnd.openxmlformats-package.relationships+xml"/>
  <Override PartName="/word/_rels/footer2.xml.rels" ContentType="application/vnd.openxmlformats-package.relationships+xml"/>
  <Override PartName="/word/_rels/footer6.xml.rels" ContentType="application/vnd.openxmlformats-package.relationships+xml"/>
  <Override PartName="/word/_rels/header4.xml.rels" ContentType="application/vnd.openxmlformats-package.relationships+xml"/>
  <Override PartName="/word/_rels/footer7.xml.rels" ContentType="application/vnd.openxmlformats-package.relationships+xml"/>
  <Override PartName="/word/_rels/header5.xml.rels" ContentType="application/vnd.openxmlformats-package.relationships+xml"/>
  <Override PartName="/word/_rels/footer8.xml.rels" ContentType="application/vnd.openxmlformats-package.relationships+xml"/>
  <Override PartName="/word/_rels/header6.xml.rels" ContentType="application/vnd.openxmlformats-package.relationships+xml"/>
  <Override PartName="/word/_rels/footer9.xml.rels" ContentType="application/vnd.openxmlformats-package.relationships+xml"/>
  <Override PartName="/word/_rels/header7.xml.rels" ContentType="application/vnd.openxmlformats-package.relationships+xml"/>
  <Override PartName="/word/_rels/header8.xml.rels" ContentType="application/vnd.openxmlformats-package.relationships+xml"/>
  <Override PartName="/word/_rels/header9.xml.rels" ContentType="application/vnd.openxmlformats-package.relationships+xml"/>
  <Override PartName="/word/_rels/header10.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pacing w:before="80" w:after="160"/>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rPr>
          <w:lang w:eastAsia="hr-HR"/>
        </w:rPr>
      </w:pPr>
      <w:r>
        <w:rPr>
          <w:lang w:eastAsia="hr-HR"/>
        </w:rPr>
      </w:r>
    </w:p>
    <w:p>
      <w:pPr>
        <w:pStyle w:val="Normal"/>
        <w:ind w:left="4956" w:firstLine="708"/>
        <w:rPr>
          <w:highlight w:val="yellow"/>
        </w:rPr>
      </w:pPr>
      <w:r>
        <w:rPr/>
        <w:drawing>
          <wp:inline distT="0" distB="0" distL="0" distR="0">
            <wp:extent cx="1714500" cy="2057400"/>
            <wp:effectExtent l="0" t="0" r="0" b="0"/>
            <wp:docPr id="1" name="Pictur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0" descr=""/>
                    <pic:cNvPicPr>
                      <a:picLocks noChangeAspect="1" noChangeArrowheads="1"/>
                    </pic:cNvPicPr>
                  </pic:nvPicPr>
                  <pic:blipFill>
                    <a:blip r:embed="rId2"/>
                    <a:stretch>
                      <a:fillRect/>
                    </a:stretch>
                  </pic:blipFill>
                  <pic:spPr bwMode="auto">
                    <a:xfrm>
                      <a:off x="0" y="0"/>
                      <a:ext cx="1714500" cy="2057400"/>
                    </a:xfrm>
                    <a:prstGeom prst="rect">
                      <a:avLst/>
                    </a:prstGeom>
                  </pic:spPr>
                </pic:pic>
              </a:graphicData>
            </a:graphic>
          </wp:inline>
        </w:drawing>
      </w:r>
    </w:p>
    <w:p>
      <w:pPr>
        <w:sectPr>
          <w:headerReference w:type="default" r:id="rId3"/>
          <w:type w:val="nextPage"/>
          <w:pgSz w:w="11906" w:h="16838"/>
          <w:pgMar w:left="1418" w:right="1418" w:header="567" w:top="1418" w:footer="0" w:bottom="1134" w:gutter="0"/>
          <w:pgNumType w:fmt="decimal"/>
          <w:formProt w:val="false"/>
          <w:textDirection w:val="lrTb"/>
          <w:docGrid w:type="default" w:linePitch="360" w:charSpace="4096"/>
        </w:sectPr>
        <w:pStyle w:val="Normal"/>
        <w:rPr>
          <w:highlight w:val="yellow"/>
        </w:rPr>
      </w:pPr>
      <w:r>
        <w:rPr>
          <w:highlight w:val="yellow"/>
        </w:rPr>
        <mc:AlternateContent>
          <mc:Choice Requires="wps">
            <w:drawing>
              <wp:anchor behindDoc="0" distT="0" distB="0" distL="0" distR="0" simplePos="0" locked="0" layoutInCell="1" allowOverlap="0" relativeHeight="2" wp14:anchorId="5F67F4CB">
                <wp:simplePos x="0" y="0"/>
                <wp:positionH relativeFrom="column">
                  <wp:posOffset>2730500</wp:posOffset>
                </wp:positionH>
                <wp:positionV relativeFrom="page">
                  <wp:posOffset>2251075</wp:posOffset>
                </wp:positionV>
                <wp:extent cx="3420745" cy="1424305"/>
                <wp:effectExtent l="0" t="0" r="0" b="5715"/>
                <wp:wrapNone/>
                <wp:docPr id="2" name="Text Box 2"/>
                <a:graphic xmlns:a="http://schemas.openxmlformats.org/drawingml/2006/main">
                  <a:graphicData uri="http://schemas.microsoft.com/office/word/2010/wordprocessingShape">
                    <wps:wsp>
                      <wps:cNvSpPr/>
                      <wps:spPr>
                        <a:xfrm>
                          <a:off x="0" y="0"/>
                          <a:ext cx="3420000" cy="1423800"/>
                        </a:xfrm>
                        <a:prstGeom prst="rect">
                          <a:avLst/>
                        </a:prstGeom>
                        <a:noFill/>
                        <a:ln>
                          <a:noFill/>
                        </a:ln>
                      </wps:spPr>
                      <wps:style>
                        <a:lnRef idx="0"/>
                        <a:fillRef idx="0"/>
                        <a:effectRef idx="0"/>
                        <a:fontRef idx="minor"/>
                      </wps:style>
                      <wps:txbx>
                        <w:txbxContent>
                          <w:p>
                            <w:pPr>
                              <w:pStyle w:val="Sadrajokvira"/>
                              <w:spacing w:before="80" w:after="160"/>
                              <w:jc w:val="center"/>
                              <w:rPr>
                                <w:b/>
                                <w:b/>
                                <w:sz w:val="36"/>
                              </w:rPr>
                            </w:pPr>
                            <w:r>
                              <w:rPr>
                                <w:b/>
                                <w:color w:val="000000"/>
                                <w:sz w:val="36"/>
                              </w:rPr>
                              <w:t>Revizija procjene rizika od velikih nesreća</w:t>
                            </w:r>
                          </w:p>
                          <w:p>
                            <w:pPr>
                              <w:pStyle w:val="Sadrajokvira"/>
                              <w:spacing w:before="80" w:after="160"/>
                              <w:jc w:val="center"/>
                              <w:rPr>
                                <w:b/>
                                <w:b/>
                                <w:sz w:val="36"/>
                              </w:rPr>
                            </w:pPr>
                            <w:r>
                              <w:rPr>
                                <w:color w:val="000000"/>
                              </w:rPr>
                            </w:r>
                          </w:p>
                        </w:txbxContent>
                      </wps:txbx>
                      <wps:bodyPr>
                        <a:noAutofit/>
                      </wps:bodyPr>
                    </wps:wsp>
                  </a:graphicData>
                </a:graphic>
              </wp:anchor>
            </w:drawing>
          </mc:Choice>
          <mc:Fallback>
            <w:pict>
              <v:rect id="shape_0" ID="Text Box 2" stroked="f" style="position:absolute;margin-left:215pt;margin-top:177.25pt;width:269.25pt;height:112.05pt;mso-position-vertical-relative:page" wp14:anchorId="5F67F4CB">
                <w10:wrap type="square"/>
                <v:fill o:detectmouseclick="t" on="false"/>
                <v:stroke color="#3465a4" joinstyle="round" endcap="flat"/>
                <v:textbox>
                  <w:txbxContent>
                    <w:p>
                      <w:pPr>
                        <w:pStyle w:val="Sadrajokvira"/>
                        <w:spacing w:before="80" w:after="160"/>
                        <w:jc w:val="center"/>
                        <w:rPr>
                          <w:b/>
                          <w:b/>
                          <w:sz w:val="36"/>
                        </w:rPr>
                      </w:pPr>
                      <w:r>
                        <w:rPr>
                          <w:b/>
                          <w:color w:val="000000"/>
                          <w:sz w:val="36"/>
                        </w:rPr>
                        <w:t>Revizija procjene rizika od velikih nesreća</w:t>
                      </w:r>
                    </w:p>
                    <w:p>
                      <w:pPr>
                        <w:pStyle w:val="Sadrajokvira"/>
                        <w:spacing w:before="80" w:after="160"/>
                        <w:jc w:val="center"/>
                        <w:rPr>
                          <w:b/>
                          <w:b/>
                          <w:sz w:val="36"/>
                        </w:rPr>
                      </w:pPr>
                      <w:r>
                        <w:rPr>
                          <w:color w:val="000000"/>
                        </w:rPr>
                      </w:r>
                    </w:p>
                  </w:txbxContent>
                </v:textbox>
              </v:rect>
            </w:pict>
          </mc:Fallback>
        </mc:AlternateContent>
        <mc:AlternateContent>
          <mc:Choice Requires="wps">
            <w:drawing>
              <wp:anchor behindDoc="0" distT="0" distB="0" distL="0" distR="0" simplePos="0" locked="0" layoutInCell="1" allowOverlap="0" relativeHeight="3" wp14:anchorId="1CB33072">
                <wp:simplePos x="0" y="0"/>
                <wp:positionH relativeFrom="margin">
                  <wp:posOffset>2878455</wp:posOffset>
                </wp:positionH>
                <wp:positionV relativeFrom="page">
                  <wp:posOffset>4683760</wp:posOffset>
                </wp:positionV>
                <wp:extent cx="3123565" cy="690880"/>
                <wp:effectExtent l="0" t="0" r="0" b="0"/>
                <wp:wrapNone/>
                <wp:docPr id="4" name="Text Box 3"/>
                <a:graphic xmlns:a="http://schemas.openxmlformats.org/drawingml/2006/main">
                  <a:graphicData uri="http://schemas.microsoft.com/office/word/2010/wordprocessingShape">
                    <wps:wsp>
                      <wps:cNvSpPr/>
                      <wps:spPr>
                        <a:xfrm>
                          <a:off x="0" y="0"/>
                          <a:ext cx="3123000" cy="690120"/>
                        </a:xfrm>
                        <a:prstGeom prst="rect">
                          <a:avLst/>
                        </a:prstGeom>
                        <a:noFill/>
                        <a:ln>
                          <a:noFill/>
                        </a:ln>
                      </wps:spPr>
                      <wps:style>
                        <a:lnRef idx="0"/>
                        <a:fillRef idx="0"/>
                        <a:effectRef idx="0"/>
                        <a:fontRef idx="minor"/>
                      </wps:style>
                      <wps:txbx>
                        <w:txbxContent>
                          <w:p>
                            <w:pPr>
                              <w:pStyle w:val="Sadrajokvira"/>
                              <w:spacing w:before="80" w:after="160"/>
                              <w:jc w:val="center"/>
                              <w:rPr>
                                <w:b/>
                                <w:b/>
                                <w:color w:val="009627"/>
                                <w:sz w:val="52"/>
                                <w:szCs w:val="48"/>
                              </w:rPr>
                            </w:pPr>
                            <w:r>
                              <w:rPr>
                                <w:b/>
                                <w:color w:val="009627"/>
                                <w:sz w:val="52"/>
                                <w:szCs w:val="48"/>
                              </w:rPr>
                              <w:t>Grad Buje</w:t>
                            </w:r>
                          </w:p>
                        </w:txbxContent>
                      </wps:txbx>
                      <wps:bodyPr>
                        <a:noAutofit/>
                      </wps:bodyPr>
                    </wps:wsp>
                  </a:graphicData>
                </a:graphic>
              </wp:anchor>
            </w:drawing>
          </mc:Choice>
          <mc:Fallback>
            <w:pict>
              <v:rect id="shape_0" ID="Text Box 3" stroked="f" style="position:absolute;margin-left:226.65pt;margin-top:368.8pt;width:245.85pt;height:54.3pt;mso-position-horizontal-relative:margin;mso-position-vertical-relative:page" wp14:anchorId="1CB33072">
                <w10:wrap type="square"/>
                <v:fill o:detectmouseclick="t" on="false"/>
                <v:stroke color="#3465a4" joinstyle="round" endcap="flat"/>
                <v:textbox>
                  <w:txbxContent>
                    <w:p>
                      <w:pPr>
                        <w:pStyle w:val="Sadrajokvira"/>
                        <w:spacing w:before="80" w:after="160"/>
                        <w:jc w:val="center"/>
                        <w:rPr>
                          <w:b/>
                          <w:b/>
                          <w:color w:val="009627"/>
                          <w:sz w:val="52"/>
                          <w:szCs w:val="48"/>
                        </w:rPr>
                      </w:pPr>
                      <w:r>
                        <w:rPr>
                          <w:b/>
                          <w:color w:val="009627"/>
                          <w:sz w:val="52"/>
                          <w:szCs w:val="48"/>
                        </w:rPr>
                        <w:t>Grad Buje</w:t>
                      </w:r>
                    </w:p>
                  </w:txbxContent>
                </v:textbox>
              </v:rect>
            </w:pict>
          </mc:Fallback>
        </mc:AlternateContent>
        <mc:AlternateContent>
          <mc:Choice Requires="wps">
            <w:drawing>
              <wp:anchor behindDoc="0" distT="0" distB="0" distL="114300" distR="114300" simplePos="0" locked="0" layoutInCell="1" allowOverlap="0" relativeHeight="4" wp14:anchorId="04003684">
                <wp:simplePos x="0" y="0"/>
                <wp:positionH relativeFrom="column">
                  <wp:posOffset>2697480</wp:posOffset>
                </wp:positionH>
                <wp:positionV relativeFrom="page">
                  <wp:posOffset>9963150</wp:posOffset>
                </wp:positionV>
                <wp:extent cx="3195320" cy="523240"/>
                <wp:effectExtent l="0" t="0" r="0" b="0"/>
                <wp:wrapThrough wrapText="bothSides">
                  <wp:wrapPolygon edited="0">
                    <wp:start x="386" y="0"/>
                    <wp:lineTo x="386" y="20496"/>
                    <wp:lineTo x="21128" y="20496"/>
                    <wp:lineTo x="21128" y="0"/>
                    <wp:lineTo x="386" y="0"/>
                  </wp:wrapPolygon>
                </wp:wrapThrough>
                <wp:docPr id="6" name="Text Box 4"/>
                <a:graphic xmlns:a="http://schemas.openxmlformats.org/drawingml/2006/main">
                  <a:graphicData uri="http://schemas.microsoft.com/office/word/2010/wordprocessingShape">
                    <wps:wsp>
                      <wps:cNvSpPr/>
                      <wps:spPr>
                        <a:xfrm>
                          <a:off x="0" y="0"/>
                          <a:ext cx="3194640" cy="522720"/>
                        </a:xfrm>
                        <a:prstGeom prst="rect">
                          <a:avLst/>
                        </a:prstGeom>
                        <a:noFill/>
                        <a:ln w="12600">
                          <a:noFill/>
                        </a:ln>
                      </wps:spPr>
                      <wps:style>
                        <a:lnRef idx="0"/>
                        <a:fillRef idx="0"/>
                        <a:effectRef idx="0"/>
                        <a:fontRef idx="minor"/>
                      </wps:style>
                      <wps:txbx>
                        <w:txbxContent>
                          <w:p>
                            <w:pPr>
                              <w:pStyle w:val="Date"/>
                              <w:spacing w:before="80" w:after="160"/>
                              <w:rPr>
                                <w:color w:val="000000"/>
                              </w:rPr>
                            </w:pPr>
                            <w:r>
                              <w:rPr>
                                <w:color w:val="000000"/>
                              </w:rPr>
                              <w:t>Listopad</w:t>
                            </w:r>
                            <w:r>
                              <w:rPr>
                                <w:color w:val="000000"/>
                              </w:rPr>
                              <w:t>, 2022.</w:t>
                            </w:r>
                          </w:p>
                        </w:txbxContent>
                      </wps:txbx>
                      <wps:bodyPr anchor="b">
                        <a:noAutofit/>
                      </wps:bodyPr>
                    </wps:wsp>
                  </a:graphicData>
                </a:graphic>
              </wp:anchor>
            </w:drawing>
          </mc:Choice>
          <mc:Fallback>
            <w:pict>
              <v:rect id="shape_0" ID="Text Box 4" stroked="f" style="position:absolute;margin-left:212.4pt;margin-top:784.5pt;width:251.5pt;height:41.1pt;mso-position-vertical-relative:page" wp14:anchorId="04003684">
                <w10:wrap type="square"/>
                <v:fill o:detectmouseclick="t" on="false"/>
                <v:stroke color="#3465a4" weight="12600" joinstyle="round" endcap="flat"/>
                <v:textbox>
                  <w:txbxContent>
                    <w:p>
                      <w:pPr>
                        <w:pStyle w:val="Date"/>
                        <w:spacing w:before="80" w:after="160"/>
                        <w:rPr>
                          <w:color w:val="000000"/>
                        </w:rPr>
                      </w:pPr>
                      <w:r>
                        <w:rPr>
                          <w:color w:val="000000"/>
                        </w:rPr>
                        <w:t>Listopad</w:t>
                      </w:r>
                      <w:r>
                        <w:rPr>
                          <w:color w:val="000000"/>
                        </w:rPr>
                        <w:t>, 2022.</w:t>
                      </w:r>
                    </w:p>
                  </w:txbxContent>
                </v:textbox>
              </v:rect>
            </w:pict>
          </mc:Fallback>
        </mc:AlternateContent>
      </w:r>
    </w:p>
    <w:tbl>
      <w:tblPr>
        <w:tblW w:w="9158" w:type="dxa"/>
        <w:jc w:val="left"/>
        <w:tblInd w:w="0" w:type="dxa"/>
        <w:tblCellMar>
          <w:top w:w="0" w:type="dxa"/>
          <w:left w:w="108" w:type="dxa"/>
          <w:bottom w:w="0" w:type="dxa"/>
          <w:right w:w="108" w:type="dxa"/>
        </w:tblCellMar>
        <w:tblLook w:firstRow="1" w:noVBand="1" w:lastRow="0" w:firstColumn="1" w:lastColumn="0" w:noHBand="0" w:val="04a0"/>
      </w:tblPr>
      <w:tblGrid>
        <w:gridCol w:w="1664"/>
        <w:gridCol w:w="48"/>
        <w:gridCol w:w="2290"/>
        <w:gridCol w:w="2197"/>
        <w:gridCol w:w="241"/>
        <w:gridCol w:w="2630"/>
        <w:gridCol w:w="87"/>
      </w:tblGrid>
      <w:tr>
        <w:trPr>
          <w:trHeight w:val="284" w:hRule="atLeast"/>
        </w:trPr>
        <w:tc>
          <w:tcPr>
            <w:tcW w:w="1664" w:type="dxa"/>
            <w:tcBorders/>
            <w:vAlign w:val="center"/>
          </w:tcPr>
          <w:p>
            <w:pPr>
              <w:pStyle w:val="Normal"/>
              <w:spacing w:before="80" w:after="160"/>
              <w:jc w:val="left"/>
              <w:rPr>
                <w:sz w:val="20"/>
                <w:szCs w:val="20"/>
              </w:rPr>
            </w:pPr>
            <w:r>
              <w:rPr>
                <w:sz w:val="20"/>
                <w:szCs w:val="20"/>
              </w:rPr>
              <w:t>Naručitelj:</w:t>
            </w:r>
          </w:p>
        </w:tc>
        <w:tc>
          <w:tcPr>
            <w:tcW w:w="4535" w:type="dxa"/>
            <w:gridSpan w:val="3"/>
            <w:tcBorders/>
            <w:vAlign w:val="center"/>
          </w:tcPr>
          <w:p>
            <w:pPr>
              <w:pStyle w:val="Normal"/>
              <w:spacing w:before="80" w:after="160"/>
              <w:jc w:val="left"/>
              <w:rPr>
                <w:sz w:val="20"/>
                <w:szCs w:val="20"/>
              </w:rPr>
            </w:pPr>
            <w:r>
              <w:rPr>
                <w:sz w:val="20"/>
                <w:szCs w:val="20"/>
              </w:rPr>
              <w:t>Grad Buje</w:t>
            </w:r>
          </w:p>
        </w:tc>
        <w:tc>
          <w:tcPr>
            <w:tcW w:w="2871" w:type="dxa"/>
            <w:gridSpan w:val="2"/>
            <w:tcBorders/>
            <w:vAlign w:val="center"/>
          </w:tcPr>
          <w:p>
            <w:pPr>
              <w:pStyle w:val="Normal"/>
              <w:spacing w:before="80" w:after="160"/>
              <w:jc w:val="left"/>
              <w:rPr>
                <w:sz w:val="20"/>
                <w:szCs w:val="20"/>
                <w:highlight w:val="yellow"/>
              </w:rPr>
            </w:pPr>
            <w:r>
              <w:rPr>
                <w:sz w:val="20"/>
                <w:szCs w:val="20"/>
                <w:highlight w:val="yellow"/>
              </w:rPr>
            </w:r>
          </w:p>
        </w:tc>
        <w:tc>
          <w:tcPr>
            <w:tcW w:w="87" w:type="dxa"/>
            <w:tcBorders/>
          </w:tcPr>
          <w:p>
            <w:pPr>
              <w:pStyle w:val="Normal"/>
              <w:widowControl/>
              <w:bidi w:val="0"/>
              <w:spacing w:lineRule="auto" w:line="276" w:before="80" w:after="160"/>
              <w:jc w:val="both"/>
              <w:rPr/>
            </w:pPr>
            <w:r>
              <w:rPr/>
            </w:r>
          </w:p>
        </w:tc>
      </w:tr>
      <w:tr>
        <w:trPr>
          <w:trHeight w:val="284" w:hRule="atLeast"/>
        </w:trPr>
        <w:tc>
          <w:tcPr>
            <w:tcW w:w="1664" w:type="dxa"/>
            <w:tcBorders/>
            <w:vAlign w:val="center"/>
          </w:tcPr>
          <w:p>
            <w:pPr>
              <w:pStyle w:val="Normal"/>
              <w:spacing w:before="80" w:after="160"/>
              <w:jc w:val="left"/>
              <w:rPr>
                <w:sz w:val="20"/>
                <w:szCs w:val="20"/>
              </w:rPr>
            </w:pPr>
            <w:r>
              <w:rPr>
                <w:sz w:val="20"/>
                <w:szCs w:val="20"/>
              </w:rPr>
              <w:t>PREDMET:</w:t>
            </w:r>
          </w:p>
        </w:tc>
        <w:tc>
          <w:tcPr>
            <w:tcW w:w="7406" w:type="dxa"/>
            <w:gridSpan w:val="5"/>
            <w:tcBorders/>
            <w:vAlign w:val="center"/>
          </w:tcPr>
          <w:p>
            <w:pPr>
              <w:pStyle w:val="Normal"/>
              <w:spacing w:before="80" w:after="160"/>
              <w:rPr>
                <w:b/>
                <w:b/>
                <w:sz w:val="20"/>
                <w:szCs w:val="20"/>
              </w:rPr>
            </w:pPr>
            <w:r>
              <w:rPr>
                <w:b/>
                <w:sz w:val="20"/>
                <w:szCs w:val="20"/>
              </w:rPr>
              <w:t>Revizija procjene rizika od velikih nesreća</w:t>
            </w:r>
          </w:p>
        </w:tc>
        <w:tc>
          <w:tcPr>
            <w:tcW w:w="87" w:type="dxa"/>
            <w:tcBorders/>
          </w:tcPr>
          <w:p>
            <w:pPr>
              <w:pStyle w:val="Normal"/>
              <w:widowControl/>
              <w:bidi w:val="0"/>
              <w:spacing w:lineRule="auto" w:line="276" w:before="80" w:after="160"/>
              <w:jc w:val="both"/>
              <w:rPr/>
            </w:pPr>
            <w:r>
              <w:rPr/>
            </w:r>
          </w:p>
        </w:tc>
      </w:tr>
      <w:tr>
        <w:trPr>
          <w:trHeight w:val="667" w:hRule="atLeast"/>
        </w:trPr>
        <w:tc>
          <w:tcPr>
            <w:tcW w:w="1664" w:type="dxa"/>
            <w:tcBorders/>
            <w:vAlign w:val="center"/>
          </w:tcPr>
          <w:p>
            <w:pPr>
              <w:pStyle w:val="Normal"/>
              <w:spacing w:lineRule="auto" w:line="240" w:before="80" w:after="160"/>
              <w:jc w:val="left"/>
              <w:rPr>
                <w:sz w:val="20"/>
                <w:szCs w:val="20"/>
              </w:rPr>
            </w:pPr>
            <w:r>
              <w:rPr>
                <w:sz w:val="20"/>
                <w:szCs w:val="20"/>
              </w:rPr>
              <w:t>Oznaka dokumenta:</w:t>
            </w:r>
          </w:p>
        </w:tc>
        <w:tc>
          <w:tcPr>
            <w:tcW w:w="4535" w:type="dxa"/>
            <w:gridSpan w:val="3"/>
            <w:tcBorders/>
            <w:vAlign w:val="center"/>
          </w:tcPr>
          <w:p>
            <w:pPr>
              <w:pStyle w:val="Normal"/>
              <w:spacing w:before="80" w:after="160"/>
              <w:jc w:val="left"/>
              <w:rPr>
                <w:sz w:val="20"/>
                <w:szCs w:val="20"/>
              </w:rPr>
            </w:pPr>
            <w:r>
              <w:rPr>
                <w:sz w:val="20"/>
                <w:szCs w:val="20"/>
              </w:rPr>
              <w:t>RN/2022/0035</w:t>
            </w:r>
          </w:p>
        </w:tc>
        <w:tc>
          <w:tcPr>
            <w:tcW w:w="2871" w:type="dxa"/>
            <w:gridSpan w:val="2"/>
            <w:tcBorders/>
            <w:vAlign w:val="center"/>
          </w:tcPr>
          <w:p>
            <w:pPr>
              <w:pStyle w:val="Normal"/>
              <w:spacing w:before="80" w:after="160"/>
              <w:jc w:val="left"/>
              <w:rPr>
                <w:sz w:val="20"/>
                <w:szCs w:val="20"/>
                <w:highlight w:val="yellow"/>
              </w:rPr>
            </w:pPr>
            <w:r>
              <w:rPr>
                <w:sz w:val="20"/>
                <w:szCs w:val="20"/>
                <w:highlight w:val="yellow"/>
              </w:rPr>
            </w:r>
          </w:p>
        </w:tc>
        <w:tc>
          <w:tcPr>
            <w:tcW w:w="87" w:type="dxa"/>
            <w:tcBorders/>
          </w:tcPr>
          <w:p>
            <w:pPr>
              <w:pStyle w:val="Normal"/>
              <w:widowControl/>
              <w:bidi w:val="0"/>
              <w:spacing w:lineRule="auto" w:line="276" w:before="80" w:after="160"/>
              <w:jc w:val="both"/>
              <w:rPr/>
            </w:pPr>
            <w:r>
              <w:rPr/>
            </w:r>
          </w:p>
        </w:tc>
      </w:tr>
      <w:tr>
        <w:trPr>
          <w:trHeight w:val="284" w:hRule="atLeast"/>
        </w:trPr>
        <w:tc>
          <w:tcPr>
            <w:tcW w:w="1664" w:type="dxa"/>
            <w:tcBorders/>
            <w:vAlign w:val="center"/>
          </w:tcPr>
          <w:p>
            <w:pPr>
              <w:pStyle w:val="Normal"/>
              <w:spacing w:before="80" w:after="160"/>
              <w:jc w:val="left"/>
              <w:rPr>
                <w:sz w:val="20"/>
                <w:szCs w:val="20"/>
              </w:rPr>
            </w:pPr>
            <w:r>
              <w:rPr>
                <w:sz w:val="20"/>
                <w:szCs w:val="20"/>
              </w:rPr>
              <w:t>Izrađivač:</w:t>
            </w:r>
          </w:p>
        </w:tc>
        <w:tc>
          <w:tcPr>
            <w:tcW w:w="4535" w:type="dxa"/>
            <w:gridSpan w:val="3"/>
            <w:tcBorders/>
            <w:vAlign w:val="center"/>
          </w:tcPr>
          <w:p>
            <w:pPr>
              <w:pStyle w:val="Normal"/>
              <w:spacing w:before="80" w:after="160"/>
              <w:jc w:val="left"/>
              <w:rPr>
                <w:sz w:val="20"/>
                <w:szCs w:val="20"/>
              </w:rPr>
            </w:pPr>
            <w:r>
              <w:rPr>
                <w:sz w:val="20"/>
                <w:szCs w:val="20"/>
              </w:rPr>
              <w:t>DLS d.o.o. Spinčićeva 2, 51 000 Rijeka</w:t>
            </w:r>
          </w:p>
        </w:tc>
        <w:tc>
          <w:tcPr>
            <w:tcW w:w="2871" w:type="dxa"/>
            <w:gridSpan w:val="2"/>
            <w:tcBorders/>
            <w:vAlign w:val="center"/>
          </w:tcPr>
          <w:p>
            <w:pPr>
              <w:pStyle w:val="Normal"/>
              <w:spacing w:before="80" w:after="160"/>
              <w:jc w:val="left"/>
              <w:rPr>
                <w:sz w:val="20"/>
                <w:szCs w:val="20"/>
                <w:highlight w:val="yellow"/>
              </w:rPr>
            </w:pPr>
            <w:r>
              <w:rPr>
                <w:sz w:val="20"/>
                <w:szCs w:val="20"/>
                <w:highlight w:val="yellow"/>
              </w:rPr>
            </w:r>
          </w:p>
        </w:tc>
        <w:tc>
          <w:tcPr>
            <w:tcW w:w="87" w:type="dxa"/>
            <w:tcBorders/>
          </w:tcPr>
          <w:p>
            <w:pPr>
              <w:pStyle w:val="Normal"/>
              <w:widowControl/>
              <w:bidi w:val="0"/>
              <w:spacing w:lineRule="auto" w:line="276" w:before="80" w:after="160"/>
              <w:jc w:val="both"/>
              <w:rPr/>
            </w:pPr>
            <w:r>
              <w:rPr/>
            </w:r>
          </w:p>
        </w:tc>
      </w:tr>
      <w:tr>
        <w:trPr>
          <w:trHeight w:val="667" w:hRule="atLeast"/>
        </w:trPr>
        <w:tc>
          <w:tcPr>
            <w:tcW w:w="1664" w:type="dxa"/>
            <w:tcBorders/>
            <w:vAlign w:val="center"/>
          </w:tcPr>
          <w:p>
            <w:pPr>
              <w:pStyle w:val="Normal"/>
              <w:spacing w:lineRule="auto" w:line="240" w:before="80" w:after="160"/>
              <w:jc w:val="left"/>
              <w:rPr>
                <w:sz w:val="20"/>
                <w:szCs w:val="20"/>
              </w:rPr>
            </w:pPr>
            <w:r>
              <w:rPr>
                <w:sz w:val="20"/>
                <w:szCs w:val="20"/>
              </w:rPr>
              <w:t>Voditelj izrade:</w:t>
            </w:r>
          </w:p>
        </w:tc>
        <w:tc>
          <w:tcPr>
            <w:tcW w:w="4535" w:type="dxa"/>
            <w:gridSpan w:val="3"/>
            <w:tcBorders/>
            <w:vAlign w:val="center"/>
          </w:tcPr>
          <w:p>
            <w:pPr>
              <w:pStyle w:val="Normal"/>
              <w:spacing w:before="80" w:after="160"/>
              <w:jc w:val="left"/>
              <w:rPr>
                <w:sz w:val="20"/>
                <w:szCs w:val="20"/>
              </w:rPr>
            </w:pPr>
            <w:r>
              <w:rPr>
                <w:sz w:val="20"/>
                <w:szCs w:val="20"/>
              </w:rPr>
              <w:t>Igor Meixner                    dipl.ing.kem.tehn.</w:t>
            </w:r>
          </w:p>
        </w:tc>
        <w:tc>
          <w:tcPr>
            <w:tcW w:w="2871" w:type="dxa"/>
            <w:gridSpan w:val="2"/>
            <w:tcBorders/>
            <w:vAlign w:val="center"/>
          </w:tcPr>
          <w:p>
            <w:pPr>
              <w:pStyle w:val="Normal"/>
              <w:spacing w:before="80" w:after="160"/>
              <w:jc w:val="left"/>
              <w:rPr>
                <w:sz w:val="20"/>
                <w:szCs w:val="20"/>
                <w:highlight w:val="yellow"/>
              </w:rPr>
            </w:pPr>
            <w:r>
              <w:rPr>
                <w:sz w:val="20"/>
                <w:szCs w:val="20"/>
                <w:highlight w:val="yellow"/>
              </w:rPr>
              <w:drawing>
                <wp:anchor behindDoc="1" distT="0" distB="0" distL="0" distR="0" simplePos="0" locked="0" layoutInCell="1" allowOverlap="1" relativeHeight="46">
                  <wp:simplePos x="0" y="0"/>
                  <wp:positionH relativeFrom="column">
                    <wp:posOffset>-43815</wp:posOffset>
                  </wp:positionH>
                  <wp:positionV relativeFrom="paragraph">
                    <wp:posOffset>-67310</wp:posOffset>
                  </wp:positionV>
                  <wp:extent cx="809625" cy="621030"/>
                  <wp:effectExtent l="0" t="0" r="0" b="0"/>
                  <wp:wrapNone/>
                  <wp:docPr id="9" name="Picture 111"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11" descr="Igor Meixner"/>
                          <pic:cNvPicPr>
                            <a:picLocks noChangeAspect="1" noChangeArrowheads="1"/>
                          </pic:cNvPicPr>
                        </pic:nvPicPr>
                        <pic:blipFill>
                          <a:blip r:embed="rId4"/>
                          <a:stretch>
                            <a:fillRect/>
                          </a:stretch>
                        </pic:blipFill>
                        <pic:spPr bwMode="auto">
                          <a:xfrm>
                            <a:off x="0" y="0"/>
                            <a:ext cx="809625" cy="621030"/>
                          </a:xfrm>
                          <a:prstGeom prst="rect">
                            <a:avLst/>
                          </a:prstGeom>
                        </pic:spPr>
                      </pic:pic>
                    </a:graphicData>
                  </a:graphic>
                </wp:anchor>
              </w:drawing>
            </w:r>
          </w:p>
        </w:tc>
        <w:tc>
          <w:tcPr>
            <w:tcW w:w="87" w:type="dxa"/>
            <w:tcBorders/>
          </w:tcPr>
          <w:p>
            <w:pPr>
              <w:pStyle w:val="Normal"/>
              <w:widowControl/>
              <w:bidi w:val="0"/>
              <w:spacing w:lineRule="auto" w:line="276" w:before="80" w:after="160"/>
              <w:jc w:val="both"/>
              <w:rPr/>
            </w:pPr>
            <w:r>
              <w:rPr/>
            </w:r>
          </w:p>
        </w:tc>
      </w:tr>
      <w:tr>
        <w:trPr>
          <w:trHeight w:val="537" w:hRule="atLeast"/>
        </w:trPr>
        <w:tc>
          <w:tcPr>
            <w:tcW w:w="1712" w:type="dxa"/>
            <w:gridSpan w:val="2"/>
            <w:tcBorders/>
            <w:vAlign w:val="center"/>
          </w:tcPr>
          <w:p>
            <w:pPr>
              <w:pStyle w:val="Normal"/>
              <w:spacing w:lineRule="auto" w:line="240" w:before="0" w:after="0"/>
              <w:jc w:val="left"/>
              <w:rPr>
                <w:sz w:val="20"/>
                <w:szCs w:val="20"/>
              </w:rPr>
            </w:pPr>
            <w:r>
              <w:rPr>
                <w:sz w:val="20"/>
                <w:szCs w:val="20"/>
              </w:rPr>
            </w:r>
          </w:p>
        </w:tc>
        <w:tc>
          <w:tcPr>
            <w:tcW w:w="2290" w:type="dxa"/>
            <w:tcBorders/>
          </w:tcPr>
          <w:p>
            <w:pPr>
              <w:pStyle w:val="Normal"/>
              <w:spacing w:lineRule="auto" w:line="240" w:before="40" w:after="40"/>
              <w:jc w:val="left"/>
              <w:rPr>
                <w:sz w:val="20"/>
                <w:szCs w:val="20"/>
              </w:rPr>
            </w:pPr>
            <w:r>
              <w:rPr>
                <w:sz w:val="20"/>
                <w:szCs w:val="20"/>
              </w:rPr>
            </w:r>
          </w:p>
          <w:p>
            <w:pPr>
              <w:pStyle w:val="Normal"/>
              <w:spacing w:before="0" w:after="0"/>
              <w:jc w:val="left"/>
              <w:rPr>
                <w:i/>
                <w:i/>
                <w:iCs/>
                <w:color w:val="auto"/>
                <w:sz w:val="20"/>
                <w:szCs w:val="20"/>
              </w:rPr>
            </w:pPr>
            <w:r>
              <w:rPr>
                <w:sz w:val="20"/>
                <w:szCs w:val="20"/>
              </w:rPr>
              <w:t xml:space="preserve">mr.sc. Jarolim Meixner   </w:t>
            </w:r>
          </w:p>
        </w:tc>
        <w:tc>
          <w:tcPr>
            <w:tcW w:w="2438" w:type="dxa"/>
            <w:gridSpan w:val="2"/>
            <w:tcBorders/>
          </w:tcPr>
          <w:p>
            <w:pPr>
              <w:pStyle w:val="Normal"/>
              <w:tabs>
                <w:tab w:val="clear" w:pos="708"/>
                <w:tab w:val="left" w:pos="2460" w:leader="none"/>
              </w:tabs>
              <w:spacing w:before="40" w:after="40"/>
              <w:rPr>
                <w:sz w:val="20"/>
                <w:szCs w:val="20"/>
              </w:rPr>
            </w:pPr>
            <w:r>
              <w:rPr>
                <w:sz w:val="20"/>
                <w:szCs w:val="20"/>
              </w:rPr>
            </w:r>
          </w:p>
          <w:p>
            <w:pPr>
              <w:pStyle w:val="Normal"/>
              <w:spacing w:lineRule="auto" w:line="240" w:before="0" w:after="0"/>
              <w:jc w:val="left"/>
              <w:rPr>
                <w:color w:val="auto"/>
                <w:sz w:val="20"/>
                <w:szCs w:val="20"/>
              </w:rPr>
            </w:pPr>
            <w:r>
              <w:rPr>
                <w:sz w:val="20"/>
                <w:szCs w:val="20"/>
              </w:rPr>
              <w:t xml:space="preserve">dipl.ing.kem.tehn.         </w:t>
            </w:r>
          </w:p>
        </w:tc>
        <w:tc>
          <w:tcPr>
            <w:tcW w:w="2717" w:type="dxa"/>
            <w:gridSpan w:val="2"/>
            <w:tcBorders/>
            <w:vAlign w:val="center"/>
          </w:tcPr>
          <w:p>
            <w:pPr>
              <w:pStyle w:val="Normal"/>
              <w:spacing w:before="0" w:after="0"/>
              <w:jc w:val="left"/>
              <w:rPr>
                <w:sz w:val="20"/>
                <w:szCs w:val="20"/>
              </w:rPr>
            </w:pPr>
            <w:r>
              <w:rPr/>
              <w:drawing>
                <wp:inline distT="0" distB="0" distL="0" distR="0">
                  <wp:extent cx="902335" cy="408305"/>
                  <wp:effectExtent l="0" t="0" r="0" b="0"/>
                  <wp:docPr id="10" name="Picture 45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58" descr="A picture containing text&#10;&#10;Description automatically generated"/>
                          <pic:cNvPicPr>
                            <a:picLocks noChangeAspect="1" noChangeArrowheads="1"/>
                          </pic:cNvPicPr>
                        </pic:nvPicPr>
                        <pic:blipFill>
                          <a:blip r:embed="rId5"/>
                          <a:stretch>
                            <a:fillRect/>
                          </a:stretch>
                        </pic:blipFill>
                        <pic:spPr bwMode="auto">
                          <a:xfrm>
                            <a:off x="0" y="0"/>
                            <a:ext cx="902335" cy="408305"/>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t>Suradnici:</w:t>
            </w:r>
          </w:p>
        </w:tc>
        <w:tc>
          <w:tcPr>
            <w:tcW w:w="2290" w:type="dxa"/>
            <w:tcBorders/>
            <w:vAlign w:val="center"/>
          </w:tcPr>
          <w:p>
            <w:pPr>
              <w:pStyle w:val="Normal"/>
              <w:spacing w:before="0" w:after="0"/>
              <w:jc w:val="left"/>
              <w:rPr>
                <w:i/>
                <w:i/>
                <w:iCs/>
                <w:color w:val="auto"/>
                <w:sz w:val="20"/>
                <w:szCs w:val="20"/>
              </w:rPr>
            </w:pPr>
            <w:r>
              <w:rPr>
                <w:sz w:val="20"/>
                <w:szCs w:val="20"/>
              </w:rPr>
              <w:t xml:space="preserve">Petra Meixner                   </w:t>
            </w:r>
          </w:p>
        </w:tc>
        <w:tc>
          <w:tcPr>
            <w:tcW w:w="2438" w:type="dxa"/>
            <w:gridSpan w:val="2"/>
            <w:tcBorders/>
            <w:vAlign w:val="center"/>
          </w:tcPr>
          <w:p>
            <w:pPr>
              <w:pStyle w:val="Normal"/>
              <w:spacing w:lineRule="auto" w:line="240" w:before="0" w:after="0"/>
              <w:jc w:val="left"/>
              <w:rPr>
                <w:color w:val="auto"/>
                <w:sz w:val="20"/>
                <w:szCs w:val="20"/>
              </w:rPr>
            </w:pPr>
            <w:r>
              <w:rPr>
                <w:sz w:val="20"/>
                <w:szCs w:val="20"/>
              </w:rPr>
              <w:t xml:space="preserve"> </w:t>
            </w:r>
            <w:r>
              <w:rPr>
                <w:sz w:val="20"/>
                <w:szCs w:val="20"/>
              </w:rPr>
              <w:t xml:space="preserve">mag.iur      </w:t>
            </w:r>
          </w:p>
        </w:tc>
        <w:tc>
          <w:tcPr>
            <w:tcW w:w="2717" w:type="dxa"/>
            <w:gridSpan w:val="2"/>
            <w:tcBorders/>
          </w:tcPr>
          <w:p>
            <w:pPr>
              <w:pStyle w:val="Normal"/>
              <w:spacing w:before="0" w:after="0"/>
              <w:jc w:val="left"/>
              <w:rPr>
                <w:sz w:val="20"/>
                <w:szCs w:val="20"/>
              </w:rPr>
            </w:pPr>
            <w:r>
              <w:rPr/>
              <w:drawing>
                <wp:inline distT="0" distB="0" distL="0" distR="0">
                  <wp:extent cx="1115695" cy="438785"/>
                  <wp:effectExtent l="0" t="0" r="0" b="0"/>
                  <wp:docPr id="11" name="Picture 46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63" descr="A picture containing text&#10;&#10;Description automatically generated"/>
                          <pic:cNvPicPr>
                            <a:picLocks noChangeAspect="1" noChangeArrowheads="1"/>
                          </pic:cNvPicPr>
                        </pic:nvPicPr>
                        <pic:blipFill>
                          <a:blip r:embed="rId6"/>
                          <a:stretch>
                            <a:fillRect/>
                          </a:stretch>
                        </pic:blipFill>
                        <pic:spPr bwMode="auto">
                          <a:xfrm>
                            <a:off x="0" y="0"/>
                            <a:ext cx="1115695" cy="438785"/>
                          </a:xfrm>
                          <a:prstGeom prst="rect">
                            <a:avLst/>
                          </a:prstGeom>
                        </pic:spPr>
                      </pic:pic>
                    </a:graphicData>
                  </a:graphic>
                </wp:inline>
              </w:drawing>
            </w:r>
            <w:bookmarkStart w:id="0" w:name="_Hlk451520250"/>
            <w:bookmarkEnd w:id="0"/>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vAlign w:val="center"/>
          </w:tcPr>
          <w:p>
            <w:pPr>
              <w:pStyle w:val="Normal"/>
              <w:spacing w:before="0" w:after="0"/>
              <w:jc w:val="left"/>
              <w:rPr>
                <w:i/>
                <w:i/>
                <w:iCs/>
                <w:color w:val="auto"/>
                <w:sz w:val="20"/>
                <w:szCs w:val="20"/>
              </w:rPr>
            </w:pPr>
            <w:r>
              <w:rPr>
                <w:color w:val="auto"/>
                <w:sz w:val="20"/>
                <w:szCs w:val="20"/>
              </w:rPr>
              <w:t>Josipa Zarić</w:t>
            </w:r>
          </w:p>
        </w:tc>
        <w:tc>
          <w:tcPr>
            <w:tcW w:w="2438" w:type="dxa"/>
            <w:gridSpan w:val="2"/>
            <w:tcBorders/>
            <w:vAlign w:val="center"/>
          </w:tcPr>
          <w:p>
            <w:pPr>
              <w:pStyle w:val="Normal"/>
              <w:spacing w:lineRule="auto" w:line="240" w:before="0" w:after="0"/>
              <w:jc w:val="left"/>
              <w:rPr>
                <w:color w:val="auto"/>
                <w:sz w:val="20"/>
                <w:szCs w:val="20"/>
              </w:rPr>
            </w:pPr>
            <w:r>
              <w:rPr>
                <w:color w:val="auto"/>
                <w:sz w:val="20"/>
                <w:szCs w:val="20"/>
              </w:rPr>
              <w:t>struč. spec. ing. sec.</w:t>
            </w:r>
          </w:p>
        </w:tc>
        <w:tc>
          <w:tcPr>
            <w:tcW w:w="2717" w:type="dxa"/>
            <w:gridSpan w:val="2"/>
            <w:tcBorders/>
            <w:vAlign w:val="center"/>
          </w:tcPr>
          <w:p>
            <w:pPr>
              <w:pStyle w:val="Normal"/>
              <w:spacing w:before="0" w:after="0"/>
              <w:jc w:val="left"/>
              <w:rPr>
                <w:sz w:val="20"/>
                <w:szCs w:val="20"/>
              </w:rPr>
            </w:pPr>
            <w:r>
              <w:rPr/>
              <w:drawing>
                <wp:inline distT="0" distB="0" distL="0" distR="0">
                  <wp:extent cx="1095375" cy="419100"/>
                  <wp:effectExtent l="0" t="0" r="0" b="0"/>
                  <wp:docPr id="12"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5" descr="Text, letter&#10;&#10;Description automatically generated"/>
                          <pic:cNvPicPr>
                            <a:picLocks noChangeAspect="1" noChangeArrowheads="1"/>
                          </pic:cNvPicPr>
                        </pic:nvPicPr>
                        <pic:blipFill>
                          <a:blip r:embed="rId7"/>
                          <a:stretch>
                            <a:fillRect/>
                          </a:stretch>
                        </pic:blipFill>
                        <pic:spPr bwMode="auto">
                          <a:xfrm>
                            <a:off x="0" y="0"/>
                            <a:ext cx="1095375" cy="419100"/>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vAlign w:val="center"/>
          </w:tcPr>
          <w:p>
            <w:pPr>
              <w:pStyle w:val="Normal"/>
              <w:spacing w:before="0" w:after="0"/>
              <w:jc w:val="left"/>
              <w:rPr>
                <w:i/>
                <w:i/>
                <w:iCs/>
                <w:color w:val="auto"/>
                <w:sz w:val="20"/>
                <w:szCs w:val="20"/>
              </w:rPr>
            </w:pPr>
            <w:r>
              <w:rPr>
                <w:color w:val="auto"/>
                <w:sz w:val="20"/>
                <w:szCs w:val="20"/>
              </w:rPr>
              <w:t xml:space="preserve">Karlo Fanuko                             </w:t>
            </w:r>
          </w:p>
        </w:tc>
        <w:tc>
          <w:tcPr>
            <w:tcW w:w="2438" w:type="dxa"/>
            <w:gridSpan w:val="2"/>
            <w:tcBorders/>
            <w:vAlign w:val="center"/>
          </w:tcPr>
          <w:p>
            <w:pPr>
              <w:pStyle w:val="Normal"/>
              <w:spacing w:lineRule="auto" w:line="240" w:before="0" w:after="0"/>
              <w:jc w:val="left"/>
              <w:rPr>
                <w:color w:val="auto"/>
                <w:sz w:val="20"/>
                <w:szCs w:val="20"/>
              </w:rPr>
            </w:pPr>
            <w:r>
              <w:rPr>
                <w:color w:val="auto"/>
                <w:sz w:val="20"/>
                <w:szCs w:val="20"/>
              </w:rPr>
              <w:t>ing.el.</w:t>
            </w:r>
          </w:p>
        </w:tc>
        <w:tc>
          <w:tcPr>
            <w:tcW w:w="2717" w:type="dxa"/>
            <w:gridSpan w:val="2"/>
            <w:tcBorders/>
          </w:tcPr>
          <w:p>
            <w:pPr>
              <w:pStyle w:val="Normal"/>
              <w:spacing w:before="0" w:after="0"/>
              <w:jc w:val="left"/>
              <w:rPr>
                <w:sz w:val="20"/>
                <w:szCs w:val="20"/>
              </w:rPr>
            </w:pPr>
            <w:r>
              <w:rPr/>
              <w:drawing>
                <wp:inline distT="0" distB="0" distL="0" distR="0">
                  <wp:extent cx="1514475" cy="304800"/>
                  <wp:effectExtent l="0" t="0" r="0" b="0"/>
                  <wp:docPr id="13" name="Picture 4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64" descr=""/>
                          <pic:cNvPicPr>
                            <a:picLocks noChangeAspect="1" noChangeArrowheads="1"/>
                          </pic:cNvPicPr>
                        </pic:nvPicPr>
                        <pic:blipFill>
                          <a:blip r:embed="rId8"/>
                          <a:stretch>
                            <a:fillRect/>
                          </a:stretch>
                        </pic:blipFill>
                        <pic:spPr bwMode="auto">
                          <a:xfrm>
                            <a:off x="0" y="0"/>
                            <a:ext cx="1514475" cy="304800"/>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vAlign w:val="center"/>
          </w:tcPr>
          <w:p>
            <w:pPr>
              <w:pStyle w:val="Normal"/>
              <w:spacing w:before="0" w:after="0"/>
              <w:jc w:val="left"/>
              <w:rPr>
                <w:i/>
                <w:i/>
                <w:iCs/>
                <w:color w:val="auto"/>
                <w:sz w:val="20"/>
                <w:szCs w:val="20"/>
              </w:rPr>
            </w:pPr>
            <w:r>
              <w:rPr>
                <w:color w:val="auto"/>
                <w:sz w:val="20"/>
                <w:szCs w:val="20"/>
              </w:rPr>
              <w:t>Sunčana Sitar</w:t>
            </w:r>
          </w:p>
        </w:tc>
        <w:tc>
          <w:tcPr>
            <w:tcW w:w="2438" w:type="dxa"/>
            <w:gridSpan w:val="2"/>
            <w:tcBorders/>
          </w:tcPr>
          <w:p>
            <w:pPr>
              <w:pStyle w:val="Normal"/>
              <w:spacing w:lineRule="auto" w:line="240" w:before="0" w:after="0"/>
              <w:jc w:val="left"/>
              <w:rPr>
                <w:color w:val="auto"/>
                <w:sz w:val="20"/>
                <w:szCs w:val="20"/>
              </w:rPr>
            </w:pPr>
            <w:r>
              <w:rPr>
                <w:color w:val="auto"/>
                <w:sz w:val="20"/>
                <w:szCs w:val="20"/>
              </w:rPr>
            </w:r>
          </w:p>
          <w:p>
            <w:pPr>
              <w:pStyle w:val="Normal"/>
              <w:spacing w:lineRule="auto" w:line="240" w:before="0" w:after="0"/>
              <w:jc w:val="left"/>
              <w:rPr>
                <w:color w:val="auto"/>
                <w:sz w:val="20"/>
                <w:szCs w:val="20"/>
              </w:rPr>
            </w:pPr>
            <w:r>
              <w:rPr>
                <w:color w:val="auto"/>
                <w:sz w:val="20"/>
                <w:szCs w:val="20"/>
              </w:rPr>
              <w:t>oecc.</w:t>
            </w:r>
          </w:p>
        </w:tc>
        <w:tc>
          <w:tcPr>
            <w:tcW w:w="2717" w:type="dxa"/>
            <w:gridSpan w:val="2"/>
            <w:tcBorders/>
          </w:tcPr>
          <w:p>
            <w:pPr>
              <w:pStyle w:val="Normal"/>
              <w:spacing w:before="0" w:after="0"/>
              <w:jc w:val="left"/>
              <w:rPr>
                <w:sz w:val="20"/>
                <w:szCs w:val="20"/>
              </w:rPr>
            </w:pPr>
            <w:r>
              <w:rPr/>
              <w:drawing>
                <wp:inline distT="0" distB="0" distL="0" distR="0">
                  <wp:extent cx="534670" cy="405765"/>
                  <wp:effectExtent l="0" t="0" r="0" b="0"/>
                  <wp:docPr id="14"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0" descr="Text&#10;&#10;Description automatically generated"/>
                          <pic:cNvPicPr>
                            <a:picLocks noChangeAspect="1" noChangeArrowheads="1"/>
                          </pic:cNvPicPr>
                        </pic:nvPicPr>
                        <pic:blipFill>
                          <a:blip r:embed="rId9"/>
                          <a:stretch>
                            <a:fillRect/>
                          </a:stretch>
                        </pic:blipFill>
                        <pic:spPr bwMode="auto">
                          <a:xfrm>
                            <a:off x="0" y="0"/>
                            <a:ext cx="534670" cy="405765"/>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vAlign w:val="center"/>
          </w:tcPr>
          <w:p>
            <w:pPr>
              <w:pStyle w:val="Normal"/>
              <w:spacing w:before="0" w:after="0"/>
              <w:jc w:val="left"/>
              <w:rPr>
                <w:i/>
                <w:i/>
                <w:iCs/>
                <w:color w:val="auto"/>
                <w:sz w:val="20"/>
                <w:szCs w:val="20"/>
              </w:rPr>
            </w:pPr>
            <w:r>
              <w:rPr>
                <w:sz w:val="20"/>
                <w:szCs w:val="20"/>
              </w:rPr>
              <w:t>Danijela Štimac</w:t>
            </w:r>
          </w:p>
        </w:tc>
        <w:tc>
          <w:tcPr>
            <w:tcW w:w="2438" w:type="dxa"/>
            <w:gridSpan w:val="2"/>
            <w:tcBorders/>
            <w:vAlign w:val="center"/>
          </w:tcPr>
          <w:p>
            <w:pPr>
              <w:pStyle w:val="Normal"/>
              <w:spacing w:lineRule="auto" w:line="240" w:before="0" w:after="0"/>
              <w:jc w:val="left"/>
              <w:rPr>
                <w:color w:val="auto"/>
                <w:sz w:val="20"/>
                <w:szCs w:val="20"/>
              </w:rPr>
            </w:pPr>
            <w:r>
              <w:rPr/>
              <w:t xml:space="preserve">bacc.prim.educ.      </w:t>
            </w:r>
            <w:r>
              <w:rPr>
                <w:lang w:eastAsia="hr-HR"/>
              </w:rPr>
              <w:t xml:space="preserve"> </w:t>
            </w:r>
          </w:p>
        </w:tc>
        <w:tc>
          <w:tcPr>
            <w:tcW w:w="2717" w:type="dxa"/>
            <w:gridSpan w:val="2"/>
            <w:tcBorders/>
          </w:tcPr>
          <w:p>
            <w:pPr>
              <w:pStyle w:val="Normal"/>
              <w:spacing w:before="0" w:after="0"/>
              <w:jc w:val="left"/>
              <w:rPr>
                <w:sz w:val="20"/>
                <w:szCs w:val="20"/>
              </w:rPr>
            </w:pPr>
            <w:r>
              <w:rPr/>
              <w:drawing>
                <wp:inline distT="0" distB="0" distL="0" distR="0">
                  <wp:extent cx="775335" cy="407670"/>
                  <wp:effectExtent l="0" t="0" r="0" b="0"/>
                  <wp:docPr id="15" name="Slika 29" descr="C:\Users\Korisnik2-DLS\AppData\Local\Microsoft\Windows\INetCache\Content.Word\Danijela Štimac pot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lika 29" descr="C:\Users\Korisnik2-DLS\AppData\Local\Microsoft\Windows\INetCache\Content.Word\Danijela Štimac potpis.png"/>
                          <pic:cNvPicPr>
                            <a:picLocks noChangeAspect="1" noChangeArrowheads="1"/>
                          </pic:cNvPicPr>
                        </pic:nvPicPr>
                        <pic:blipFill>
                          <a:blip r:embed="rId10"/>
                          <a:stretch>
                            <a:fillRect/>
                          </a:stretch>
                        </pic:blipFill>
                        <pic:spPr bwMode="auto">
                          <a:xfrm>
                            <a:off x="0" y="0"/>
                            <a:ext cx="775335" cy="407670"/>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tcPr>
          <w:p>
            <w:pPr>
              <w:pStyle w:val="Normal"/>
              <w:spacing w:before="0" w:after="0"/>
              <w:jc w:val="left"/>
              <w:rPr>
                <w:i/>
                <w:i/>
                <w:iCs/>
                <w:color w:val="auto"/>
                <w:sz w:val="20"/>
                <w:szCs w:val="20"/>
              </w:rPr>
            </w:pPr>
            <w:r>
              <w:rPr>
                <w:color w:val="auto"/>
                <w:sz w:val="20"/>
                <w:szCs w:val="20"/>
              </w:rPr>
              <w:t>Matija Široka</w:t>
            </w:r>
          </w:p>
        </w:tc>
        <w:tc>
          <w:tcPr>
            <w:tcW w:w="2438" w:type="dxa"/>
            <w:gridSpan w:val="2"/>
            <w:tcBorders/>
          </w:tcPr>
          <w:p>
            <w:pPr>
              <w:pStyle w:val="Normal"/>
              <w:spacing w:lineRule="auto" w:line="240" w:before="0" w:after="0"/>
              <w:jc w:val="left"/>
              <w:rPr>
                <w:color w:val="auto"/>
                <w:sz w:val="20"/>
                <w:szCs w:val="20"/>
              </w:rPr>
            </w:pPr>
            <w:r>
              <w:rPr>
                <w:sz w:val="20"/>
                <w:szCs w:val="20"/>
              </w:rPr>
              <w:t xml:space="preserve">oecol., mag.sanit.ing.    </w:t>
            </w:r>
          </w:p>
        </w:tc>
        <w:tc>
          <w:tcPr>
            <w:tcW w:w="2717" w:type="dxa"/>
            <w:gridSpan w:val="2"/>
            <w:tcBorders/>
          </w:tcPr>
          <w:p>
            <w:pPr>
              <w:pStyle w:val="Normal"/>
              <w:spacing w:before="0" w:after="0"/>
              <w:jc w:val="left"/>
              <w:rPr>
                <w:sz w:val="20"/>
                <w:szCs w:val="20"/>
              </w:rPr>
            </w:pPr>
            <w:r>
              <w:rPr/>
              <w:drawing>
                <wp:inline distT="0" distB="0" distL="0" distR="0">
                  <wp:extent cx="829310" cy="469265"/>
                  <wp:effectExtent l="0" t="0" r="0" b="0"/>
                  <wp:docPr id="1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76" descr="Icon&#10;&#10;Description automatically generated"/>
                          <pic:cNvPicPr>
                            <a:picLocks noChangeAspect="1" noChangeArrowheads="1"/>
                          </pic:cNvPicPr>
                        </pic:nvPicPr>
                        <pic:blipFill>
                          <a:blip r:embed="rId11"/>
                          <a:stretch>
                            <a:fillRect/>
                          </a:stretch>
                        </pic:blipFill>
                        <pic:spPr bwMode="auto">
                          <a:xfrm>
                            <a:off x="0" y="0"/>
                            <a:ext cx="829310" cy="469265"/>
                          </a:xfrm>
                          <a:prstGeom prst="rect">
                            <a:avLst/>
                          </a:prstGeom>
                        </pic:spPr>
                      </pic:pic>
                    </a:graphicData>
                  </a:graphic>
                </wp:inline>
              </w:drawing>
            </w:r>
          </w:p>
        </w:tc>
      </w:tr>
      <w:tr>
        <w:trPr>
          <w:trHeight w:val="340" w:hRule="atLeast"/>
        </w:trPr>
        <w:tc>
          <w:tcPr>
            <w:tcW w:w="1712" w:type="dxa"/>
            <w:gridSpan w:val="2"/>
            <w:tcBorders/>
            <w:vAlign w:val="center"/>
          </w:tcPr>
          <w:p>
            <w:pPr>
              <w:pStyle w:val="Normal"/>
              <w:spacing w:before="0" w:after="0"/>
              <w:jc w:val="left"/>
              <w:rPr>
                <w:sz w:val="20"/>
                <w:szCs w:val="20"/>
              </w:rPr>
            </w:pPr>
            <w:r>
              <w:rPr>
                <w:sz w:val="20"/>
                <w:szCs w:val="20"/>
              </w:rPr>
            </w:r>
          </w:p>
        </w:tc>
        <w:tc>
          <w:tcPr>
            <w:tcW w:w="2290" w:type="dxa"/>
            <w:tcBorders/>
          </w:tcPr>
          <w:p>
            <w:pPr>
              <w:pStyle w:val="Normal"/>
              <w:spacing w:before="0" w:after="0"/>
              <w:jc w:val="left"/>
              <w:rPr>
                <w:i/>
                <w:i/>
                <w:iCs/>
                <w:color w:val="auto"/>
                <w:sz w:val="20"/>
                <w:szCs w:val="20"/>
              </w:rPr>
            </w:pPr>
            <w:r>
              <w:rPr>
                <w:color w:val="auto"/>
                <w:sz w:val="20"/>
                <w:szCs w:val="20"/>
              </w:rPr>
              <w:t>Laura Polonijo</w:t>
            </w:r>
          </w:p>
        </w:tc>
        <w:tc>
          <w:tcPr>
            <w:tcW w:w="2438" w:type="dxa"/>
            <w:gridSpan w:val="2"/>
            <w:tcBorders/>
          </w:tcPr>
          <w:p>
            <w:pPr>
              <w:pStyle w:val="Normal"/>
              <w:spacing w:lineRule="auto" w:line="240" w:before="0" w:after="0"/>
              <w:jc w:val="left"/>
              <w:rPr>
                <w:color w:val="auto"/>
                <w:sz w:val="20"/>
                <w:szCs w:val="20"/>
              </w:rPr>
            </w:pPr>
            <w:r>
              <w:rPr>
                <w:color w:val="000000"/>
                <w:sz w:val="20"/>
                <w:szCs w:val="20"/>
                <w:lang w:bidi="en-US"/>
              </w:rPr>
              <w:t>mag.oecol.</w:t>
            </w:r>
          </w:p>
        </w:tc>
        <w:tc>
          <w:tcPr>
            <w:tcW w:w="2717" w:type="dxa"/>
            <w:gridSpan w:val="2"/>
            <w:tcBorders/>
          </w:tcPr>
          <w:p>
            <w:pPr>
              <w:pStyle w:val="Normal"/>
              <w:spacing w:before="0" w:after="0"/>
              <w:jc w:val="left"/>
              <w:rPr>
                <w:sz w:val="20"/>
                <w:szCs w:val="20"/>
              </w:rPr>
            </w:pPr>
            <w:r>
              <w:rPr/>
              <w:drawing>
                <wp:inline distT="0" distB="0" distL="0" distR="0">
                  <wp:extent cx="1036320" cy="463550"/>
                  <wp:effectExtent l="0" t="0" r="0" b="0"/>
                  <wp:docPr id="17" name="Picture 48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80" descr="Text, letter&#10;&#10;Description automatically generated"/>
                          <pic:cNvPicPr>
                            <a:picLocks noChangeAspect="1" noChangeArrowheads="1"/>
                          </pic:cNvPicPr>
                        </pic:nvPicPr>
                        <pic:blipFill>
                          <a:blip r:embed="rId12"/>
                          <a:stretch>
                            <a:fillRect/>
                          </a:stretch>
                        </pic:blipFill>
                        <pic:spPr bwMode="auto">
                          <a:xfrm>
                            <a:off x="0" y="0"/>
                            <a:ext cx="1036320" cy="463550"/>
                          </a:xfrm>
                          <a:prstGeom prst="rect">
                            <a:avLst/>
                          </a:prstGeom>
                        </pic:spPr>
                      </pic:pic>
                    </a:graphicData>
                  </a:graphic>
                </wp:inline>
              </w:drawing>
            </w:r>
          </w:p>
        </w:tc>
      </w:tr>
    </w:tbl>
    <w:p>
      <w:pPr>
        <w:pStyle w:val="Normal"/>
        <w:tabs>
          <w:tab w:val="clear" w:pos="708"/>
          <w:tab w:val="left" w:pos="300" w:leader="none"/>
        </w:tabs>
        <w:rPr/>
      </w:pPr>
      <w:r>
        <w:rPr/>
      </w:r>
    </w:p>
    <w:p>
      <w:pPr>
        <w:pStyle w:val="Normal"/>
        <w:spacing w:before="80" w:after="0"/>
        <w:jc w:val="center"/>
        <w:rPr/>
      </w:pPr>
      <w:r>
        <mc:AlternateContent>
          <mc:Choice Requires="wps">
            <w:drawing>
              <wp:anchor behindDoc="1" distT="0" distB="0" distL="114300" distR="114300" simplePos="0" locked="0" layoutInCell="1" allowOverlap="1" relativeHeight="45" wp14:anchorId="08B12EE5">
                <wp:simplePos x="0" y="0"/>
                <wp:positionH relativeFrom="margin">
                  <wp:align>center</wp:align>
                </wp:positionH>
                <wp:positionV relativeFrom="margin">
                  <wp:posOffset>6045200</wp:posOffset>
                </wp:positionV>
                <wp:extent cx="1104900" cy="458470"/>
                <wp:effectExtent l="38100" t="76200" r="39370" b="76200"/>
                <wp:wrapTopAndBottom/>
                <wp:docPr id="18" name="Picture 3"/>
                <a:graphic xmlns:a="http://schemas.openxmlformats.org/drawingml/2006/main">
                  <a:graphicData uri="http://schemas.openxmlformats.org/drawingml/2006/picture">
                    <pic:pic xmlns:pic="http://schemas.openxmlformats.org/drawingml/2006/picture">
                      <pic:nvPicPr>
                        <pic:cNvPr id="0" name="Picture 3" descr=""/>
                        <pic:cNvPicPr/>
                      </pic:nvPicPr>
                      <pic:blipFill>
                        <a:blip r:embed="rId13"/>
                        <a:stretch/>
                      </pic:blipFill>
                      <pic:spPr>
                        <a:xfrm rot="21148800">
                          <a:off x="0" y="0"/>
                          <a:ext cx="1104120" cy="457920"/>
                        </a:xfrm>
                        <a:prstGeom prst="rect">
                          <a:avLst/>
                        </a:prstGeom>
                        <a:ln>
                          <a:noFill/>
                        </a:ln>
                      </pic:spPr>
                    </pic:pic>
                  </a:graphicData>
                </a:graphic>
              </wp:anchor>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3" stroked="f" style="position:absolute;margin-left:183.25pt;margin-top:476pt;width:86.9pt;height:36pt;rotation:352;mso-position-horizontal:center;mso-position-horizontal-relative:margin;mso-position-vertical-relative:margin" wp14:anchorId="08B12EE5" type="shapetype_75">
                <v:imagedata r:id="rId13" o:detectmouseclick="t"/>
                <w10:wrap type="none"/>
                <v:stroke color="#3465a4" joinstyle="round" endcap="flat"/>
              </v:shape>
            </w:pict>
          </mc:Fallback>
        </mc:AlternateContent>
      </w:r>
      <w:r>
        <w:rPr/>
        <w:t>M.P.</w:t>
      </w:r>
    </w:p>
    <w:p>
      <w:pPr>
        <w:pStyle w:val="Normal"/>
        <w:jc w:val="center"/>
        <w:rPr/>
      </w:pPr>
      <w:r>
        <w:rPr/>
      </w:r>
    </w:p>
    <w:p>
      <w:pPr>
        <w:pStyle w:val="Normal"/>
        <w:tabs>
          <w:tab w:val="clear" w:pos="708"/>
          <w:tab w:val="left" w:pos="2442" w:leader="none"/>
          <w:tab w:val="right" w:pos="9070" w:leader="none"/>
        </w:tabs>
        <w:spacing w:before="80" w:after="0"/>
        <w:jc w:val="left"/>
        <w:rPr>
          <w:b/>
          <w:b/>
          <w:sz w:val="20"/>
        </w:rPr>
      </w:pPr>
      <w:r>
        <w:rPr>
          <w:b/>
          <w:sz w:val="20"/>
        </w:rPr>
        <w:tab/>
        <w:tab/>
        <w:t>Odgovorna osoba</w:t>
      </w:r>
    </w:p>
    <w:p>
      <w:pPr>
        <w:pStyle w:val="Normal"/>
        <w:spacing w:before="0" w:after="0"/>
        <w:jc w:val="right"/>
        <w:rPr/>
      </w:pPr>
      <w:r>
        <w:rPr/>
        <w:t xml:space="preserve">  </w:t>
      </w:r>
      <w:r>
        <w:rPr/>
        <w:t>Igor Meixner, dipl.ing.kem.tehn.</w:t>
      </w:r>
    </w:p>
    <w:p>
      <w:pPr>
        <w:pStyle w:val="Normal"/>
        <w:spacing w:before="80" w:after="0"/>
        <w:jc w:val="right"/>
        <w:rPr/>
      </w:pPr>
      <w:r>
        <w:rPr/>
        <w:drawing>
          <wp:anchor behindDoc="1" distT="0" distB="0" distL="0" distR="0" simplePos="0" locked="0" layoutInCell="1" allowOverlap="1" relativeHeight="44">
            <wp:simplePos x="0" y="0"/>
            <wp:positionH relativeFrom="margin">
              <wp:align>right</wp:align>
            </wp:positionH>
            <wp:positionV relativeFrom="paragraph">
              <wp:posOffset>13335</wp:posOffset>
            </wp:positionV>
            <wp:extent cx="934085" cy="716915"/>
            <wp:effectExtent l="0" t="0" r="0" b="0"/>
            <wp:wrapNone/>
            <wp:docPr id="19" name="Slika 454"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454" descr="Igor Meixner"/>
                    <pic:cNvPicPr>
                      <a:picLocks noChangeAspect="1" noChangeArrowheads="1"/>
                    </pic:cNvPicPr>
                  </pic:nvPicPr>
                  <pic:blipFill>
                    <a:blip r:embed="rId14"/>
                    <a:stretch>
                      <a:fillRect/>
                    </a:stretch>
                  </pic:blipFill>
                  <pic:spPr bwMode="auto">
                    <a:xfrm>
                      <a:off x="0" y="0"/>
                      <a:ext cx="934085" cy="716915"/>
                    </a:xfrm>
                    <a:prstGeom prst="rect">
                      <a:avLst/>
                    </a:prstGeom>
                  </pic:spPr>
                </pic:pic>
              </a:graphicData>
            </a:graphic>
          </wp:anchor>
        </w:drawing>
      </w:r>
    </w:p>
    <w:p>
      <w:pPr>
        <w:pStyle w:val="Normal"/>
        <w:tabs>
          <w:tab w:val="clear" w:pos="708"/>
          <w:tab w:val="left" w:pos="300" w:leader="none"/>
        </w:tabs>
        <w:rPr/>
      </w:pPr>
      <w:r>
        <w:rPr/>
      </w:r>
    </w:p>
    <w:p>
      <w:pPr>
        <w:pStyle w:val="Normal"/>
        <w:rPr/>
      </w:pPr>
      <w:r>
        <w:rPr/>
      </w:r>
    </w:p>
    <w:p>
      <w:pPr>
        <w:pStyle w:val="Normal"/>
        <w:spacing w:lineRule="auto" w:line="240" w:before="0" w:after="0"/>
        <w:jc w:val="center"/>
        <w:rPr>
          <w:i/>
          <w:i/>
          <w:sz w:val="16"/>
        </w:rPr>
      </w:pPr>
      <w:r>
        <w:rPr>
          <w:i/>
          <w:sz w:val="16"/>
        </w:rPr>
        <w:t>Ovaj dokument u cijelom svom sadržaju predstavlja vlasništvo Grada Buja te je zabranjeno kopiranje, umnožavanje ili pak objavljivanje u bilo kojem obliku osim zakonski propisanog bez prethodne pismene suglasnosti odgovorne osobe Grada Buja.</w:t>
      </w:r>
    </w:p>
    <w:p>
      <w:pPr>
        <w:pStyle w:val="Normal"/>
        <w:spacing w:lineRule="auto" w:line="240" w:before="0" w:after="0"/>
        <w:rPr>
          <w:i/>
          <w:i/>
          <w:sz w:val="16"/>
        </w:rPr>
      </w:pPr>
      <w:r>
        <w:rPr>
          <w:i/>
          <w:sz w:val="16"/>
        </w:rPr>
      </w:r>
    </w:p>
    <w:p>
      <w:pPr>
        <w:pStyle w:val="Normal"/>
        <w:spacing w:lineRule="auto" w:line="240" w:before="0" w:after="0"/>
        <w:jc w:val="center"/>
        <w:rPr>
          <w:i/>
          <w:i/>
          <w:sz w:val="16"/>
        </w:rPr>
      </w:pPr>
      <w:r>
        <w:rPr>
          <w:i/>
          <w:sz w:val="16"/>
        </w:rPr>
        <w:t>Zabranjeno je umnožavanje ovog dokumenta ili njegovog dijela u bilo kojem obliku i</w:t>
      </w:r>
    </w:p>
    <w:p>
      <w:pPr>
        <w:pStyle w:val="Normal"/>
        <w:spacing w:lineRule="auto" w:line="240" w:before="0" w:after="0"/>
        <w:jc w:val="center"/>
        <w:rPr>
          <w:i/>
          <w:i/>
          <w:sz w:val="16"/>
          <w:highlight w:val="yellow"/>
        </w:rPr>
      </w:pPr>
      <w:r>
        <w:rPr>
          <w:i/>
          <w:sz w:val="16"/>
        </w:rPr>
        <w:t>na bilo koji način bez prethodne suglasnosti ovlaštene osobe tvrtke DLS d.o.o. Rijeka.</w:t>
      </w:r>
      <w:r>
        <w:rPr>
          <w:i/>
          <w:sz w:val="16"/>
          <w:highlight w:val="yellow"/>
        </w:rPr>
        <w:t xml:space="preserve"> </w:t>
      </w:r>
    </w:p>
    <w:p>
      <w:pPr>
        <w:pStyle w:val="Normal"/>
        <w:spacing w:lineRule="auto" w:line="240" w:before="0" w:after="0"/>
        <w:jc w:val="center"/>
        <w:rPr>
          <w:i/>
          <w:i/>
          <w:sz w:val="16"/>
          <w:highlight w:val="yellow"/>
        </w:rPr>
      </w:pPr>
      <w:r>
        <w:rPr>
          <w:i/>
          <w:sz w:val="16"/>
          <w:highlight w:val="yellow"/>
        </w:rPr>
      </w:r>
    </w:p>
    <w:p>
      <w:pPr>
        <w:pStyle w:val="Normal"/>
        <w:rPr/>
      </w:pPr>
      <w:sdt>
        <w:sdtPr>
          <w:id w:val="472080650"/>
        </w:sdtPr>
        <w:sdtContent>
          <w:r>
            <w:rPr/>
            <w:t xml:space="preserve">S A D R Ž A J </w:t>
          </w:r>
          <w:r>
            <w:rPr/>
            <w:t xml:space="preserve"> </w:t>
          </w:r>
        </w:sdtContent>
      </w:sdt>
    </w:p>
    <w:sdt>
      <w:sdtPr>
        <w:docPartObj>
          <w:docPartGallery w:val="Table of Contents"/>
          <w:docPartUnique w:val="true"/>
        </w:docPartObj>
      </w:sdtPr>
      <w:sdtContent>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r>
            <w:fldChar w:fldCharType="begin"/>
          </w:r>
          <w:r>
            <w:rPr>
              <w:webHidden/>
              <w:rStyle w:val="Indeksnapoveznica"/>
              <w:vanish w:val="false"/>
            </w:rPr>
            <w:instrText> TOC \z \o "1-3" \u \h</w:instrText>
          </w:r>
          <w:r>
            <w:rPr>
              <w:webHidden/>
              <w:rStyle w:val="Indeksnapoveznica"/>
              <w:vanish w:val="false"/>
            </w:rPr>
            <w:fldChar w:fldCharType="separate"/>
          </w:r>
          <w:hyperlink w:anchor="_Toc116990093">
            <w:r>
              <w:rPr>
                <w:webHidden/>
                <w:rStyle w:val="Indeksnapoveznica"/>
                <w:vanish w:val="false"/>
              </w:rPr>
              <w:t>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Uvod</w:t>
            </w:r>
            <w:r>
              <w:rPr>
                <w:webHidden/>
              </w:rPr>
              <w:fldChar w:fldCharType="begin"/>
            </w:r>
            <w:r>
              <w:rPr>
                <w:webHidden/>
              </w:rPr>
              <w:instrText>PAGEREF _Toc116990093 \h</w:instrText>
            </w:r>
            <w:r>
              <w:rPr>
                <w:webHidden/>
              </w:rPr>
              <w:fldChar w:fldCharType="separate"/>
            </w:r>
            <w:r>
              <w:rPr>
                <w:rStyle w:val="Indeksnapoveznica"/>
                <w:vanish w:val="false"/>
              </w:rPr>
              <w:tab/>
              <w:t>8</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094">
            <w:r>
              <w:rPr>
                <w:webHidden/>
                <w:rStyle w:val="Indeksnapoveznica"/>
                <w:rFonts w:eastAsia="" w:eastAsiaTheme="majorEastAsia"/>
                <w:vanish w:val="false"/>
                <w14:scene3d>
                  <w14:camera w14:prst="orthographicFront"/>
                  <w14:lightRig w14:rig="threePt" w14:dir="t">
                    <w14:rot w14:lat="0" w14:lon="0" w14:rev="0"/>
                  </w14:lightRig>
                </w14:scene3d>
              </w:rPr>
              <w:t>1.1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Temelj za izradu procjene rizika</w:t>
            </w:r>
            <w:r>
              <w:rPr>
                <w:webHidden/>
              </w:rPr>
              <w:fldChar w:fldCharType="begin"/>
            </w:r>
            <w:r>
              <w:rPr>
                <w:webHidden/>
              </w:rPr>
              <w:instrText>PAGEREF _Toc116990094 \h</w:instrText>
            </w:r>
            <w:r>
              <w:rPr>
                <w:webHidden/>
              </w:rPr>
              <w:fldChar w:fldCharType="separate"/>
            </w:r>
            <w:r>
              <w:rPr>
                <w:rStyle w:val="Indeksnapoveznica"/>
                <w:vanish w:val="false"/>
              </w:rPr>
              <w:tab/>
              <w:t>8</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095">
            <w:r>
              <w:rPr>
                <w:webHidden/>
                <w:rStyle w:val="Indeksnapoveznica"/>
                <w:vanish w:val="false"/>
              </w:rPr>
              <w:t>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Osnovne karakteristike područja Grada Buja</w:t>
            </w:r>
            <w:r>
              <w:rPr>
                <w:webHidden/>
              </w:rPr>
              <w:fldChar w:fldCharType="begin"/>
            </w:r>
            <w:r>
              <w:rPr>
                <w:webHidden/>
              </w:rPr>
              <w:instrText>PAGEREF _Toc116990095 \h</w:instrText>
            </w:r>
            <w:r>
              <w:rPr>
                <w:webHidden/>
              </w:rPr>
              <w:fldChar w:fldCharType="separate"/>
            </w:r>
            <w:r>
              <w:rPr>
                <w:rStyle w:val="Indeksnapoveznica"/>
                <w:vanish w:val="false"/>
              </w:rPr>
              <w:tab/>
              <w:t>10</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096">
            <w:r>
              <w:rPr>
                <w:webHidden/>
                <w:rStyle w:val="Indeksnapoveznica"/>
                <w:vanish w:val="false"/>
                <w14:scene3d>
                  <w14:camera w14:prst="orthographicFront"/>
                  <w14:lightRig w14:rig="threePt" w14:dir="t">
                    <w14:rot w14:lat="0" w14:lon="0" w14:rev="0"/>
                  </w14:lightRig>
                </w14:scene3d>
              </w:rPr>
              <w:t>2.1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Geografski pokazatelji</w:t>
            </w:r>
            <w:r>
              <w:rPr>
                <w:webHidden/>
              </w:rPr>
              <w:fldChar w:fldCharType="begin"/>
            </w:r>
            <w:r>
              <w:rPr>
                <w:webHidden/>
              </w:rPr>
              <w:instrText>PAGEREF _Toc116990096 \h</w:instrText>
            </w:r>
            <w:r>
              <w:rPr>
                <w:webHidden/>
              </w:rPr>
              <w:fldChar w:fldCharType="separate"/>
            </w:r>
            <w:r>
              <w:rPr>
                <w:rStyle w:val="Indeksnapoveznica"/>
                <w:vanish w:val="false"/>
              </w:rPr>
              <w:tab/>
              <w:t>10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097">
            <w:r>
              <w:rPr>
                <w:webHidden/>
                <w:rStyle w:val="Indeksnapoveznica"/>
                <w:vanish w:val="false"/>
                <w:lang w:bidi="en-US"/>
              </w:rPr>
              <w:t>2.1.1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Geografski položaj</w:t>
            </w:r>
            <w:r>
              <w:rPr>
                <w:webHidden/>
              </w:rPr>
              <w:fldChar w:fldCharType="begin"/>
            </w:r>
            <w:r>
              <w:rPr>
                <w:webHidden/>
              </w:rPr>
              <w:instrText>PAGEREF _Toc116990097 \h</w:instrText>
            </w:r>
            <w:r>
              <w:rPr>
                <w:webHidden/>
              </w:rPr>
              <w:fldChar w:fldCharType="separate"/>
            </w:r>
            <w:r>
              <w:rPr>
                <w:rStyle w:val="Indeksnapoveznica"/>
                <w:vanish w:val="false"/>
              </w:rPr>
              <w:tab/>
              <w:t>10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098">
            <w:r>
              <w:rPr>
                <w:webHidden/>
                <w:rStyle w:val="Indeksnapoveznica"/>
                <w:vanish w:val="false"/>
                <w:lang w:bidi="en-US"/>
              </w:rPr>
              <w:t>2.1.2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Broj stanovnika</w:t>
            </w:r>
            <w:r>
              <w:rPr>
                <w:webHidden/>
              </w:rPr>
              <w:fldChar w:fldCharType="begin"/>
            </w:r>
            <w:r>
              <w:rPr>
                <w:webHidden/>
              </w:rPr>
              <w:instrText>PAGEREF _Toc116990098 \h</w:instrText>
            </w:r>
            <w:r>
              <w:rPr>
                <w:webHidden/>
              </w:rPr>
              <w:fldChar w:fldCharType="separate"/>
            </w:r>
            <w:r>
              <w:rPr>
                <w:rStyle w:val="Indeksnapoveznica"/>
                <w:vanish w:val="false"/>
              </w:rPr>
              <w:tab/>
              <w:t>11</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099">
            <w:r>
              <w:rPr>
                <w:webHidden/>
                <w:rStyle w:val="Indeksnapoveznica"/>
                <w:vanish w:val="false"/>
                <w:lang w:bidi="en-US"/>
              </w:rPr>
              <w:t>2.1.3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Gustoća naseljenosti</w:t>
            </w:r>
            <w:r>
              <w:rPr>
                <w:webHidden/>
              </w:rPr>
              <w:fldChar w:fldCharType="begin"/>
            </w:r>
            <w:r>
              <w:rPr>
                <w:webHidden/>
              </w:rPr>
              <w:instrText>PAGEREF _Toc116990099 \h</w:instrText>
            </w:r>
            <w:r>
              <w:rPr>
                <w:webHidden/>
              </w:rPr>
              <w:fldChar w:fldCharType="separate"/>
            </w:r>
            <w:r>
              <w:rPr>
                <w:rStyle w:val="Indeksnapoveznica"/>
                <w:vanish w:val="false"/>
              </w:rPr>
              <w:tab/>
              <w:t>13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0">
            <w:r>
              <w:rPr>
                <w:webHidden/>
                <w:rStyle w:val="Indeksnapoveznica"/>
                <w:vanish w:val="false"/>
                <w:lang w:bidi="en-US"/>
              </w:rPr>
              <w:t>2.1.4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Razmještaj stanovništva</w:t>
            </w:r>
            <w:r>
              <w:rPr>
                <w:webHidden/>
              </w:rPr>
              <w:fldChar w:fldCharType="begin"/>
            </w:r>
            <w:r>
              <w:rPr>
                <w:webHidden/>
              </w:rPr>
              <w:instrText>PAGEREF _Toc116990100 \h</w:instrText>
            </w:r>
            <w:r>
              <w:rPr>
                <w:webHidden/>
              </w:rPr>
              <w:fldChar w:fldCharType="separate"/>
            </w:r>
            <w:r>
              <w:rPr>
                <w:rStyle w:val="Indeksnapoveznica"/>
                <w:vanish w:val="false"/>
              </w:rPr>
              <w:tab/>
              <w:t>13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1">
            <w:r>
              <w:rPr>
                <w:webHidden/>
                <w:rStyle w:val="Indeksnapoveznica"/>
                <w:vanish w:val="false"/>
                <w:lang w:bidi="en-US"/>
              </w:rPr>
              <w:t>2.1.5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Prometna povezanost</w:t>
            </w:r>
            <w:r>
              <w:rPr>
                <w:webHidden/>
              </w:rPr>
              <w:fldChar w:fldCharType="begin"/>
            </w:r>
            <w:r>
              <w:rPr>
                <w:webHidden/>
              </w:rPr>
              <w:instrText>PAGEREF _Toc116990101 \h</w:instrText>
            </w:r>
            <w:r>
              <w:rPr>
                <w:webHidden/>
              </w:rPr>
              <w:fldChar w:fldCharType="separate"/>
            </w:r>
            <w:r>
              <w:rPr>
                <w:rStyle w:val="Indeksnapoveznica"/>
                <w:vanish w:val="false"/>
              </w:rPr>
              <w:tab/>
              <w:t>14</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02">
            <w:r>
              <w:rPr>
                <w:webHidden/>
                <w:rStyle w:val="Indeksnapoveznica"/>
                <w:vanish w:val="false"/>
                <w14:scene3d>
                  <w14:camera w14:prst="orthographicFront"/>
                  <w14:lightRig w14:rig="threePt" w14:dir="t">
                    <w14:rot w14:lat="0" w14:lon="0" w14:rev="0"/>
                  </w14:lightRig>
                </w14:scene3d>
              </w:rPr>
              <w:t>2.2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Društveno-politički pokazatelji</w:t>
            </w:r>
            <w:r>
              <w:rPr>
                <w:webHidden/>
              </w:rPr>
              <w:fldChar w:fldCharType="begin"/>
            </w:r>
            <w:r>
              <w:rPr>
                <w:webHidden/>
              </w:rPr>
              <w:instrText>PAGEREF _Toc116990102 \h</w:instrText>
            </w:r>
            <w:r>
              <w:rPr>
                <w:webHidden/>
              </w:rPr>
              <w:fldChar w:fldCharType="separate"/>
            </w:r>
            <w:r>
              <w:rPr>
                <w:rStyle w:val="Indeksnapoveznica"/>
                <w:vanish w:val="false"/>
              </w:rPr>
              <w:tab/>
              <w:t>15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3">
            <w:r>
              <w:rPr>
                <w:webHidden/>
                <w:rStyle w:val="Indeksnapoveznica"/>
                <w:vanish w:val="false"/>
                <w:lang w:bidi="en-US"/>
              </w:rPr>
              <w:t>2.2.1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Sjedišta uprava tijela jedinice lokalne samouprave</w:t>
            </w:r>
            <w:r>
              <w:rPr>
                <w:webHidden/>
              </w:rPr>
              <w:fldChar w:fldCharType="begin"/>
            </w:r>
            <w:r>
              <w:rPr>
                <w:webHidden/>
              </w:rPr>
              <w:instrText>PAGEREF _Toc116990103 \h</w:instrText>
            </w:r>
            <w:r>
              <w:rPr>
                <w:webHidden/>
              </w:rPr>
              <w:fldChar w:fldCharType="separate"/>
            </w:r>
            <w:r>
              <w:rPr>
                <w:rStyle w:val="Indeksnapoveznica"/>
                <w:vanish w:val="false"/>
              </w:rPr>
              <w:tab/>
              <w:t>15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4">
            <w:r>
              <w:rPr>
                <w:webHidden/>
                <w:rStyle w:val="Indeksnapoveznica"/>
                <w:vanish w:val="false"/>
                <w:lang w:bidi="en-US"/>
              </w:rPr>
              <w:t>2.2.2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Zdravstvene ustanove</w:t>
            </w:r>
            <w:r>
              <w:rPr>
                <w:webHidden/>
              </w:rPr>
              <w:fldChar w:fldCharType="begin"/>
            </w:r>
            <w:r>
              <w:rPr>
                <w:webHidden/>
              </w:rPr>
              <w:instrText>PAGEREF _Toc116990104 \h</w:instrText>
            </w:r>
            <w:r>
              <w:rPr>
                <w:webHidden/>
              </w:rPr>
              <w:fldChar w:fldCharType="separate"/>
            </w:r>
            <w:r>
              <w:rPr>
                <w:rStyle w:val="Indeksnapoveznica"/>
                <w:vanish w:val="false"/>
              </w:rPr>
              <w:tab/>
              <w:t>16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5">
            <w:r>
              <w:rPr>
                <w:webHidden/>
                <w:rStyle w:val="Indeksnapoveznica"/>
                <w:vanish w:val="false"/>
                <w:lang w:bidi="en-US"/>
              </w:rPr>
              <w:t>2.2.3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Odgojno-obrazovne ustanove</w:t>
            </w:r>
            <w:r>
              <w:rPr>
                <w:webHidden/>
              </w:rPr>
              <w:fldChar w:fldCharType="begin"/>
            </w:r>
            <w:r>
              <w:rPr>
                <w:webHidden/>
              </w:rPr>
              <w:instrText>PAGEREF _Toc116990105 \h</w:instrText>
            </w:r>
            <w:r>
              <w:rPr>
                <w:webHidden/>
              </w:rPr>
              <w:fldChar w:fldCharType="separate"/>
            </w:r>
            <w:r>
              <w:rPr>
                <w:rStyle w:val="Indeksnapoveznica"/>
                <w:vanish w:val="false"/>
              </w:rPr>
              <w:tab/>
              <w:t>17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6">
            <w:r>
              <w:rPr>
                <w:webHidden/>
                <w:rStyle w:val="Indeksnapoveznica"/>
                <w:vanish w:val="false"/>
                <w:lang w:bidi="en-US"/>
              </w:rPr>
              <w:t>2.2.4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Broj kućanstava</w:t>
            </w:r>
            <w:r>
              <w:rPr>
                <w:webHidden/>
              </w:rPr>
              <w:fldChar w:fldCharType="begin"/>
            </w:r>
            <w:r>
              <w:rPr>
                <w:webHidden/>
              </w:rPr>
              <w:instrText>PAGEREF _Toc116990106 \h</w:instrText>
            </w:r>
            <w:r>
              <w:rPr>
                <w:webHidden/>
              </w:rPr>
              <w:fldChar w:fldCharType="separate"/>
            </w:r>
            <w:r>
              <w:rPr>
                <w:rStyle w:val="Indeksnapoveznica"/>
                <w:vanish w:val="false"/>
              </w:rPr>
              <w:tab/>
              <w:t>18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7">
            <w:r>
              <w:rPr>
                <w:webHidden/>
                <w:rStyle w:val="Indeksnapoveznica"/>
                <w:vanish w:val="false"/>
                <w:lang w:bidi="en-US"/>
              </w:rPr>
              <w:t>2.2.5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Broj, vrsta (namjena) i starost građevina</w:t>
            </w:r>
            <w:r>
              <w:rPr>
                <w:webHidden/>
              </w:rPr>
              <w:fldChar w:fldCharType="begin"/>
            </w:r>
            <w:r>
              <w:rPr>
                <w:webHidden/>
              </w:rPr>
              <w:instrText>PAGEREF _Toc116990107 \h</w:instrText>
            </w:r>
            <w:r>
              <w:rPr>
                <w:webHidden/>
              </w:rPr>
              <w:fldChar w:fldCharType="separate"/>
            </w:r>
            <w:r>
              <w:rPr>
                <w:rStyle w:val="Indeksnapoveznica"/>
                <w:vanish w:val="false"/>
              </w:rPr>
              <w:tab/>
              <w:t>19</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08">
            <w:r>
              <w:rPr>
                <w:webHidden/>
                <w:rStyle w:val="Indeksnapoveznica"/>
                <w:vanish w:val="false"/>
                <w14:scene3d>
                  <w14:camera w14:prst="orthographicFront"/>
                  <w14:lightRig w14:rig="threePt" w14:dir="t">
                    <w14:rot w14:lat="0" w14:lon="0" w14:rev="0"/>
                  </w14:lightRig>
                </w14:scene3d>
              </w:rPr>
              <w:t>2.3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Ekonomsko – gospodarski pokazatelji</w:t>
            </w:r>
            <w:r>
              <w:rPr>
                <w:webHidden/>
              </w:rPr>
              <w:fldChar w:fldCharType="begin"/>
            </w:r>
            <w:r>
              <w:rPr>
                <w:webHidden/>
              </w:rPr>
              <w:instrText>PAGEREF _Toc116990108 \h</w:instrText>
            </w:r>
            <w:r>
              <w:rPr>
                <w:webHidden/>
              </w:rPr>
              <w:fldChar w:fldCharType="separate"/>
            </w:r>
            <w:r>
              <w:rPr>
                <w:rStyle w:val="Indeksnapoveznica"/>
                <w:vanish w:val="false"/>
              </w:rPr>
              <w:tab/>
              <w:t>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09">
            <w:r>
              <w:rPr>
                <w:webHidden/>
                <w:rStyle w:val="Indeksnapoveznica"/>
                <w:vanish w:val="false"/>
                <w:lang w:bidi="en-US"/>
              </w:rPr>
              <w:t>2.3.1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Broj zaposlenih i mjesta zaposlenja</w:t>
            </w:r>
            <w:r>
              <w:rPr>
                <w:webHidden/>
              </w:rPr>
              <w:fldChar w:fldCharType="begin"/>
            </w:r>
            <w:r>
              <w:rPr>
                <w:webHidden/>
              </w:rPr>
              <w:instrText>PAGEREF _Toc116990109 \h</w:instrText>
            </w:r>
            <w:r>
              <w:rPr>
                <w:webHidden/>
              </w:rPr>
              <w:fldChar w:fldCharType="separate"/>
            </w:r>
            <w:r>
              <w:rPr>
                <w:rStyle w:val="Indeksnapoveznica"/>
                <w:vanish w:val="false"/>
              </w:rPr>
              <w:tab/>
              <w:t>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0">
            <w:r>
              <w:rPr>
                <w:webHidden/>
                <w:rStyle w:val="Indeksnapoveznica"/>
                <w:vanish w:val="false"/>
                <w:lang w:bidi="en-US"/>
              </w:rPr>
              <w:t>2.3.2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Proračun Grada Buja</w:t>
            </w:r>
            <w:r>
              <w:rPr>
                <w:webHidden/>
              </w:rPr>
              <w:fldChar w:fldCharType="begin"/>
            </w:r>
            <w:r>
              <w:rPr>
                <w:webHidden/>
              </w:rPr>
              <w:instrText>PAGEREF _Toc116990110 \h</w:instrText>
            </w:r>
            <w:r>
              <w:rPr>
                <w:webHidden/>
              </w:rPr>
              <w:fldChar w:fldCharType="separate"/>
            </w:r>
            <w:r>
              <w:rPr>
                <w:rStyle w:val="Indeksnapoveznica"/>
                <w:vanish w:val="false"/>
              </w:rPr>
              <w:tab/>
              <w:t>22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1">
            <w:r>
              <w:rPr>
                <w:webHidden/>
                <w:rStyle w:val="Indeksnapoveznica"/>
                <w:vanish w:val="false"/>
                <w:lang w:bidi="en-US"/>
              </w:rPr>
              <w:t>2.3.3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Gospodarske grane</w:t>
            </w:r>
            <w:r>
              <w:rPr>
                <w:webHidden/>
              </w:rPr>
              <w:fldChar w:fldCharType="begin"/>
            </w:r>
            <w:r>
              <w:rPr>
                <w:webHidden/>
              </w:rPr>
              <w:instrText>PAGEREF _Toc116990111 \h</w:instrText>
            </w:r>
            <w:r>
              <w:rPr>
                <w:webHidden/>
              </w:rPr>
              <w:fldChar w:fldCharType="separate"/>
            </w:r>
            <w:r>
              <w:rPr>
                <w:rStyle w:val="Indeksnapoveznica"/>
                <w:vanish w:val="false"/>
              </w:rPr>
              <w:tab/>
              <w:t>22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2">
            <w:r>
              <w:rPr>
                <w:webHidden/>
                <w:rStyle w:val="Indeksnapoveznica"/>
                <w:vanish w:val="false"/>
                <w:lang w:bidi="en-US"/>
              </w:rPr>
              <w:t>2.3.4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Velike gospodarske tvrtke</w:t>
            </w:r>
            <w:r>
              <w:rPr>
                <w:webHidden/>
              </w:rPr>
              <w:fldChar w:fldCharType="begin"/>
            </w:r>
            <w:r>
              <w:rPr>
                <w:webHidden/>
              </w:rPr>
              <w:instrText>PAGEREF _Toc116990112 \h</w:instrText>
            </w:r>
            <w:r>
              <w:rPr>
                <w:webHidden/>
              </w:rPr>
              <w:fldChar w:fldCharType="separate"/>
            </w:r>
            <w:r>
              <w:rPr>
                <w:rStyle w:val="Indeksnapoveznica"/>
                <w:vanish w:val="false"/>
              </w:rPr>
              <w:tab/>
              <w:t>26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3">
            <w:r>
              <w:rPr>
                <w:webHidden/>
                <w:rStyle w:val="Indeksnapoveznica"/>
                <w:vanish w:val="false"/>
                <w:lang w:bidi="en-US"/>
              </w:rPr>
              <w:t>2.3.5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Objekti kritične infrastrukture</w:t>
            </w:r>
            <w:r>
              <w:rPr>
                <w:webHidden/>
              </w:rPr>
              <w:fldChar w:fldCharType="begin"/>
            </w:r>
            <w:r>
              <w:rPr>
                <w:webHidden/>
              </w:rPr>
              <w:instrText>PAGEREF _Toc116990113 \h</w:instrText>
            </w:r>
            <w:r>
              <w:rPr>
                <w:webHidden/>
              </w:rPr>
              <w:fldChar w:fldCharType="separate"/>
            </w:r>
            <w:r>
              <w:rPr>
                <w:rStyle w:val="Indeksnapoveznica"/>
                <w:vanish w:val="false"/>
              </w:rPr>
              <w:tab/>
              <w:t>26</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14">
            <w:r>
              <w:rPr>
                <w:webHidden/>
                <w:rStyle w:val="Indeksnapoveznica"/>
                <w:vanish w:val="false"/>
                <w14:scene3d>
                  <w14:camera w14:prst="orthographicFront"/>
                  <w14:lightRig w14:rig="threePt" w14:dir="t">
                    <w14:rot w14:lat="0" w14:lon="0" w14:rev="0"/>
                  </w14:lightRig>
                </w14:scene3d>
              </w:rPr>
              <w:t>2.4</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Prirodno – kulturni pokazatelji</w:t>
            </w:r>
            <w:r>
              <w:rPr>
                <w:webHidden/>
              </w:rPr>
              <w:fldChar w:fldCharType="begin"/>
            </w:r>
            <w:r>
              <w:rPr>
                <w:webHidden/>
              </w:rPr>
              <w:instrText>PAGEREF _Toc116990114 \h</w:instrText>
            </w:r>
            <w:r>
              <w:rPr>
                <w:webHidden/>
              </w:rPr>
              <w:fldChar w:fldCharType="separate"/>
            </w:r>
            <w:r>
              <w:rPr>
                <w:rStyle w:val="Indeksnapoveznica"/>
                <w:vanish w:val="false"/>
              </w:rPr>
              <w:tab/>
              <w:t>28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5">
            <w:r>
              <w:rPr>
                <w:webHidden/>
                <w:rStyle w:val="Indeksnapoveznica"/>
                <w:vanish w:val="false"/>
                <w:lang w:bidi="en-US"/>
              </w:rPr>
              <w:t>2.4.1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Prirodna baština</w:t>
            </w:r>
            <w:r>
              <w:rPr>
                <w:webHidden/>
              </w:rPr>
              <w:fldChar w:fldCharType="begin"/>
            </w:r>
            <w:r>
              <w:rPr>
                <w:webHidden/>
              </w:rPr>
              <w:instrText>PAGEREF _Toc116990115 \h</w:instrText>
            </w:r>
            <w:r>
              <w:rPr>
                <w:webHidden/>
              </w:rPr>
              <w:fldChar w:fldCharType="separate"/>
            </w:r>
            <w:r>
              <w:rPr>
                <w:rStyle w:val="Indeksnapoveznica"/>
                <w:vanish w:val="false"/>
              </w:rPr>
              <w:tab/>
              <w:t>28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6">
            <w:r>
              <w:rPr>
                <w:webHidden/>
                <w:rStyle w:val="Indeksnapoveznica"/>
                <w:vanish w:val="false"/>
                <w:lang w:bidi="en-US"/>
              </w:rPr>
              <w:t>2.4.2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Kulturno – povijesna baština</w:t>
            </w:r>
            <w:r>
              <w:rPr>
                <w:webHidden/>
              </w:rPr>
              <w:fldChar w:fldCharType="begin"/>
            </w:r>
            <w:r>
              <w:rPr>
                <w:webHidden/>
              </w:rPr>
              <w:instrText>PAGEREF _Toc116990116 \h</w:instrText>
            </w:r>
            <w:r>
              <w:rPr>
                <w:webHidden/>
              </w:rPr>
              <w:fldChar w:fldCharType="separate"/>
            </w:r>
            <w:r>
              <w:rPr>
                <w:rStyle w:val="Indeksnapoveznica"/>
                <w:vanish w:val="false"/>
              </w:rPr>
              <w:tab/>
              <w:t>29</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17">
            <w:r>
              <w:rPr>
                <w:webHidden/>
                <w:rStyle w:val="Indeksnapoveznica"/>
                <w:vanish w:val="false"/>
                <w14:scene3d>
                  <w14:camera w14:prst="orthographicFront"/>
                  <w14:lightRig w14:rig="threePt" w14:dir="t">
                    <w14:rot w14:lat="0" w14:lon="0" w14:rev="0"/>
                  </w14:lightRig>
                </w14:scene3d>
              </w:rPr>
              <w:t>2.5</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Povijesni pokazatelji</w:t>
            </w:r>
            <w:r>
              <w:rPr>
                <w:webHidden/>
              </w:rPr>
              <w:fldChar w:fldCharType="begin"/>
            </w:r>
            <w:r>
              <w:rPr>
                <w:webHidden/>
              </w:rPr>
              <w:instrText>PAGEREF _Toc116990117 \h</w:instrText>
            </w:r>
            <w:r>
              <w:rPr>
                <w:webHidden/>
              </w:rPr>
              <w:fldChar w:fldCharType="separate"/>
            </w:r>
            <w:r>
              <w:rPr>
                <w:rStyle w:val="Indeksnapoveznica"/>
                <w:vanish w:val="false"/>
              </w:rPr>
              <w:tab/>
              <w:t>30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8">
            <w:r>
              <w:rPr>
                <w:webHidden/>
                <w:rStyle w:val="Indeksnapoveznica"/>
                <w:vanish w:val="false"/>
                <w:lang w:bidi="en-US"/>
              </w:rPr>
              <w:t>2.5.1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Prijašnji događaji i štete uslijed prijašnjih događaja</w:t>
            </w:r>
            <w:r>
              <w:rPr>
                <w:webHidden/>
              </w:rPr>
              <w:fldChar w:fldCharType="begin"/>
            </w:r>
            <w:r>
              <w:rPr>
                <w:webHidden/>
              </w:rPr>
              <w:instrText>PAGEREF _Toc116990118 \h</w:instrText>
            </w:r>
            <w:r>
              <w:rPr>
                <w:webHidden/>
              </w:rPr>
              <w:fldChar w:fldCharType="separate"/>
            </w:r>
            <w:r>
              <w:rPr>
                <w:rStyle w:val="Indeksnapoveznica"/>
                <w:vanish w:val="false"/>
              </w:rPr>
              <w:tab/>
              <w:t>30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19">
            <w:r>
              <w:rPr>
                <w:webHidden/>
                <w:rStyle w:val="Indeksnapoveznica"/>
                <w:vanish w:val="false"/>
                <w:lang w:bidi="en-US"/>
              </w:rPr>
              <w:t>2.5.2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Uvedene mjere nakon događaja koji su uzrokovali štetu</w:t>
            </w:r>
            <w:r>
              <w:rPr>
                <w:webHidden/>
              </w:rPr>
              <w:fldChar w:fldCharType="begin"/>
            </w:r>
            <w:r>
              <w:rPr>
                <w:webHidden/>
              </w:rPr>
              <w:instrText>PAGEREF _Toc116990119 \h</w:instrText>
            </w:r>
            <w:r>
              <w:rPr>
                <w:webHidden/>
              </w:rPr>
              <w:fldChar w:fldCharType="separate"/>
            </w:r>
            <w:r>
              <w:rPr>
                <w:rStyle w:val="Indeksnapoveznica"/>
                <w:vanish w:val="false"/>
              </w:rPr>
              <w:tab/>
              <w:t>31</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0">
            <w:r>
              <w:rPr>
                <w:webHidden/>
                <w:rStyle w:val="Indeksnapoveznica"/>
                <w:vanish w:val="false"/>
                <w14:scene3d>
                  <w14:camera w14:prst="orthographicFront"/>
                  <w14:lightRig w14:rig="threePt" w14:dir="t">
                    <w14:rot w14:lat="0" w14:lon="0" w14:rev="0"/>
                  </w14:lightRig>
                </w14:scene3d>
              </w:rPr>
              <w:t>2.6</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Pokazatelji operativne sposobnosti</w:t>
            </w:r>
            <w:r>
              <w:rPr>
                <w:webHidden/>
              </w:rPr>
              <w:fldChar w:fldCharType="begin"/>
            </w:r>
            <w:r>
              <w:rPr>
                <w:webHidden/>
              </w:rPr>
              <w:instrText>PAGEREF _Toc116990120 \h</w:instrText>
            </w:r>
            <w:r>
              <w:rPr>
                <w:webHidden/>
              </w:rPr>
              <w:fldChar w:fldCharType="separate"/>
            </w:r>
            <w:r>
              <w:rPr>
                <w:rStyle w:val="Indeksnapoveznica"/>
                <w:vanish w:val="false"/>
              </w:rPr>
              <w:tab/>
              <w:t>33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21">
            <w:r>
              <w:rPr>
                <w:webHidden/>
                <w:rStyle w:val="Indeksnapoveznica"/>
                <w:vanish w:val="false"/>
                <w:lang w:bidi="en-US"/>
              </w:rPr>
              <w:t>2.6.1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Popis operativnih snaga</w:t>
            </w:r>
            <w:r>
              <w:rPr>
                <w:webHidden/>
              </w:rPr>
              <w:fldChar w:fldCharType="begin"/>
            </w:r>
            <w:r>
              <w:rPr>
                <w:webHidden/>
              </w:rPr>
              <w:instrText>PAGEREF _Toc116990121 \h</w:instrText>
            </w:r>
            <w:r>
              <w:rPr>
                <w:webHidden/>
              </w:rPr>
              <w:fldChar w:fldCharType="separate"/>
            </w:r>
            <w:r>
              <w:rPr>
                <w:rStyle w:val="Indeksnapoveznica"/>
                <w:vanish w:val="false"/>
              </w:rPr>
              <w:tab/>
              <w:t>33</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122">
            <w:r>
              <w:rPr>
                <w:webHidden/>
                <w:rStyle w:val="Indeksnapoveznica"/>
                <w:vanish w:val="false"/>
              </w:rPr>
              <w:t>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Identifikacija prijetnji i rizika</w:t>
            </w:r>
            <w:r>
              <w:rPr>
                <w:webHidden/>
              </w:rPr>
              <w:fldChar w:fldCharType="begin"/>
            </w:r>
            <w:r>
              <w:rPr>
                <w:webHidden/>
              </w:rPr>
              <w:instrText>PAGEREF _Toc116990122 \h</w:instrText>
            </w:r>
            <w:r>
              <w:rPr>
                <w:webHidden/>
              </w:rPr>
              <w:fldChar w:fldCharType="separate"/>
            </w:r>
            <w:r>
              <w:rPr>
                <w:rStyle w:val="Indeksnapoveznica"/>
                <w:vanish w:val="false"/>
              </w:rPr>
              <w:tab/>
              <w:t>35</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3">
            <w:r>
              <w:rPr>
                <w:webHidden/>
                <w:rStyle w:val="Indeksnapoveznica"/>
                <w:vanish w:val="false"/>
                <w14:scene3d>
                  <w14:camera w14:prst="orthographicFront"/>
                  <w14:lightRig w14:rig="threePt" w14:dir="t">
                    <w14:rot w14:lat="0" w14:lon="0" w14:rev="0"/>
                  </w14:lightRig>
                </w14:scene3d>
              </w:rPr>
              <w:t>3.1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Popis identificiranih prijetnji i rizika</w:t>
            </w:r>
            <w:r>
              <w:rPr>
                <w:webHidden/>
              </w:rPr>
              <w:fldChar w:fldCharType="begin"/>
            </w:r>
            <w:r>
              <w:rPr>
                <w:webHidden/>
              </w:rPr>
              <w:instrText>PAGEREF _Toc116990123 \h</w:instrText>
            </w:r>
            <w:r>
              <w:rPr>
                <w:webHidden/>
              </w:rPr>
              <w:fldChar w:fldCharType="separate"/>
            </w:r>
            <w:r>
              <w:rPr>
                <w:rStyle w:val="Indeksnapoveznica"/>
                <w:vanish w:val="false"/>
              </w:rPr>
              <w:tab/>
              <w:t>35</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4">
            <w:r>
              <w:rPr>
                <w:webHidden/>
                <w:rStyle w:val="Indeksnapoveznica"/>
                <w:vanish w:val="false"/>
                <w14:scene3d>
                  <w14:camera w14:prst="orthographicFront"/>
                  <w14:lightRig w14:rig="threePt" w14:dir="t">
                    <w14:rot w14:lat="0" w14:lon="0" w14:rev="0"/>
                  </w14:lightRig>
                </w14:scene3d>
              </w:rPr>
              <w:t>3.2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Odabrani rizici i razlog odabira</w:t>
            </w:r>
            <w:r>
              <w:rPr>
                <w:webHidden/>
              </w:rPr>
              <w:fldChar w:fldCharType="begin"/>
            </w:r>
            <w:r>
              <w:rPr>
                <w:webHidden/>
              </w:rPr>
              <w:instrText>PAGEREF _Toc116990124 \h</w:instrText>
            </w:r>
            <w:r>
              <w:rPr>
                <w:webHidden/>
              </w:rPr>
              <w:fldChar w:fldCharType="separate"/>
            </w:r>
            <w:r>
              <w:rPr>
                <w:rStyle w:val="Indeksnapoveznica"/>
                <w:vanish w:val="false"/>
              </w:rPr>
              <w:tab/>
              <w:t>38</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5">
            <w:r>
              <w:rPr>
                <w:webHidden/>
                <w:rStyle w:val="Indeksnapoveznica"/>
                <w:vanish w:val="false"/>
                <w14:scene3d>
                  <w14:camera w14:prst="orthographicFront"/>
                  <w14:lightRig w14:rig="threePt" w14:dir="t">
                    <w14:rot w14:lat="0" w14:lon="0" w14:rev="0"/>
                  </w14:lightRig>
                </w14:scene3d>
              </w:rPr>
              <w:t>3.3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Karte prijetnji</w:t>
            </w:r>
            <w:r>
              <w:rPr>
                <w:webHidden/>
              </w:rPr>
              <w:fldChar w:fldCharType="begin"/>
            </w:r>
            <w:r>
              <w:rPr>
                <w:webHidden/>
              </w:rPr>
              <w:instrText>PAGEREF _Toc116990125 \h</w:instrText>
            </w:r>
            <w:r>
              <w:rPr>
                <w:webHidden/>
              </w:rPr>
              <w:fldChar w:fldCharType="separate"/>
            </w:r>
            <w:r>
              <w:rPr>
                <w:rStyle w:val="Indeksnapoveznica"/>
                <w:vanish w:val="false"/>
              </w:rPr>
              <w:tab/>
              <w:t>38</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126">
            <w:r>
              <w:rPr>
                <w:webHidden/>
                <w:rStyle w:val="Indeksnapoveznica"/>
                <w:vanish w:val="false"/>
              </w:rPr>
              <w:t>4</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Kriteriji za procjenu utjecaja prijetnji na kategorije društvene vrijednosti</w:t>
            </w:r>
            <w:r>
              <w:rPr>
                <w:webHidden/>
              </w:rPr>
              <w:fldChar w:fldCharType="begin"/>
            </w:r>
            <w:r>
              <w:rPr>
                <w:webHidden/>
              </w:rPr>
              <w:instrText>PAGEREF _Toc116990126 \h</w:instrText>
            </w:r>
            <w:r>
              <w:rPr>
                <w:webHidden/>
              </w:rPr>
              <w:fldChar w:fldCharType="separate"/>
            </w:r>
            <w:r>
              <w:rPr>
                <w:rStyle w:val="Indeksnapoveznica"/>
                <w:vanish w:val="false"/>
              </w:rPr>
              <w:tab/>
              <w:t>39</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7">
            <w:r>
              <w:rPr>
                <w:webHidden/>
                <w:rStyle w:val="Indeksnapoveznica"/>
                <w:vanish w:val="false"/>
                <w14:scene3d>
                  <w14:camera w14:prst="orthographicFront"/>
                  <w14:lightRig w14:rig="threePt" w14:dir="t">
                    <w14:rot w14:lat="0" w14:lon="0" w14:rev="0"/>
                  </w14:lightRig>
                </w14:scene3d>
              </w:rPr>
              <w:t>4.1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Život i zdravlje ljudi</w:t>
            </w:r>
            <w:r>
              <w:rPr>
                <w:webHidden/>
              </w:rPr>
              <w:fldChar w:fldCharType="begin"/>
            </w:r>
            <w:r>
              <w:rPr>
                <w:webHidden/>
              </w:rPr>
              <w:instrText>PAGEREF _Toc116990127 \h</w:instrText>
            </w:r>
            <w:r>
              <w:rPr>
                <w:webHidden/>
              </w:rPr>
              <w:fldChar w:fldCharType="separate"/>
            </w:r>
            <w:r>
              <w:rPr>
                <w:rStyle w:val="Indeksnapoveznica"/>
                <w:vanish w:val="false"/>
              </w:rPr>
              <w:tab/>
              <w:t>39</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8">
            <w:r>
              <w:rPr>
                <w:webHidden/>
                <w:rStyle w:val="Indeksnapoveznica"/>
                <w:vanish w:val="false"/>
                <w14:scene3d>
                  <w14:camera w14:prst="orthographicFront"/>
                  <w14:lightRig w14:rig="threePt" w14:dir="t">
                    <w14:rot w14:lat="0" w14:lon="0" w14:rev="0"/>
                  </w14:lightRig>
                </w14:scene3d>
              </w:rPr>
              <w:t>4.2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Gospodarstvo</w:t>
            </w:r>
            <w:r>
              <w:rPr>
                <w:webHidden/>
              </w:rPr>
              <w:fldChar w:fldCharType="begin"/>
            </w:r>
            <w:r>
              <w:rPr>
                <w:webHidden/>
              </w:rPr>
              <w:instrText>PAGEREF _Toc116990128 \h</w:instrText>
            </w:r>
            <w:r>
              <w:rPr>
                <w:webHidden/>
              </w:rPr>
              <w:fldChar w:fldCharType="separate"/>
            </w:r>
            <w:r>
              <w:rPr>
                <w:rStyle w:val="Indeksnapoveznica"/>
                <w:vanish w:val="false"/>
              </w:rPr>
              <w:tab/>
              <w:t>39</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29">
            <w:r>
              <w:rPr>
                <w:webHidden/>
                <w:rStyle w:val="Indeksnapoveznica"/>
                <w:vanish w:val="false"/>
                <w14:scene3d>
                  <w14:camera w14:prst="orthographicFront"/>
                  <w14:lightRig w14:rig="threePt" w14:dir="t">
                    <w14:rot w14:lat="0" w14:lon="0" w14:rev="0"/>
                  </w14:lightRig>
                </w14:scene3d>
              </w:rPr>
              <w:t>4.3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Društvena stabilnost i politika</w:t>
            </w:r>
            <w:r>
              <w:rPr>
                <w:webHidden/>
              </w:rPr>
              <w:fldChar w:fldCharType="begin"/>
            </w:r>
            <w:r>
              <w:rPr>
                <w:webHidden/>
              </w:rPr>
              <w:instrText>PAGEREF _Toc116990129 \h</w:instrText>
            </w:r>
            <w:r>
              <w:rPr>
                <w:webHidden/>
              </w:rPr>
              <w:fldChar w:fldCharType="separate"/>
            </w:r>
            <w:r>
              <w:rPr>
                <w:rStyle w:val="Indeksnapoveznica"/>
                <w:vanish w:val="false"/>
              </w:rPr>
              <w:tab/>
              <w:t>40</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130">
            <w:r>
              <w:rPr>
                <w:webHidden/>
                <w:rStyle w:val="Indeksnapoveznica"/>
                <w:vanish w:val="false"/>
              </w:rPr>
              <w:t>5</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Vjerojatnost</w:t>
            </w:r>
            <w:r>
              <w:rPr>
                <w:webHidden/>
              </w:rPr>
              <w:fldChar w:fldCharType="begin"/>
            </w:r>
            <w:r>
              <w:rPr>
                <w:webHidden/>
              </w:rPr>
              <w:instrText>PAGEREF _Toc116990130 \h</w:instrText>
            </w:r>
            <w:r>
              <w:rPr>
                <w:webHidden/>
              </w:rPr>
              <w:fldChar w:fldCharType="separate"/>
            </w:r>
            <w:r>
              <w:rPr>
                <w:rStyle w:val="Indeksnapoveznica"/>
                <w:vanish w:val="false"/>
              </w:rPr>
              <w:tab/>
              <w:t>42</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131">
            <w:r>
              <w:rPr>
                <w:webHidden/>
                <w:rStyle w:val="Indeksnapoveznica"/>
                <w:vanish w:val="false"/>
              </w:rPr>
              <w:t>6</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Scenariji</w:t>
            </w:r>
            <w:r>
              <w:rPr>
                <w:webHidden/>
              </w:rPr>
              <w:fldChar w:fldCharType="begin"/>
            </w:r>
            <w:r>
              <w:rPr>
                <w:webHidden/>
              </w:rPr>
              <w:instrText>PAGEREF _Toc116990131 \h</w:instrText>
            </w:r>
            <w:r>
              <w:rPr>
                <w:webHidden/>
              </w:rPr>
              <w:fldChar w:fldCharType="separate"/>
            </w:r>
            <w:r>
              <w:rPr>
                <w:rStyle w:val="Indeksnapoveznica"/>
                <w:vanish w:val="false"/>
              </w:rPr>
              <w:tab/>
              <w:t>43</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32">
            <w:r>
              <w:rPr>
                <w:webHidden/>
                <w:rStyle w:val="Indeksnapoveznica"/>
                <w:vanish w:val="false"/>
                <w14:scene3d>
                  <w14:camera w14:prst="orthographicFront"/>
                  <w14:lightRig w14:rig="threePt" w14:dir="t">
                    <w14:rot w14:lat="0" w14:lon="0" w14:rev="0"/>
                  </w14:lightRig>
                </w14:scene3d>
              </w:rPr>
              <w:t>6.1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Požar otvorenog tipa</w:t>
            </w:r>
            <w:r>
              <w:rPr>
                <w:webHidden/>
              </w:rPr>
              <w:fldChar w:fldCharType="begin"/>
            </w:r>
            <w:r>
              <w:rPr>
                <w:webHidden/>
              </w:rPr>
              <w:instrText>PAGEREF _Toc116990132 \h</w:instrText>
            </w:r>
            <w:r>
              <w:rPr>
                <w:webHidden/>
              </w:rPr>
              <w:fldChar w:fldCharType="separate"/>
            </w:r>
            <w:r>
              <w:rPr>
                <w:rStyle w:val="Indeksnapoveznica"/>
                <w:vanish w:val="false"/>
              </w:rPr>
              <w:tab/>
              <w:t>44</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3">
            <w:r>
              <w:rPr>
                <w:webHidden/>
                <w:rStyle w:val="Indeksnapoveznica"/>
                <w:rFonts w:cs="Times New Roman" w:cstheme="majorBidi"/>
                <w:vanish w:val="false"/>
                <w:lang w:bidi="en-US"/>
              </w:rPr>
              <w:t>6.1.1 Naziv scenarija</w:t>
            </w:r>
            <w:r>
              <w:rPr>
                <w:webHidden/>
              </w:rPr>
              <w:fldChar w:fldCharType="begin"/>
            </w:r>
            <w:r>
              <w:rPr>
                <w:webHidden/>
              </w:rPr>
              <w:instrText>PAGEREF _Toc116990133 \h</w:instrText>
            </w:r>
            <w:r>
              <w:rPr>
                <w:webHidden/>
              </w:rPr>
              <w:fldChar w:fldCharType="separate"/>
            </w:r>
            <w:r>
              <w:rPr>
                <w:rStyle w:val="Indeksnapoveznica"/>
                <w:vanish w:val="false"/>
              </w:rPr>
              <w:tab/>
              <w:t>44</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4">
            <w:r>
              <w:rPr>
                <w:webHidden/>
                <w:rStyle w:val="Indeksnapoveznica"/>
                <w:rFonts w:cs="Times New Roman" w:cstheme="majorBidi"/>
                <w:vanish w:val="false"/>
                <w:lang w:bidi="en-US"/>
              </w:rPr>
              <w:t>6.1.2 Uvod</w:t>
            </w:r>
            <w:r>
              <w:rPr>
                <w:webHidden/>
              </w:rPr>
              <w:fldChar w:fldCharType="begin"/>
            </w:r>
            <w:r>
              <w:rPr>
                <w:webHidden/>
              </w:rPr>
              <w:instrText>PAGEREF _Toc116990134 \h</w:instrText>
            </w:r>
            <w:r>
              <w:rPr>
                <w:webHidden/>
              </w:rPr>
              <w:fldChar w:fldCharType="separate"/>
            </w:r>
            <w:r>
              <w:rPr>
                <w:rStyle w:val="Indeksnapoveznica"/>
                <w:vanish w:val="false"/>
              </w:rPr>
              <w:tab/>
              <w:t>44</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5">
            <w:r>
              <w:rPr>
                <w:webHidden/>
                <w:rStyle w:val="Indeksnapoveznica"/>
                <w:rFonts w:cs="Times New Roman" w:cstheme="majorBidi"/>
                <w:vanish w:val="false"/>
                <w:lang w:bidi="en-US"/>
              </w:rPr>
              <w:t>6.1.3 Prikaz utjecaja na kritičnu infrastrukturu</w:t>
            </w:r>
            <w:r>
              <w:rPr>
                <w:webHidden/>
              </w:rPr>
              <w:fldChar w:fldCharType="begin"/>
            </w:r>
            <w:r>
              <w:rPr>
                <w:webHidden/>
              </w:rPr>
              <w:instrText>PAGEREF _Toc116990135 \h</w:instrText>
            </w:r>
            <w:r>
              <w:rPr>
                <w:webHidden/>
              </w:rPr>
              <w:fldChar w:fldCharType="separate"/>
            </w:r>
            <w:r>
              <w:rPr>
                <w:rStyle w:val="Indeksnapoveznica"/>
                <w:vanish w:val="false"/>
              </w:rPr>
              <w:tab/>
              <w:t>44</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6">
            <w:r>
              <w:rPr>
                <w:webHidden/>
                <w:rStyle w:val="Indeksnapoveznica"/>
                <w:rFonts w:cs="Times New Roman" w:cstheme="majorBidi"/>
                <w:vanish w:val="false"/>
                <w:lang w:bidi="en-US"/>
              </w:rPr>
              <w:t>6.1.4 Kontekst</w:t>
            </w:r>
            <w:r>
              <w:rPr>
                <w:webHidden/>
              </w:rPr>
              <w:fldChar w:fldCharType="begin"/>
            </w:r>
            <w:r>
              <w:rPr>
                <w:webHidden/>
              </w:rPr>
              <w:instrText>PAGEREF _Toc116990136 \h</w:instrText>
            </w:r>
            <w:r>
              <w:rPr>
                <w:webHidden/>
              </w:rPr>
              <w:fldChar w:fldCharType="separate"/>
            </w:r>
            <w:r>
              <w:rPr>
                <w:rStyle w:val="Indeksnapoveznica"/>
                <w:vanish w:val="false"/>
              </w:rPr>
              <w:tab/>
              <w:t>45</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7">
            <w:r>
              <w:rPr>
                <w:webHidden/>
                <w:rStyle w:val="Indeksnapoveznica"/>
                <w:rFonts w:cs="Times New Roman" w:cstheme="majorBidi"/>
                <w:vanish w:val="false"/>
                <w:lang w:bidi="en-US"/>
              </w:rPr>
              <w:t>6.1.5 Uzrok</w:t>
            </w:r>
            <w:r>
              <w:rPr>
                <w:webHidden/>
              </w:rPr>
              <w:fldChar w:fldCharType="begin"/>
            </w:r>
            <w:r>
              <w:rPr>
                <w:webHidden/>
              </w:rPr>
              <w:instrText>PAGEREF _Toc116990137 \h</w:instrText>
            </w:r>
            <w:r>
              <w:rPr>
                <w:webHidden/>
              </w:rPr>
              <w:fldChar w:fldCharType="separate"/>
            </w:r>
            <w:r>
              <w:rPr>
                <w:rStyle w:val="Indeksnapoveznica"/>
                <w:vanish w:val="false"/>
              </w:rPr>
              <w:tab/>
              <w:t>46</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8">
            <w:r>
              <w:rPr>
                <w:webHidden/>
                <w:rStyle w:val="Indeksnapoveznica"/>
                <w:rFonts w:cs="Times New Roman" w:cstheme="majorBidi"/>
                <w:vanish w:val="false"/>
                <w:lang w:bidi="en-US"/>
              </w:rPr>
              <w:t>6.1.6 Događaj s najgorim mogućim posljedicama</w:t>
            </w:r>
            <w:r>
              <w:rPr>
                <w:webHidden/>
              </w:rPr>
              <w:fldChar w:fldCharType="begin"/>
            </w:r>
            <w:r>
              <w:rPr>
                <w:webHidden/>
              </w:rPr>
              <w:instrText>PAGEREF _Toc116990138 \h</w:instrText>
            </w:r>
            <w:r>
              <w:rPr>
                <w:webHidden/>
              </w:rPr>
              <w:fldChar w:fldCharType="separate"/>
            </w:r>
            <w:r>
              <w:rPr>
                <w:rStyle w:val="Indeksnapoveznica"/>
                <w:vanish w:val="false"/>
              </w:rPr>
              <w:tab/>
              <w:t>49</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39">
            <w:r>
              <w:rPr>
                <w:webHidden/>
                <w:rStyle w:val="Indeksnapoveznica"/>
                <w:rFonts w:cs="Times New Roman" w:cstheme="majorBidi"/>
                <w:vanish w:val="false"/>
                <w:lang w:bidi="en-US"/>
              </w:rPr>
              <w:t>6.1.7 Podaci, izvori i metode proračuna</w:t>
            </w:r>
            <w:r>
              <w:rPr>
                <w:webHidden/>
              </w:rPr>
              <w:fldChar w:fldCharType="begin"/>
            </w:r>
            <w:r>
              <w:rPr>
                <w:webHidden/>
              </w:rPr>
              <w:instrText>PAGEREF _Toc116990139 \h</w:instrText>
            </w:r>
            <w:r>
              <w:rPr>
                <w:webHidden/>
              </w:rPr>
              <w:fldChar w:fldCharType="separate"/>
            </w:r>
            <w:r>
              <w:rPr>
                <w:rStyle w:val="Indeksnapoveznica"/>
                <w:vanish w:val="false"/>
              </w:rPr>
              <w:tab/>
              <w:t>53</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0">
            <w:r>
              <w:rPr>
                <w:webHidden/>
                <w:rStyle w:val="Indeksnapoveznica"/>
                <w:rFonts w:cs="Times New Roman" w:cstheme="majorBidi"/>
                <w:vanish w:val="false"/>
                <w:lang w:bidi="en-US"/>
              </w:rPr>
              <w:t>6.1.8 Matrice rizika</w:t>
            </w:r>
            <w:r>
              <w:rPr>
                <w:webHidden/>
              </w:rPr>
              <w:fldChar w:fldCharType="begin"/>
            </w:r>
            <w:r>
              <w:rPr>
                <w:webHidden/>
              </w:rPr>
              <w:instrText>PAGEREF _Toc116990140 \h</w:instrText>
            </w:r>
            <w:r>
              <w:rPr>
                <w:webHidden/>
              </w:rPr>
              <w:fldChar w:fldCharType="separate"/>
            </w:r>
            <w:r>
              <w:rPr>
                <w:rStyle w:val="Indeksnapoveznica"/>
                <w:vanish w:val="false"/>
              </w:rPr>
              <w:tab/>
              <w:t>54</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41">
            <w:r>
              <w:rPr>
                <w:webHidden/>
                <w:rStyle w:val="Indeksnapoveznica"/>
                <w:vanish w:val="false"/>
                <w14:scene3d>
                  <w14:camera w14:prst="orthographicFront"/>
                  <w14:lightRig w14:rig="threePt" w14:dir="t">
                    <w14:rot w14:lat="0" w14:lon="0" w14:rev="0"/>
                  </w14:lightRig>
                </w14:scene3d>
              </w:rPr>
              <w:t>6.2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Epidemija i pandemija</w:t>
            </w:r>
            <w:r>
              <w:rPr>
                <w:webHidden/>
              </w:rPr>
              <w:fldChar w:fldCharType="begin"/>
            </w:r>
            <w:r>
              <w:rPr>
                <w:webHidden/>
              </w:rPr>
              <w:instrText>PAGEREF _Toc116990141 \h</w:instrText>
            </w:r>
            <w:r>
              <w:rPr>
                <w:webHidden/>
              </w:rPr>
              <w:fldChar w:fldCharType="separate"/>
            </w:r>
            <w:r>
              <w:rPr>
                <w:rStyle w:val="Indeksnapoveznica"/>
                <w:vanish w:val="false"/>
              </w:rPr>
              <w:tab/>
              <w:t>55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2">
            <w:r>
              <w:rPr>
                <w:webHidden/>
                <w:rStyle w:val="Indeksnapoveznica"/>
                <w:vanish w:val="false"/>
                <w:lang w:bidi="en-US"/>
              </w:rPr>
              <w:t>6.2.1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_Toc116990142 \h</w:instrText>
            </w:r>
            <w:r>
              <w:rPr>
                <w:webHidden/>
              </w:rPr>
              <w:fldChar w:fldCharType="separate"/>
            </w:r>
            <w:r>
              <w:rPr>
                <w:rStyle w:val="Indeksnapoveznica"/>
                <w:vanish w:val="false"/>
              </w:rPr>
              <w:tab/>
              <w:t>55</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3">
            <w:r>
              <w:rPr>
                <w:webHidden/>
                <w:rStyle w:val="Indeksnapoveznica"/>
                <w:rFonts w:cs="Times New Roman" w:cstheme="majorBidi"/>
                <w:vanish w:val="false"/>
                <w:lang w:bidi="en-US"/>
              </w:rPr>
              <w:t>6.3.2 Uvod</w:t>
            </w:r>
            <w:r>
              <w:rPr>
                <w:webHidden/>
              </w:rPr>
              <w:fldChar w:fldCharType="begin"/>
            </w:r>
            <w:r>
              <w:rPr>
                <w:webHidden/>
              </w:rPr>
              <w:instrText>PAGEREF _Toc116990143 \h</w:instrText>
            </w:r>
            <w:r>
              <w:rPr>
                <w:webHidden/>
              </w:rPr>
              <w:fldChar w:fldCharType="separate"/>
            </w:r>
            <w:r>
              <w:rPr>
                <w:rStyle w:val="Indeksnapoveznica"/>
                <w:vanish w:val="false"/>
              </w:rPr>
              <w:tab/>
              <w:t>55</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4">
            <w:r>
              <w:rPr>
                <w:webHidden/>
                <w:rStyle w:val="Indeksnapoveznica"/>
                <w:rFonts w:cs="Times New Roman" w:cstheme="majorBidi"/>
                <w:vanish w:val="false"/>
                <w:lang w:eastAsia="hr-HR" w:bidi="en-US"/>
              </w:rPr>
              <w:t>6.3.3 Prikaz utjecaja na kritičnu infrastrukturu</w:t>
            </w:r>
            <w:r>
              <w:rPr>
                <w:webHidden/>
              </w:rPr>
              <w:fldChar w:fldCharType="begin"/>
            </w:r>
            <w:r>
              <w:rPr>
                <w:webHidden/>
              </w:rPr>
              <w:instrText>PAGEREF _Toc116990144 \h</w:instrText>
            </w:r>
            <w:r>
              <w:rPr>
                <w:webHidden/>
              </w:rPr>
              <w:fldChar w:fldCharType="separate"/>
            </w:r>
            <w:r>
              <w:rPr>
                <w:rStyle w:val="Indeksnapoveznica"/>
                <w:vanish w:val="false"/>
              </w:rPr>
              <w:tab/>
              <w:t>55</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5">
            <w:r>
              <w:rPr>
                <w:webHidden/>
                <w:rStyle w:val="Indeksnapoveznica"/>
                <w:rFonts w:cs="Times New Roman" w:cstheme="majorBidi"/>
                <w:vanish w:val="false"/>
                <w:lang w:eastAsia="hr-HR" w:bidi="en-US"/>
              </w:rPr>
              <w:t>6.3.4 Kontekst</w:t>
            </w:r>
            <w:r>
              <w:rPr>
                <w:webHidden/>
              </w:rPr>
              <w:fldChar w:fldCharType="begin"/>
            </w:r>
            <w:r>
              <w:rPr>
                <w:webHidden/>
              </w:rPr>
              <w:instrText>PAGEREF _Toc116990145 \h</w:instrText>
            </w:r>
            <w:r>
              <w:rPr>
                <w:webHidden/>
              </w:rPr>
              <w:fldChar w:fldCharType="separate"/>
            </w:r>
            <w:r>
              <w:rPr>
                <w:rStyle w:val="Indeksnapoveznica"/>
                <w:vanish w:val="false"/>
              </w:rPr>
              <w:tab/>
              <w:t>56</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6">
            <w:r>
              <w:rPr>
                <w:webHidden/>
                <w:rStyle w:val="Indeksnapoveznica"/>
                <w:rFonts w:cs="Times New Roman" w:cstheme="majorBidi"/>
                <w:vanish w:val="false"/>
                <w:lang w:eastAsia="hr-HR" w:bidi="en-US"/>
              </w:rPr>
              <w:t>6.3.5 Uzrok</w:t>
            </w:r>
            <w:r>
              <w:rPr>
                <w:webHidden/>
              </w:rPr>
              <w:fldChar w:fldCharType="begin"/>
            </w:r>
            <w:r>
              <w:rPr>
                <w:webHidden/>
              </w:rPr>
              <w:instrText>PAGEREF _Toc116990146 \h</w:instrText>
            </w:r>
            <w:r>
              <w:rPr>
                <w:webHidden/>
              </w:rPr>
              <w:fldChar w:fldCharType="separate"/>
            </w:r>
            <w:r>
              <w:rPr>
                <w:rStyle w:val="Indeksnapoveznica"/>
                <w:vanish w:val="false"/>
              </w:rPr>
              <w:tab/>
              <w:t>61</w:t>
            </w:r>
            <w:r>
              <w:rPr>
                <w:webHidden/>
              </w:rPr>
              <w:fldChar w:fldCharType="end"/>
            </w:r>
          </w:hyperlink>
        </w:p>
        <w:p>
          <w:pPr>
            <w:pStyle w:val="Sadraj3"/>
            <w:tabs>
              <w:tab w:val="clear" w:pos="708"/>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7">
            <w:r>
              <w:rPr>
                <w:webHidden/>
                <w:rStyle w:val="Indeksnapoveznica"/>
                <w:rFonts w:cs="Times New Roman" w:cstheme="majorBidi"/>
                <w:iCs/>
                <w:vanish w:val="false"/>
                <w:lang w:eastAsia="hr-HR" w:bidi="en-US"/>
              </w:rPr>
              <w:t>6.3.6 Događaj s najgorim mogućim posljedicama</w:t>
            </w:r>
            <w:r>
              <w:rPr>
                <w:webHidden/>
              </w:rPr>
              <w:fldChar w:fldCharType="begin"/>
            </w:r>
            <w:r>
              <w:rPr>
                <w:webHidden/>
              </w:rPr>
              <w:instrText>PAGEREF _Toc116990147 \h</w:instrText>
            </w:r>
            <w:r>
              <w:rPr>
                <w:webHidden/>
              </w:rPr>
              <w:fldChar w:fldCharType="separate"/>
            </w:r>
            <w:r>
              <w:rPr>
                <w:rStyle w:val="Indeksnapoveznica"/>
                <w:vanish w:val="false"/>
              </w:rPr>
              <w:tab/>
              <w:t>61</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8">
            <w:r>
              <w:rPr>
                <w:webHidden/>
                <w:rStyle w:val="Indeksnapoveznica"/>
                <w:vanish w:val="false"/>
                <w:lang w:bidi="en-US"/>
              </w:rPr>
              <w:t>6.2.2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_Toc116990148 \h</w:instrText>
            </w:r>
            <w:r>
              <w:rPr>
                <w:webHidden/>
              </w:rPr>
              <w:fldChar w:fldCharType="separate"/>
            </w:r>
            <w:r>
              <w:rPr>
                <w:rStyle w:val="Indeksnapoveznica"/>
                <w:vanish w:val="false"/>
              </w:rPr>
              <w:tab/>
              <w:t>64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49">
            <w:r>
              <w:rPr>
                <w:webHidden/>
                <w:rStyle w:val="Indeksnapoveznica"/>
                <w:vanish w:val="false"/>
                <w:lang w:bidi="en-US"/>
              </w:rPr>
              <w:t>6.2.3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_Toc116990149 \h</w:instrText>
            </w:r>
            <w:r>
              <w:rPr>
                <w:webHidden/>
              </w:rPr>
              <w:fldChar w:fldCharType="separate"/>
            </w:r>
            <w:r>
              <w:rPr>
                <w:rStyle w:val="Indeksnapoveznica"/>
                <w:vanish w:val="false"/>
              </w:rPr>
              <w:tab/>
              <w:t>65</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50">
            <w:r>
              <w:rPr>
                <w:webHidden/>
                <w:rStyle w:val="Indeksnapoveznica"/>
                <w:vanish w:val="false"/>
                <w14:scene3d>
                  <w14:camera w14:prst="orthographicFront"/>
                  <w14:lightRig w14:rig="threePt" w14:dir="t">
                    <w14:rot w14:lat="0" w14:lon="0" w14:rev="0"/>
                  </w14:lightRig>
                </w14:scene3d>
              </w:rPr>
              <w:t>6.3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Industrijske nesreće</w:t>
            </w:r>
            <w:r>
              <w:rPr>
                <w:webHidden/>
              </w:rPr>
              <w:fldChar w:fldCharType="begin"/>
            </w:r>
            <w:r>
              <w:rPr>
                <w:webHidden/>
              </w:rPr>
              <w:instrText>PAGEREF _Toc116990150 \h</w:instrText>
            </w:r>
            <w:r>
              <w:rPr>
                <w:webHidden/>
              </w:rPr>
              <w:fldChar w:fldCharType="separate"/>
            </w:r>
            <w:r>
              <w:rPr>
                <w:rStyle w:val="Indeksnapoveznica"/>
                <w:vanish w:val="false"/>
              </w:rPr>
              <w:tab/>
              <w:t>66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1">
            <w:r>
              <w:rPr>
                <w:webHidden/>
                <w:rStyle w:val="Indeksnapoveznica"/>
                <w:vanish w:val="false"/>
                <w:lang w:bidi="en-US"/>
              </w:rPr>
              <w:t>6.3.1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_Toc116990151 \h</w:instrText>
            </w:r>
            <w:r>
              <w:rPr>
                <w:webHidden/>
              </w:rPr>
              <w:fldChar w:fldCharType="separate"/>
            </w:r>
            <w:r>
              <w:rPr>
                <w:rStyle w:val="Indeksnapoveznica"/>
                <w:vanish w:val="false"/>
              </w:rPr>
              <w:tab/>
              <w:t>66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2">
            <w:r>
              <w:rPr>
                <w:webHidden/>
                <w:rStyle w:val="Indeksnapoveznica"/>
                <w:vanish w:val="false"/>
                <w:lang w:bidi="en-US"/>
              </w:rPr>
              <w:t>6.3.2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_Toc116990152 \h</w:instrText>
            </w:r>
            <w:r>
              <w:rPr>
                <w:webHidden/>
              </w:rPr>
              <w:fldChar w:fldCharType="separate"/>
            </w:r>
            <w:r>
              <w:rPr>
                <w:rStyle w:val="Indeksnapoveznica"/>
                <w:vanish w:val="false"/>
              </w:rPr>
              <w:tab/>
              <w:t>66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3">
            <w:r>
              <w:rPr>
                <w:webHidden/>
                <w:rStyle w:val="Indeksnapoveznica"/>
                <w:vanish w:val="false"/>
                <w:lang w:bidi="en-US"/>
              </w:rPr>
              <w:t>6.3.3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infrastrukturu</w:t>
            </w:r>
            <w:r>
              <w:rPr>
                <w:webHidden/>
              </w:rPr>
              <w:fldChar w:fldCharType="begin"/>
            </w:r>
            <w:r>
              <w:rPr>
                <w:webHidden/>
              </w:rPr>
              <w:instrText>PAGEREF _Toc116990153 \h</w:instrText>
            </w:r>
            <w:r>
              <w:rPr>
                <w:webHidden/>
              </w:rPr>
              <w:fldChar w:fldCharType="separate"/>
            </w:r>
            <w:r>
              <w:rPr>
                <w:rStyle w:val="Indeksnapoveznica"/>
                <w:vanish w:val="false"/>
              </w:rPr>
              <w:tab/>
              <w:t>67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4">
            <w:r>
              <w:rPr>
                <w:webHidden/>
                <w:rStyle w:val="Indeksnapoveznica"/>
                <w:vanish w:val="false"/>
                <w:lang w:bidi="en-US"/>
              </w:rPr>
              <w:t>6.3.4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_Toc116990154 \h</w:instrText>
            </w:r>
            <w:r>
              <w:rPr>
                <w:webHidden/>
              </w:rPr>
              <w:fldChar w:fldCharType="separate"/>
            </w:r>
            <w:r>
              <w:rPr>
                <w:rStyle w:val="Indeksnapoveznica"/>
                <w:vanish w:val="false"/>
              </w:rPr>
              <w:tab/>
              <w:t>68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5">
            <w:r>
              <w:rPr>
                <w:webHidden/>
                <w:rStyle w:val="Indeksnapoveznica"/>
                <w:vanish w:val="false"/>
                <w:lang w:bidi="en-US"/>
              </w:rPr>
              <w:t>6.3.5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_Toc116990155 \h</w:instrText>
            </w:r>
            <w:r>
              <w:rPr>
                <w:webHidden/>
              </w:rPr>
              <w:fldChar w:fldCharType="separate"/>
            </w:r>
            <w:r>
              <w:rPr>
                <w:rStyle w:val="Indeksnapoveznica"/>
                <w:vanish w:val="false"/>
              </w:rPr>
              <w:tab/>
              <w:t>71</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6">
            <w:r>
              <w:rPr>
                <w:webHidden/>
                <w:rStyle w:val="Indeksnapoveznica"/>
                <w:iCs/>
                <w:vanish w:val="false"/>
                <w:lang w:bidi="en-US"/>
              </w:rPr>
              <w:t>6.3.6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iCs/>
                <w:lang w:bidi="en-US"/>
              </w:rPr>
              <w:t>Događaj s najgorim mogućim posljedicama</w:t>
            </w:r>
            <w:r>
              <w:rPr>
                <w:webHidden/>
              </w:rPr>
              <w:fldChar w:fldCharType="begin"/>
            </w:r>
            <w:r>
              <w:rPr>
                <w:webHidden/>
              </w:rPr>
              <w:instrText>PAGEREF _Toc116990156 \h</w:instrText>
            </w:r>
            <w:r>
              <w:rPr>
                <w:webHidden/>
              </w:rPr>
              <w:fldChar w:fldCharType="separate"/>
            </w:r>
            <w:r>
              <w:rPr>
                <w:rStyle w:val="Indeksnapoveznica"/>
                <w:vanish w:val="false"/>
              </w:rPr>
              <w:tab/>
              <w:t>72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7">
            <w:r>
              <w:rPr>
                <w:webHidden/>
                <w:rStyle w:val="Indeksnapoveznica"/>
                <w:vanish w:val="false"/>
                <w:lang w:bidi="en-US"/>
              </w:rPr>
              <w:t>6.3.7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_Toc116990157 \h</w:instrText>
            </w:r>
            <w:r>
              <w:rPr>
                <w:webHidden/>
              </w:rPr>
              <w:fldChar w:fldCharType="separate"/>
            </w:r>
            <w:r>
              <w:rPr>
                <w:rStyle w:val="Indeksnapoveznica"/>
                <w:vanish w:val="false"/>
              </w:rPr>
              <w:tab/>
              <w:t>83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58">
            <w:r>
              <w:rPr>
                <w:webHidden/>
                <w:rStyle w:val="Indeksnapoveznica"/>
                <w:vanish w:val="false"/>
                <w:lang w:bidi="en-US"/>
              </w:rPr>
              <w:t>6.3.8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_Toc116990158 \h</w:instrText>
            </w:r>
            <w:r>
              <w:rPr>
                <w:webHidden/>
              </w:rPr>
              <w:fldChar w:fldCharType="separate"/>
            </w:r>
            <w:r>
              <w:rPr>
                <w:rStyle w:val="Indeksnapoveznica"/>
                <w:vanish w:val="false"/>
              </w:rPr>
              <w:tab/>
              <w:t>84</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59">
            <w:r>
              <w:rPr>
                <w:webHidden/>
                <w:rStyle w:val="Indeksnapoveznica"/>
                <w:rFonts w:eastAsia="" w:eastAsiaTheme="majorEastAsia"/>
                <w:vanish w:val="false"/>
                <w14:scene3d>
                  <w14:camera w14:prst="orthographicFront"/>
                  <w14:lightRig w14:rig="threePt" w14:dir="t">
                    <w14:rot w14:lat="0" w14:lon="0" w14:rev="0"/>
                  </w14:lightRig>
                </w14:scene3d>
              </w:rPr>
              <w:t>6.4</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Fonts w:eastAsia="" w:eastAsiaTheme="majorEastAsia"/>
              </w:rPr>
              <w:t>Potres</w:t>
            </w:r>
            <w:r>
              <w:rPr>
                <w:webHidden/>
              </w:rPr>
              <w:fldChar w:fldCharType="begin"/>
            </w:r>
            <w:r>
              <w:rPr>
                <w:webHidden/>
              </w:rPr>
              <w:instrText>PAGEREF _Toc116990159 \h</w:instrText>
            </w:r>
            <w:r>
              <w:rPr>
                <w:webHidden/>
              </w:rPr>
              <w:fldChar w:fldCharType="separate"/>
            </w:r>
            <w:r>
              <w:rPr>
                <w:rStyle w:val="Indeksnapoveznica"/>
                <w:vanish w:val="false"/>
              </w:rPr>
              <w:tab/>
              <w:t>85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0">
            <w:r>
              <w:rPr>
                <w:webHidden/>
                <w:rStyle w:val="Indeksnapoveznica"/>
                <w:vanish w:val="false"/>
                <w:lang w:bidi="en-US"/>
              </w:rPr>
              <w:t>6.4.1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_Toc116990160 \h</w:instrText>
            </w:r>
            <w:r>
              <w:rPr>
                <w:webHidden/>
              </w:rPr>
              <w:fldChar w:fldCharType="separate"/>
            </w:r>
            <w:r>
              <w:rPr>
                <w:rStyle w:val="Indeksnapoveznica"/>
                <w:vanish w:val="false"/>
              </w:rPr>
              <w:tab/>
              <w:t>85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1">
            <w:r>
              <w:rPr>
                <w:webHidden/>
                <w:rStyle w:val="Indeksnapoveznica"/>
                <w:vanish w:val="false"/>
                <w:lang w:bidi="en-US"/>
              </w:rPr>
              <w:t>6.4.2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_Toc116990161 \h</w:instrText>
            </w:r>
            <w:r>
              <w:rPr>
                <w:webHidden/>
              </w:rPr>
              <w:fldChar w:fldCharType="separate"/>
            </w:r>
            <w:r>
              <w:rPr>
                <w:rStyle w:val="Indeksnapoveznica"/>
                <w:vanish w:val="false"/>
              </w:rPr>
              <w:tab/>
              <w:t>85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2">
            <w:r>
              <w:rPr>
                <w:webHidden/>
                <w:rStyle w:val="Indeksnapoveznica"/>
                <w:vanish w:val="false"/>
                <w:lang w:bidi="en-US"/>
              </w:rPr>
              <w:t>6.4.3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infrastrukturu</w:t>
            </w:r>
            <w:r>
              <w:rPr>
                <w:webHidden/>
              </w:rPr>
              <w:fldChar w:fldCharType="begin"/>
            </w:r>
            <w:r>
              <w:rPr>
                <w:webHidden/>
              </w:rPr>
              <w:instrText>PAGEREF _Toc116990162 \h</w:instrText>
            </w:r>
            <w:r>
              <w:rPr>
                <w:webHidden/>
              </w:rPr>
              <w:fldChar w:fldCharType="separate"/>
            </w:r>
            <w:r>
              <w:rPr>
                <w:rStyle w:val="Indeksnapoveznica"/>
                <w:vanish w:val="false"/>
              </w:rPr>
              <w:tab/>
              <w:t>85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3">
            <w:r>
              <w:rPr>
                <w:webHidden/>
                <w:rStyle w:val="Indeksnapoveznica"/>
                <w:vanish w:val="false"/>
                <w:lang w:bidi="en-US"/>
              </w:rPr>
              <w:t>6.4.4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_Toc116990163 \h</w:instrText>
            </w:r>
            <w:r>
              <w:rPr>
                <w:webHidden/>
              </w:rPr>
              <w:fldChar w:fldCharType="separate"/>
            </w:r>
            <w:r>
              <w:rPr>
                <w:rStyle w:val="Indeksnapoveznica"/>
                <w:vanish w:val="false"/>
              </w:rPr>
              <w:tab/>
              <w:t>86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4">
            <w:r>
              <w:rPr>
                <w:webHidden/>
                <w:rStyle w:val="Indeksnapoveznica"/>
                <w:vanish w:val="false"/>
                <w:lang w:bidi="en-US"/>
              </w:rPr>
              <w:t>6.4.5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_Toc116990164 \h</w:instrText>
            </w:r>
            <w:r>
              <w:rPr>
                <w:webHidden/>
              </w:rPr>
              <w:fldChar w:fldCharType="separate"/>
            </w:r>
            <w:r>
              <w:rPr>
                <w:rStyle w:val="Indeksnapoveznica"/>
                <w:vanish w:val="false"/>
              </w:rPr>
              <w:tab/>
              <w:t>95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5">
            <w:r>
              <w:rPr>
                <w:webHidden/>
                <w:rStyle w:val="Indeksnapoveznica"/>
                <w:vanish w:val="false"/>
                <w:lang w:bidi="en-US"/>
              </w:rPr>
              <w:t>6.4.6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Događaj s najgorim mogućim posljedicama</w:t>
            </w:r>
            <w:r>
              <w:rPr>
                <w:webHidden/>
              </w:rPr>
              <w:fldChar w:fldCharType="begin"/>
            </w:r>
            <w:r>
              <w:rPr>
                <w:webHidden/>
              </w:rPr>
              <w:instrText>PAGEREF _Toc116990165 \h</w:instrText>
            </w:r>
            <w:r>
              <w:rPr>
                <w:webHidden/>
              </w:rPr>
              <w:fldChar w:fldCharType="separate"/>
            </w:r>
            <w:r>
              <w:rPr>
                <w:rStyle w:val="Indeksnapoveznica"/>
                <w:vanish w:val="false"/>
              </w:rPr>
              <w:tab/>
              <w:t>97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6">
            <w:r>
              <w:rPr>
                <w:webHidden/>
                <w:rStyle w:val="Indeksnapoveznica"/>
                <w:vanish w:val="false"/>
                <w:lang w:bidi="en-US"/>
              </w:rPr>
              <w:t>6.4.7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_Toc116990166 \h</w:instrText>
            </w:r>
            <w:r>
              <w:rPr>
                <w:webHidden/>
              </w:rPr>
              <w:fldChar w:fldCharType="separate"/>
            </w:r>
            <w:r>
              <w:rPr>
                <w:rStyle w:val="Indeksnapoveznica"/>
                <w:vanish w:val="false"/>
              </w:rPr>
              <w:tab/>
              <w:t>107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7">
            <w:r>
              <w:rPr>
                <w:webHidden/>
                <w:rStyle w:val="Indeksnapoveznica"/>
                <w:vanish w:val="false"/>
                <w:lang w:bidi="en-US"/>
              </w:rPr>
              <w:t>6.4.8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_Toc116990167 \h</w:instrText>
            </w:r>
            <w:r>
              <w:rPr>
                <w:webHidden/>
              </w:rPr>
              <w:fldChar w:fldCharType="separate"/>
            </w:r>
            <w:r>
              <w:rPr>
                <w:rStyle w:val="Indeksnapoveznica"/>
                <w:vanish w:val="false"/>
              </w:rPr>
              <w:tab/>
              <w:t>108</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68">
            <w:r>
              <w:rPr>
                <w:webHidden/>
                <w:rStyle w:val="Indeksnapoveznica"/>
                <w:vanish w:val="false"/>
                <w14:scene3d>
                  <w14:camera w14:prst="orthographicFront"/>
                  <w14:lightRig w14:rig="threePt" w14:dir="t">
                    <w14:rot w14:lat="0" w14:lon="0" w14:rev="0"/>
                  </w14:lightRig>
                </w14:scene3d>
              </w:rPr>
              <w:t>6.5</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Poplava</w:t>
            </w:r>
            <w:r>
              <w:rPr>
                <w:webHidden/>
              </w:rPr>
              <w:fldChar w:fldCharType="begin"/>
            </w:r>
            <w:r>
              <w:rPr>
                <w:webHidden/>
              </w:rPr>
              <w:instrText>PAGEREF _Toc116990168 \h</w:instrText>
            </w:r>
            <w:r>
              <w:rPr>
                <w:webHidden/>
              </w:rPr>
              <w:fldChar w:fldCharType="separate"/>
            </w:r>
            <w:r>
              <w:rPr>
                <w:rStyle w:val="Indeksnapoveznica"/>
                <w:vanish w:val="false"/>
              </w:rPr>
              <w:tab/>
              <w:t>109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69">
            <w:r>
              <w:rPr>
                <w:webHidden/>
                <w:rStyle w:val="Indeksnapoveznica"/>
                <w:vanish w:val="false"/>
                <w:lang w:bidi="en-US"/>
              </w:rPr>
              <w:t>6.5.1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_Toc116990169 \h</w:instrText>
            </w:r>
            <w:r>
              <w:rPr>
                <w:webHidden/>
              </w:rPr>
              <w:fldChar w:fldCharType="separate"/>
            </w:r>
            <w:r>
              <w:rPr>
                <w:rStyle w:val="Indeksnapoveznica"/>
                <w:vanish w:val="false"/>
              </w:rPr>
              <w:tab/>
              <w:t>109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0">
            <w:r>
              <w:rPr>
                <w:webHidden/>
                <w:rStyle w:val="Indeksnapoveznica"/>
                <w:vanish w:val="false"/>
                <w:lang w:bidi="en-US"/>
              </w:rPr>
              <w:t>6.5.2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_Toc116990170 \h</w:instrText>
            </w:r>
            <w:r>
              <w:rPr>
                <w:webHidden/>
              </w:rPr>
              <w:fldChar w:fldCharType="separate"/>
            </w:r>
            <w:r>
              <w:rPr>
                <w:rStyle w:val="Indeksnapoveznica"/>
                <w:vanish w:val="false"/>
              </w:rPr>
              <w:tab/>
              <w:t>109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1">
            <w:r>
              <w:rPr>
                <w:webHidden/>
                <w:rStyle w:val="Indeksnapoveznica"/>
                <w:vanish w:val="false"/>
                <w:lang w:bidi="en-US"/>
              </w:rPr>
              <w:t>6.5.3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infrastrukturu</w:t>
            </w:r>
            <w:r>
              <w:rPr>
                <w:webHidden/>
              </w:rPr>
              <w:fldChar w:fldCharType="begin"/>
            </w:r>
            <w:r>
              <w:rPr>
                <w:webHidden/>
              </w:rPr>
              <w:instrText>PAGEREF _Toc116990171 \h</w:instrText>
            </w:r>
            <w:r>
              <w:rPr>
                <w:webHidden/>
              </w:rPr>
              <w:fldChar w:fldCharType="separate"/>
            </w:r>
            <w:r>
              <w:rPr>
                <w:rStyle w:val="Indeksnapoveznica"/>
                <w:vanish w:val="false"/>
              </w:rPr>
              <w:tab/>
              <w:t>110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2">
            <w:r>
              <w:rPr>
                <w:webHidden/>
                <w:rStyle w:val="Indeksnapoveznica"/>
                <w:vanish w:val="false"/>
                <w:lang w:bidi="en-US"/>
              </w:rPr>
              <w:t>6.5.4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_Toc116990172 \h</w:instrText>
            </w:r>
            <w:r>
              <w:rPr>
                <w:webHidden/>
              </w:rPr>
              <w:fldChar w:fldCharType="separate"/>
            </w:r>
            <w:r>
              <w:rPr>
                <w:rStyle w:val="Indeksnapoveznica"/>
                <w:vanish w:val="false"/>
              </w:rPr>
              <w:tab/>
              <w:t>110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3">
            <w:r>
              <w:rPr>
                <w:webHidden/>
                <w:rStyle w:val="Indeksnapoveznica"/>
                <w:vanish w:val="false"/>
                <w:lang w:bidi="en-US"/>
              </w:rPr>
              <w:t>6.5.5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_Toc116990173 \h</w:instrText>
            </w:r>
            <w:r>
              <w:rPr>
                <w:webHidden/>
              </w:rPr>
              <w:fldChar w:fldCharType="separate"/>
            </w:r>
            <w:r>
              <w:rPr>
                <w:rStyle w:val="Indeksnapoveznica"/>
                <w:vanish w:val="false"/>
              </w:rPr>
              <w:tab/>
              <w:t>112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4">
            <w:r>
              <w:rPr>
                <w:webHidden/>
                <w:rStyle w:val="Indeksnapoveznica"/>
                <w:vanish w:val="false"/>
                <w:lang w:bidi="en-US"/>
              </w:rPr>
              <w:t>6.5.6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Događaj s najgorim mogućim posljedicama</w:t>
            </w:r>
            <w:r>
              <w:rPr>
                <w:webHidden/>
              </w:rPr>
              <w:fldChar w:fldCharType="begin"/>
            </w:r>
            <w:r>
              <w:rPr>
                <w:webHidden/>
              </w:rPr>
              <w:instrText>PAGEREF _Toc116990174 \h</w:instrText>
            </w:r>
            <w:r>
              <w:rPr>
                <w:webHidden/>
              </w:rPr>
              <w:fldChar w:fldCharType="separate"/>
            </w:r>
            <w:r>
              <w:rPr>
                <w:rStyle w:val="Indeksnapoveznica"/>
                <w:vanish w:val="false"/>
              </w:rPr>
              <w:tab/>
              <w:t>113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5">
            <w:r>
              <w:rPr>
                <w:webHidden/>
                <w:rStyle w:val="Indeksnapoveznica"/>
                <w:vanish w:val="false"/>
                <w:lang w:bidi="en-US"/>
              </w:rPr>
              <w:t>6.5.7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_Toc116990175 \h</w:instrText>
            </w:r>
            <w:r>
              <w:rPr>
                <w:webHidden/>
              </w:rPr>
              <w:fldChar w:fldCharType="separate"/>
            </w:r>
            <w:r>
              <w:rPr>
                <w:rStyle w:val="Indeksnapoveznica"/>
                <w:vanish w:val="false"/>
              </w:rPr>
              <w:tab/>
              <w:t>116</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6">
            <w:r>
              <w:rPr>
                <w:webHidden/>
                <w:rStyle w:val="Indeksnapoveznica"/>
                <w:vanish w:val="false"/>
                <w:lang w:bidi="en-US"/>
              </w:rPr>
              <w:t>6.5.8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_Toc116990176 \h</w:instrText>
            </w:r>
            <w:r>
              <w:rPr>
                <w:webHidden/>
              </w:rPr>
              <w:fldChar w:fldCharType="separate"/>
            </w:r>
            <w:r>
              <w:rPr>
                <w:rStyle w:val="Indeksnapoveznica"/>
                <w:vanish w:val="false"/>
              </w:rPr>
              <w:tab/>
              <w:t>117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7">
            <w:r>
              <w:rPr>
                <w:webHidden/>
                <w:rStyle w:val="Indeksnapoveznica"/>
                <w:vanish w:val="false"/>
                <w:lang w:bidi="en-US"/>
              </w:rPr>
              <w:t>6.5.9</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Karte</w:t>
            </w:r>
            <w:r>
              <w:rPr>
                <w:webHidden/>
              </w:rPr>
              <w:fldChar w:fldCharType="begin"/>
            </w:r>
            <w:r>
              <w:rPr>
                <w:webHidden/>
              </w:rPr>
              <w:instrText>PAGEREF _Toc116990177 \h</w:instrText>
            </w:r>
            <w:r>
              <w:rPr>
                <w:webHidden/>
              </w:rPr>
              <w:fldChar w:fldCharType="separate"/>
            </w:r>
            <w:r>
              <w:rPr>
                <w:rStyle w:val="Indeksnapoveznica"/>
                <w:vanish w:val="false"/>
              </w:rPr>
              <w:tab/>
              <w:t>118</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78">
            <w:r>
              <w:rPr>
                <w:webHidden/>
                <w:rStyle w:val="Indeksnapoveznica"/>
                <w:vanish w:val="false"/>
                <w14:scene3d>
                  <w14:camera w14:prst="orthographicFront"/>
                  <w14:lightRig w14:rig="threePt" w14:dir="t">
                    <w14:rot w14:lat="0" w14:lon="0" w14:rev="0"/>
                  </w14:lightRig>
                </w14:scene3d>
              </w:rPr>
              <w:t>6.6</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Ekstremne temperature</w:t>
            </w:r>
            <w:r>
              <w:rPr>
                <w:webHidden/>
              </w:rPr>
              <w:fldChar w:fldCharType="begin"/>
            </w:r>
            <w:r>
              <w:rPr>
                <w:webHidden/>
              </w:rPr>
              <w:instrText>PAGEREF _Toc116990178 \h</w:instrText>
            </w:r>
            <w:r>
              <w:rPr>
                <w:webHidden/>
              </w:rPr>
              <w:fldChar w:fldCharType="separate"/>
            </w:r>
            <w:r>
              <w:rPr>
                <w:rStyle w:val="Indeksnapoveznica"/>
                <w:vanish w:val="false"/>
              </w:rPr>
              <w:tab/>
              <w:t>119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79">
            <w:r>
              <w:rPr>
                <w:webHidden/>
                <w:rStyle w:val="Indeksnapoveznica"/>
                <w:vanish w:val="false"/>
                <w:lang w:bidi="en-US"/>
              </w:rPr>
              <w:t>6.6.1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_Toc116990179 \h</w:instrText>
            </w:r>
            <w:r>
              <w:rPr>
                <w:webHidden/>
              </w:rPr>
              <w:fldChar w:fldCharType="separate"/>
            </w:r>
            <w:r>
              <w:rPr>
                <w:rStyle w:val="Indeksnapoveznica"/>
                <w:vanish w:val="false"/>
              </w:rPr>
              <w:tab/>
              <w:t>119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0">
            <w:r>
              <w:rPr>
                <w:webHidden/>
                <w:rStyle w:val="Indeksnapoveznica"/>
                <w:vanish w:val="false"/>
                <w:lang w:bidi="en-US"/>
              </w:rPr>
              <w:t>6.6.2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_Toc116990180 \h</w:instrText>
            </w:r>
            <w:r>
              <w:rPr>
                <w:webHidden/>
              </w:rPr>
              <w:fldChar w:fldCharType="separate"/>
            </w:r>
            <w:r>
              <w:rPr>
                <w:rStyle w:val="Indeksnapoveznica"/>
                <w:vanish w:val="false"/>
              </w:rPr>
              <w:tab/>
              <w:t>119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1">
            <w:r>
              <w:rPr>
                <w:webHidden/>
                <w:rStyle w:val="Indeksnapoveznica"/>
                <w:vanish w:val="false"/>
                <w:lang w:bidi="en-US"/>
              </w:rPr>
              <w:t>6.6.3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strukturu</w:t>
            </w:r>
            <w:r>
              <w:rPr>
                <w:webHidden/>
              </w:rPr>
              <w:fldChar w:fldCharType="begin"/>
            </w:r>
            <w:r>
              <w:rPr>
                <w:webHidden/>
              </w:rPr>
              <w:instrText>PAGEREF _Toc116990181 \h</w:instrText>
            </w:r>
            <w:r>
              <w:rPr>
                <w:webHidden/>
              </w:rPr>
              <w:fldChar w:fldCharType="separate"/>
            </w:r>
            <w:r>
              <w:rPr>
                <w:rStyle w:val="Indeksnapoveznica"/>
                <w:vanish w:val="false"/>
              </w:rPr>
              <w:tab/>
              <w:t>119</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2">
            <w:r>
              <w:rPr>
                <w:webHidden/>
                <w:rStyle w:val="Indeksnapoveznica"/>
                <w:vanish w:val="false"/>
                <w:lang w:bidi="en-US"/>
              </w:rPr>
              <w:t>6.6.4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_Toc116990182 \h</w:instrText>
            </w:r>
            <w:r>
              <w:rPr>
                <w:webHidden/>
              </w:rPr>
              <w:fldChar w:fldCharType="separate"/>
            </w:r>
            <w:r>
              <w:rPr>
                <w:rStyle w:val="Indeksnapoveznica"/>
                <w:vanish w:val="false"/>
              </w:rPr>
              <w:tab/>
              <w:t>120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3">
            <w:r>
              <w:rPr>
                <w:webHidden/>
                <w:rStyle w:val="Indeksnapoveznica"/>
                <w:vanish w:val="false"/>
                <w:lang w:bidi="en-US"/>
              </w:rPr>
              <w:t>6.6.5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_Toc116990183 \h</w:instrText>
            </w:r>
            <w:r>
              <w:rPr>
                <w:webHidden/>
              </w:rPr>
              <w:fldChar w:fldCharType="separate"/>
            </w:r>
            <w:r>
              <w:rPr>
                <w:rStyle w:val="Indeksnapoveznica"/>
                <w:vanish w:val="false"/>
              </w:rPr>
              <w:tab/>
              <w:t>128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4">
            <w:r>
              <w:rPr>
                <w:webHidden/>
                <w:rStyle w:val="Indeksnapoveznica"/>
                <w:vanish w:val="false"/>
                <w:lang w:bidi="en-US"/>
              </w:rPr>
              <w:t>6.6.6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Događaj s najgorim mogućim posljedicama</w:t>
            </w:r>
            <w:r>
              <w:rPr>
                <w:webHidden/>
              </w:rPr>
              <w:fldChar w:fldCharType="begin"/>
            </w:r>
            <w:r>
              <w:rPr>
                <w:webHidden/>
              </w:rPr>
              <w:instrText>PAGEREF _Toc116990184 \h</w:instrText>
            </w:r>
            <w:r>
              <w:rPr>
                <w:webHidden/>
              </w:rPr>
              <w:fldChar w:fldCharType="separate"/>
            </w:r>
            <w:r>
              <w:rPr>
                <w:rStyle w:val="Indeksnapoveznica"/>
                <w:vanish w:val="false"/>
              </w:rPr>
              <w:tab/>
              <w:t>128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5">
            <w:r>
              <w:rPr>
                <w:webHidden/>
                <w:rStyle w:val="Indeksnapoveznica"/>
                <w:vanish w:val="false"/>
                <w:lang w:bidi="en-US"/>
              </w:rPr>
              <w:t>6.6.7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_Toc116990185 \h</w:instrText>
            </w:r>
            <w:r>
              <w:rPr>
                <w:webHidden/>
              </w:rPr>
              <w:fldChar w:fldCharType="separate"/>
            </w:r>
            <w:r>
              <w:rPr>
                <w:rStyle w:val="Indeksnapoveznica"/>
                <w:vanish w:val="false"/>
              </w:rPr>
              <w:tab/>
              <w:t>132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6">
            <w:r>
              <w:rPr>
                <w:webHidden/>
                <w:rStyle w:val="Indeksnapoveznica"/>
                <w:vanish w:val="false"/>
                <w:lang w:bidi="en-US"/>
              </w:rPr>
              <w:t>6.6.8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_Toc116990186 \h</w:instrText>
            </w:r>
            <w:r>
              <w:rPr>
                <w:webHidden/>
              </w:rPr>
              <w:fldChar w:fldCharType="separate"/>
            </w:r>
            <w:r>
              <w:rPr>
                <w:rStyle w:val="Indeksnapoveznica"/>
                <w:vanish w:val="false"/>
              </w:rPr>
              <w:tab/>
              <w:t>133</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87">
            <w:r>
              <w:rPr>
                <w:webHidden/>
                <w:rStyle w:val="Indeksnapoveznica"/>
                <w:vanish w:val="false"/>
                <w14:scene3d>
                  <w14:camera w14:prst="orthographicFront"/>
                  <w14:lightRig w14:rig="threePt" w14:dir="t">
                    <w14:rot w14:lat="0" w14:lon="0" w14:rev="0"/>
                  </w14:lightRig>
                </w14:scene3d>
              </w:rPr>
              <w:t>6.7</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Suša</w:t>
            </w:r>
            <w:r>
              <w:rPr>
                <w:webHidden/>
              </w:rPr>
              <w:fldChar w:fldCharType="begin"/>
            </w:r>
            <w:r>
              <w:rPr>
                <w:webHidden/>
              </w:rPr>
              <w:instrText>PAGEREF _Toc116990187 \h</w:instrText>
            </w:r>
            <w:r>
              <w:rPr>
                <w:webHidden/>
              </w:rPr>
              <w:fldChar w:fldCharType="separate"/>
            </w:r>
            <w:r>
              <w:rPr>
                <w:rStyle w:val="Indeksnapoveznica"/>
                <w:vanish w:val="false"/>
              </w:rPr>
              <w:tab/>
              <w:t>134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8">
            <w:r>
              <w:rPr>
                <w:webHidden/>
                <w:rStyle w:val="Indeksnapoveznica"/>
                <w:vanish w:val="false"/>
                <w:lang w:bidi="en-US"/>
              </w:rPr>
              <w:t>6.7.1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_Toc116990188 \h</w:instrText>
            </w:r>
            <w:r>
              <w:rPr>
                <w:webHidden/>
              </w:rPr>
              <w:fldChar w:fldCharType="separate"/>
            </w:r>
            <w:r>
              <w:rPr>
                <w:rStyle w:val="Indeksnapoveznica"/>
                <w:vanish w:val="false"/>
              </w:rPr>
              <w:tab/>
              <w:t>134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89">
            <w:r>
              <w:rPr>
                <w:webHidden/>
                <w:rStyle w:val="Indeksnapoveznica"/>
                <w:vanish w:val="false"/>
                <w:lang w:bidi="en-US"/>
              </w:rPr>
              <w:t>6.7.2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_Toc116990189 \h</w:instrText>
            </w:r>
            <w:r>
              <w:rPr>
                <w:webHidden/>
              </w:rPr>
              <w:fldChar w:fldCharType="separate"/>
            </w:r>
            <w:r>
              <w:rPr>
                <w:rStyle w:val="Indeksnapoveznica"/>
                <w:vanish w:val="false"/>
              </w:rPr>
              <w:tab/>
              <w:t>134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0">
            <w:r>
              <w:rPr>
                <w:webHidden/>
                <w:rStyle w:val="Indeksnapoveznica"/>
                <w:vanish w:val="false"/>
                <w:lang w:bidi="en-US"/>
              </w:rPr>
              <w:t>6.7.3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infrastrukturu</w:t>
            </w:r>
            <w:r>
              <w:rPr>
                <w:webHidden/>
              </w:rPr>
              <w:fldChar w:fldCharType="begin"/>
            </w:r>
            <w:r>
              <w:rPr>
                <w:webHidden/>
              </w:rPr>
              <w:instrText>PAGEREF _Toc116990190 \h</w:instrText>
            </w:r>
            <w:r>
              <w:rPr>
                <w:webHidden/>
              </w:rPr>
              <w:fldChar w:fldCharType="separate"/>
            </w:r>
            <w:r>
              <w:rPr>
                <w:rStyle w:val="Indeksnapoveznica"/>
                <w:vanish w:val="false"/>
              </w:rPr>
              <w:tab/>
              <w:t>134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1">
            <w:r>
              <w:rPr>
                <w:webHidden/>
                <w:rStyle w:val="Indeksnapoveznica"/>
                <w:vanish w:val="false"/>
                <w:lang w:bidi="en-US"/>
              </w:rPr>
              <w:t>6.7.4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_Toc116990191 \h</w:instrText>
            </w:r>
            <w:r>
              <w:rPr>
                <w:webHidden/>
              </w:rPr>
              <w:fldChar w:fldCharType="separate"/>
            </w:r>
            <w:r>
              <w:rPr>
                <w:rStyle w:val="Indeksnapoveznica"/>
                <w:vanish w:val="false"/>
              </w:rPr>
              <w:tab/>
              <w:t>135</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2">
            <w:r>
              <w:rPr>
                <w:webHidden/>
                <w:rStyle w:val="Indeksnapoveznica"/>
                <w:vanish w:val="false"/>
                <w:lang w:bidi="en-US"/>
              </w:rPr>
              <w:t>6.7.5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_Toc116990192 \h</w:instrText>
            </w:r>
            <w:r>
              <w:rPr>
                <w:webHidden/>
              </w:rPr>
              <w:fldChar w:fldCharType="separate"/>
            </w:r>
            <w:r>
              <w:rPr>
                <w:rStyle w:val="Indeksnapoveznica"/>
                <w:vanish w:val="false"/>
              </w:rPr>
              <w:tab/>
              <w:t>137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3">
            <w:r>
              <w:rPr>
                <w:webHidden/>
                <w:rStyle w:val="Indeksnapoveznica"/>
                <w:vanish w:val="false"/>
                <w:lang w:bidi="en-US"/>
              </w:rPr>
              <w:t>6.7.6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Događaj s najgorim mogućim posljedicama</w:t>
            </w:r>
            <w:r>
              <w:rPr>
                <w:webHidden/>
              </w:rPr>
              <w:fldChar w:fldCharType="begin"/>
            </w:r>
            <w:r>
              <w:rPr>
                <w:webHidden/>
              </w:rPr>
              <w:instrText>PAGEREF _Toc116990193 \h</w:instrText>
            </w:r>
            <w:r>
              <w:rPr>
                <w:webHidden/>
              </w:rPr>
              <w:fldChar w:fldCharType="separate"/>
            </w:r>
            <w:r>
              <w:rPr>
                <w:rStyle w:val="Indeksnapoveznica"/>
                <w:vanish w:val="false"/>
              </w:rPr>
              <w:tab/>
              <w:t>137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4">
            <w:r>
              <w:rPr>
                <w:webHidden/>
                <w:rStyle w:val="Indeksnapoveznica"/>
                <w:vanish w:val="false"/>
                <w:lang w:bidi="en-US"/>
              </w:rPr>
              <w:t>6.7.7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_Toc116990194 \h</w:instrText>
            </w:r>
            <w:r>
              <w:rPr>
                <w:webHidden/>
              </w:rPr>
              <w:fldChar w:fldCharType="separate"/>
            </w:r>
            <w:r>
              <w:rPr>
                <w:rStyle w:val="Indeksnapoveznica"/>
                <w:vanish w:val="false"/>
              </w:rPr>
              <w:tab/>
              <w:t>140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5">
            <w:r>
              <w:rPr>
                <w:webHidden/>
                <w:rStyle w:val="Indeksnapoveznica"/>
                <w:vanish w:val="false"/>
                <w:lang w:bidi="en-US"/>
              </w:rPr>
              <w:t>6.7.8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Matrice rizika</w:t>
            </w:r>
            <w:r>
              <w:rPr>
                <w:webHidden/>
              </w:rPr>
              <w:fldChar w:fldCharType="begin"/>
            </w:r>
            <w:r>
              <w:rPr>
                <w:webHidden/>
              </w:rPr>
              <w:instrText>PAGEREF _Toc116990195 \h</w:instrText>
            </w:r>
            <w:r>
              <w:rPr>
                <w:webHidden/>
              </w:rPr>
              <w:fldChar w:fldCharType="separate"/>
            </w:r>
            <w:r>
              <w:rPr>
                <w:rStyle w:val="Indeksnapoveznica"/>
                <w:vanish w:val="false"/>
              </w:rPr>
              <w:tab/>
              <w:t>141</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196">
            <w:r>
              <w:rPr>
                <w:webHidden/>
                <w:rStyle w:val="Indeksnapoveznica"/>
                <w:vanish w:val="false"/>
                <w14:scene3d>
                  <w14:camera w14:prst="orthographicFront"/>
                  <w14:lightRig w14:rig="threePt" w14:dir="t">
                    <w14:rot w14:lat="0" w14:lon="0" w14:rev="0"/>
                  </w14:lightRig>
                </w14:scene3d>
              </w:rPr>
              <w:t>6.8</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Tuča</w:t>
            </w:r>
            <w:r>
              <w:rPr>
                <w:webHidden/>
              </w:rPr>
              <w:fldChar w:fldCharType="begin"/>
            </w:r>
            <w:r>
              <w:rPr>
                <w:webHidden/>
              </w:rPr>
              <w:instrText>PAGEREF _Toc116990196 \h</w:instrText>
            </w:r>
            <w:r>
              <w:rPr>
                <w:webHidden/>
              </w:rPr>
              <w:fldChar w:fldCharType="separate"/>
            </w:r>
            <w:r>
              <w:rPr>
                <w:rStyle w:val="Indeksnapoveznica"/>
                <w:vanish w:val="false"/>
              </w:rPr>
              <w:tab/>
              <w:t>142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7">
            <w:r>
              <w:rPr>
                <w:webHidden/>
                <w:rStyle w:val="Indeksnapoveznica"/>
                <w:vanish w:val="false"/>
                <w:lang w:bidi="en-US"/>
              </w:rPr>
              <w:t>6.8.1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Naziv scenarija</w:t>
            </w:r>
            <w:r>
              <w:rPr>
                <w:webHidden/>
              </w:rPr>
              <w:fldChar w:fldCharType="begin"/>
            </w:r>
            <w:r>
              <w:rPr>
                <w:webHidden/>
              </w:rPr>
              <w:instrText>PAGEREF _Toc116990197 \h</w:instrText>
            </w:r>
            <w:r>
              <w:rPr>
                <w:webHidden/>
              </w:rPr>
              <w:fldChar w:fldCharType="separate"/>
            </w:r>
            <w:r>
              <w:rPr>
                <w:rStyle w:val="Indeksnapoveznica"/>
                <w:vanish w:val="false"/>
              </w:rPr>
              <w:tab/>
              <w:t>142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8">
            <w:r>
              <w:rPr>
                <w:webHidden/>
                <w:rStyle w:val="Indeksnapoveznica"/>
                <w:vanish w:val="false"/>
                <w:lang w:bidi="en-US"/>
              </w:rPr>
              <w:t>6.8.2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Uvod</w:t>
            </w:r>
            <w:r>
              <w:rPr>
                <w:webHidden/>
              </w:rPr>
              <w:fldChar w:fldCharType="begin"/>
            </w:r>
            <w:r>
              <w:rPr>
                <w:webHidden/>
              </w:rPr>
              <w:instrText>PAGEREF _Toc116990198 \h</w:instrText>
            </w:r>
            <w:r>
              <w:rPr>
                <w:webHidden/>
              </w:rPr>
              <w:fldChar w:fldCharType="separate"/>
            </w:r>
            <w:r>
              <w:rPr>
                <w:rStyle w:val="Indeksnapoveznica"/>
                <w:vanish w:val="false"/>
              </w:rPr>
              <w:tab/>
              <w:t>142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199">
            <w:r>
              <w:rPr>
                <w:webHidden/>
                <w:rStyle w:val="Indeksnapoveznica"/>
                <w:vanish w:val="false"/>
                <w:lang w:bidi="en-US"/>
              </w:rPr>
              <w:t>6.8.3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Prikaz utjecaja na kritičnu infrastrukturu</w:t>
            </w:r>
            <w:r>
              <w:rPr>
                <w:webHidden/>
              </w:rPr>
              <w:fldChar w:fldCharType="begin"/>
            </w:r>
            <w:r>
              <w:rPr>
                <w:webHidden/>
              </w:rPr>
              <w:instrText>PAGEREF _Toc116990199 \h</w:instrText>
            </w:r>
            <w:r>
              <w:rPr>
                <w:webHidden/>
              </w:rPr>
              <w:fldChar w:fldCharType="separate"/>
            </w:r>
            <w:r>
              <w:rPr>
                <w:rStyle w:val="Indeksnapoveznica"/>
                <w:vanish w:val="false"/>
              </w:rPr>
              <w:tab/>
              <w:t>142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0">
            <w:r>
              <w:rPr>
                <w:webHidden/>
                <w:rStyle w:val="Indeksnapoveznica"/>
                <w:vanish w:val="false"/>
                <w:lang w:bidi="en-US"/>
              </w:rPr>
              <w:t>6.8.4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Kontekst</w:t>
            </w:r>
            <w:r>
              <w:rPr>
                <w:webHidden/>
              </w:rPr>
              <w:fldChar w:fldCharType="begin"/>
            </w:r>
            <w:r>
              <w:rPr>
                <w:webHidden/>
              </w:rPr>
              <w:instrText>PAGEREF _Toc116990200 \h</w:instrText>
            </w:r>
            <w:r>
              <w:rPr>
                <w:webHidden/>
              </w:rPr>
              <w:fldChar w:fldCharType="separate"/>
            </w:r>
            <w:r>
              <w:rPr>
                <w:rStyle w:val="Indeksnapoveznica"/>
                <w:vanish w:val="false"/>
              </w:rPr>
              <w:tab/>
              <w:t>143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1">
            <w:r>
              <w:rPr>
                <w:webHidden/>
                <w:rStyle w:val="Indeksnapoveznica"/>
                <w:vanish w:val="false"/>
                <w:lang w:bidi="en-US"/>
              </w:rPr>
              <w:t>6.8.5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Uzrok</w:t>
            </w:r>
            <w:r>
              <w:rPr>
                <w:webHidden/>
              </w:rPr>
              <w:fldChar w:fldCharType="begin"/>
            </w:r>
            <w:r>
              <w:rPr>
                <w:webHidden/>
              </w:rPr>
              <w:instrText>PAGEREF _Toc116990201 \h</w:instrText>
            </w:r>
            <w:r>
              <w:rPr>
                <w:webHidden/>
              </w:rPr>
              <w:fldChar w:fldCharType="separate"/>
            </w:r>
            <w:r>
              <w:rPr>
                <w:rStyle w:val="Indeksnapoveznica"/>
                <w:vanish w:val="false"/>
              </w:rPr>
              <w:tab/>
              <w:t>144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2">
            <w:r>
              <w:rPr>
                <w:webHidden/>
                <w:rStyle w:val="Indeksnapoveznica"/>
                <w:vanish w:val="false"/>
                <w:lang w:bidi="en-US"/>
              </w:rPr>
              <w:t>6.8.6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Događaj s najgorim mogućim posljedicama</w:t>
            </w:r>
            <w:r>
              <w:rPr>
                <w:webHidden/>
              </w:rPr>
              <w:fldChar w:fldCharType="begin"/>
            </w:r>
            <w:r>
              <w:rPr>
                <w:webHidden/>
              </w:rPr>
              <w:instrText>PAGEREF _Toc116990202 \h</w:instrText>
            </w:r>
            <w:r>
              <w:rPr>
                <w:webHidden/>
              </w:rPr>
              <w:fldChar w:fldCharType="separate"/>
            </w:r>
            <w:r>
              <w:rPr>
                <w:rStyle w:val="Indeksnapoveznica"/>
                <w:vanish w:val="false"/>
              </w:rPr>
              <w:tab/>
              <w:t>144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3">
            <w:r>
              <w:rPr>
                <w:webHidden/>
                <w:rStyle w:val="Indeksnapoveznica"/>
                <w:vanish w:val="false"/>
                <w:lang w:bidi="en-US"/>
              </w:rPr>
              <w:t>6.8.7</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Podaci, izvori i metode proračuna</w:t>
            </w:r>
            <w:r>
              <w:rPr>
                <w:webHidden/>
              </w:rPr>
              <w:fldChar w:fldCharType="begin"/>
            </w:r>
            <w:r>
              <w:rPr>
                <w:webHidden/>
              </w:rPr>
              <w:instrText>PAGEREF _Toc116990203 \h</w:instrText>
            </w:r>
            <w:r>
              <w:rPr>
                <w:webHidden/>
              </w:rPr>
              <w:fldChar w:fldCharType="separate"/>
            </w:r>
            <w:r>
              <w:rPr>
                <w:rStyle w:val="Indeksnapoveznica"/>
                <w:vanish w:val="false"/>
              </w:rPr>
              <w:tab/>
              <w:t>147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4">
            <w:r>
              <w:rPr>
                <w:webHidden/>
                <w:rStyle w:val="Indeksnapoveznica"/>
                <w:vanish w:val="false"/>
                <w:lang w:bidi="en-US"/>
              </w:rPr>
              <w:t>6.8.8</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Matrica rizika</w:t>
            </w:r>
            <w:r>
              <w:rPr>
                <w:webHidden/>
              </w:rPr>
              <w:fldChar w:fldCharType="begin"/>
            </w:r>
            <w:r>
              <w:rPr>
                <w:webHidden/>
              </w:rPr>
              <w:instrText>PAGEREF _Toc116990204 \h</w:instrText>
            </w:r>
            <w:r>
              <w:rPr>
                <w:webHidden/>
              </w:rPr>
              <w:fldChar w:fldCharType="separate"/>
            </w:r>
            <w:r>
              <w:rPr>
                <w:rStyle w:val="Indeksnapoveznica"/>
                <w:vanish w:val="false"/>
              </w:rPr>
              <w:tab/>
              <w:t>148</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205">
            <w:r>
              <w:rPr>
                <w:webHidden/>
                <w:rStyle w:val="Indeksnapoveznica"/>
                <w:vanish w:val="false"/>
              </w:rPr>
              <w:t>7</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USPOREDBA RIZIKA</w:t>
            </w:r>
            <w:r>
              <w:rPr>
                <w:webHidden/>
              </w:rPr>
              <w:fldChar w:fldCharType="begin"/>
            </w:r>
            <w:r>
              <w:rPr>
                <w:webHidden/>
              </w:rPr>
              <w:instrText>PAGEREF _Toc116990205 \h</w:instrText>
            </w:r>
            <w:r>
              <w:rPr>
                <w:webHidden/>
              </w:rPr>
              <w:fldChar w:fldCharType="separate"/>
            </w:r>
            <w:r>
              <w:rPr>
                <w:rStyle w:val="Indeksnapoveznica"/>
                <w:vanish w:val="false"/>
              </w:rPr>
              <w:tab/>
              <w:t>149</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206">
            <w:r>
              <w:rPr>
                <w:webHidden/>
                <w:rStyle w:val="Indeksnapoveznica"/>
                <w:vanish w:val="false"/>
              </w:rPr>
              <w:t>8</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ANALIZA SUSTAVA CIVILNE ZAŠTITE</w:t>
            </w:r>
            <w:r>
              <w:rPr>
                <w:webHidden/>
              </w:rPr>
              <w:fldChar w:fldCharType="begin"/>
            </w:r>
            <w:r>
              <w:rPr>
                <w:webHidden/>
              </w:rPr>
              <w:instrText>PAGEREF _Toc116990206 \h</w:instrText>
            </w:r>
            <w:r>
              <w:rPr>
                <w:webHidden/>
              </w:rPr>
              <w:fldChar w:fldCharType="separate"/>
            </w:r>
            <w:r>
              <w:rPr>
                <w:rStyle w:val="Indeksnapoveznica"/>
                <w:vanish w:val="false"/>
              </w:rPr>
              <w:tab/>
              <w:t>150</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207">
            <w:r>
              <w:rPr>
                <w:webHidden/>
                <w:rStyle w:val="Indeksnapoveznica"/>
                <w:vanish w:val="false"/>
                <w14:scene3d>
                  <w14:camera w14:prst="orthographicFront"/>
                  <w14:lightRig w14:rig="threePt" w14:dir="t">
                    <w14:rot w14:lat="0" w14:lon="0" w14:rev="0"/>
                  </w14:lightRig>
                </w14:scene3d>
              </w:rPr>
              <w:t>8.1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Područje preventive</w:t>
            </w:r>
            <w:r>
              <w:rPr>
                <w:webHidden/>
              </w:rPr>
              <w:fldChar w:fldCharType="begin"/>
            </w:r>
            <w:r>
              <w:rPr>
                <w:webHidden/>
              </w:rPr>
              <w:instrText>PAGEREF _Toc116990207 \h</w:instrText>
            </w:r>
            <w:r>
              <w:rPr>
                <w:webHidden/>
              </w:rPr>
              <w:fldChar w:fldCharType="separate"/>
            </w:r>
            <w:r>
              <w:rPr>
                <w:rStyle w:val="Indeksnapoveznica"/>
                <w:vanish w:val="false"/>
              </w:rPr>
              <w:tab/>
              <w:t>150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8">
            <w:r>
              <w:rPr>
                <w:webHidden/>
                <w:rStyle w:val="Indeksnapoveznica"/>
                <w:vanish w:val="false"/>
                <w:lang w:eastAsia="hr-HR" w:bidi="en-US"/>
              </w:rPr>
              <w:t>8.1.1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Usvojenost strategija, normativne uređenosti te izrađenost procjena i planova od značaja za sustav civilne zaštite</w:t>
            </w:r>
            <w:r>
              <w:rPr>
                <w:webHidden/>
              </w:rPr>
              <w:fldChar w:fldCharType="begin"/>
            </w:r>
            <w:r>
              <w:rPr>
                <w:webHidden/>
              </w:rPr>
              <w:instrText>PAGEREF _Toc116990208 \h</w:instrText>
            </w:r>
            <w:r>
              <w:rPr>
                <w:webHidden/>
              </w:rPr>
              <w:fldChar w:fldCharType="separate"/>
            </w:r>
            <w:r>
              <w:rPr>
                <w:rStyle w:val="Indeksnapoveznica"/>
                <w:vanish w:val="false"/>
              </w:rPr>
              <w:tab/>
              <w:t>150</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09">
            <w:r>
              <w:rPr>
                <w:webHidden/>
                <w:rStyle w:val="Indeksnapoveznica"/>
                <w:vanish w:val="false"/>
                <w:lang w:eastAsia="hr-HR" w:bidi="en-US"/>
              </w:rPr>
              <w:t>8.1.2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 xml:space="preserve">Sustavi ranog upozoravanja i suradnja sa susjednim jedinicama lokalne i područne </w:t>
            </w:r>
            <w:r>
              <w:rPr>
                <w:rStyle w:val="Indeksnapoveznica"/>
                <w:lang w:bidi="en-US"/>
              </w:rPr>
              <w:t>(regionalne) samouprave</w:t>
            </w:r>
            <w:r>
              <w:rPr>
                <w:webHidden/>
              </w:rPr>
              <w:fldChar w:fldCharType="begin"/>
            </w:r>
            <w:r>
              <w:rPr>
                <w:webHidden/>
              </w:rPr>
              <w:instrText>PAGEREF _Toc116990209 \h</w:instrText>
            </w:r>
            <w:r>
              <w:rPr>
                <w:webHidden/>
              </w:rPr>
              <w:fldChar w:fldCharType="separate"/>
            </w:r>
            <w:r>
              <w:rPr>
                <w:rStyle w:val="Indeksnapoveznica"/>
                <w:vanish w:val="false"/>
              </w:rPr>
              <w:tab/>
              <w:t>151</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0">
            <w:r>
              <w:rPr>
                <w:webHidden/>
                <w:rStyle w:val="Indeksnapoveznica"/>
                <w:vanish w:val="false"/>
                <w:lang w:eastAsia="hr-HR" w:bidi="en-US"/>
              </w:rPr>
              <w:t>8.1.3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Stanje svijesti pojedinaca, pripadnika ranjivih skupina, upravljačkih i odgovornih tijela</w:t>
            </w:r>
            <w:r>
              <w:rPr>
                <w:webHidden/>
              </w:rPr>
              <w:fldChar w:fldCharType="begin"/>
            </w:r>
            <w:r>
              <w:rPr>
                <w:webHidden/>
              </w:rPr>
              <w:instrText>PAGEREF _Toc116990210 \h</w:instrText>
            </w:r>
            <w:r>
              <w:rPr>
                <w:webHidden/>
              </w:rPr>
              <w:fldChar w:fldCharType="separate"/>
            </w:r>
            <w:r>
              <w:rPr>
                <w:rStyle w:val="Indeksnapoveznica"/>
                <w:vanish w:val="false"/>
              </w:rPr>
              <w:tab/>
              <w:t>152</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1">
            <w:r>
              <w:rPr>
                <w:webHidden/>
                <w:rStyle w:val="Indeksnapoveznica"/>
                <w:vanish w:val="false"/>
                <w:lang w:eastAsia="hr-HR" w:bidi="en-US"/>
              </w:rPr>
              <w:t>8.1.4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Ocjena stanja prostornog planiranja, izrade prostornih i urbanističkih planova razvoja, planskog korištenja zemljišta</w:t>
            </w:r>
            <w:r>
              <w:rPr>
                <w:webHidden/>
              </w:rPr>
              <w:fldChar w:fldCharType="begin"/>
            </w:r>
            <w:r>
              <w:rPr>
                <w:webHidden/>
              </w:rPr>
              <w:instrText>PAGEREF _Toc116990211 \h</w:instrText>
            </w:r>
            <w:r>
              <w:rPr>
                <w:webHidden/>
              </w:rPr>
              <w:fldChar w:fldCharType="separate"/>
            </w:r>
            <w:r>
              <w:rPr>
                <w:rStyle w:val="Indeksnapoveznica"/>
                <w:vanish w:val="false"/>
              </w:rPr>
              <w:tab/>
              <w:t>153</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2">
            <w:r>
              <w:rPr>
                <w:webHidden/>
                <w:rStyle w:val="Indeksnapoveznica"/>
                <w:vanish w:val="false"/>
                <w:lang w:eastAsia="hr-HR" w:bidi="en-US"/>
              </w:rPr>
              <w:t>8.1.5</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Ocjena fiskalne situacije i njezine perspektive</w:t>
            </w:r>
            <w:r>
              <w:rPr>
                <w:webHidden/>
              </w:rPr>
              <w:fldChar w:fldCharType="begin"/>
            </w:r>
            <w:r>
              <w:rPr>
                <w:webHidden/>
              </w:rPr>
              <w:instrText>PAGEREF _Toc116990212 \h</w:instrText>
            </w:r>
            <w:r>
              <w:rPr>
                <w:webHidden/>
              </w:rPr>
              <w:fldChar w:fldCharType="separate"/>
            </w:r>
            <w:r>
              <w:rPr>
                <w:rStyle w:val="Indeksnapoveznica"/>
                <w:vanish w:val="false"/>
              </w:rPr>
              <w:tab/>
              <w:t>154</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3">
            <w:r>
              <w:rPr>
                <w:webHidden/>
                <w:rStyle w:val="Indeksnapoveznica"/>
                <w:vanish w:val="false"/>
                <w:lang w:eastAsia="hr-HR" w:bidi="en-US"/>
              </w:rPr>
              <w:t>8.1.6</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Baza podataka</w:t>
            </w:r>
            <w:r>
              <w:rPr>
                <w:webHidden/>
              </w:rPr>
              <w:fldChar w:fldCharType="begin"/>
            </w:r>
            <w:r>
              <w:rPr>
                <w:webHidden/>
              </w:rPr>
              <w:instrText>PAGEREF _Toc116990213 \h</w:instrText>
            </w:r>
            <w:r>
              <w:rPr>
                <w:webHidden/>
              </w:rPr>
              <w:fldChar w:fldCharType="separate"/>
            </w:r>
            <w:r>
              <w:rPr>
                <w:rStyle w:val="Indeksnapoveznica"/>
                <w:vanish w:val="false"/>
              </w:rPr>
              <w:tab/>
              <w:t>155</w:t>
            </w:r>
            <w:r>
              <w:rPr>
                <w:webHidden/>
              </w:rPr>
              <w:fldChar w:fldCharType="end"/>
            </w:r>
          </w:hyperlink>
        </w:p>
        <w:p>
          <w:pPr>
            <w:pStyle w:val="Sadraj2"/>
            <w:tabs>
              <w:tab w:val="clear" w:pos="708"/>
              <w:tab w:val="left" w:pos="526"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214">
            <w:r>
              <w:rPr>
                <w:webHidden/>
                <w:rStyle w:val="Indeksnapoveznica"/>
                <w:vanish w:val="false"/>
                <w14:scene3d>
                  <w14:camera w14:prst="orthographicFront"/>
                  <w14:lightRig w14:rig="threePt" w14:dir="t">
                    <w14:rot w14:lat="0" w14:lon="0" w14:rev="0"/>
                  </w14:lightRig>
                </w14:scene3d>
              </w:rPr>
              <w:t>8.2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Područje reagiranja</w:t>
            </w:r>
            <w:r>
              <w:rPr>
                <w:webHidden/>
              </w:rPr>
              <w:fldChar w:fldCharType="begin"/>
            </w:r>
            <w:r>
              <w:rPr>
                <w:webHidden/>
              </w:rPr>
              <w:instrText>PAGEREF _Toc116990214 \h</w:instrText>
            </w:r>
            <w:r>
              <w:rPr>
                <w:webHidden/>
              </w:rPr>
              <w:fldChar w:fldCharType="separate"/>
            </w:r>
            <w:r>
              <w:rPr>
                <w:rStyle w:val="Indeksnapoveznica"/>
                <w:vanish w:val="false"/>
              </w:rPr>
              <w:tab/>
              <w:t>157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5">
            <w:r>
              <w:rPr>
                <w:webHidden/>
                <w:rStyle w:val="Indeksnapoveznica"/>
                <w:vanish w:val="false"/>
                <w:lang w:eastAsia="hr-HR" w:bidi="en-US"/>
              </w:rPr>
              <w:t>8.2.1</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eastAsia="hr-HR" w:bidi="en-US"/>
              </w:rPr>
              <w:t>Spremnost odgovornih i upravljačkih kapaciteta</w:t>
            </w:r>
            <w:r>
              <w:rPr>
                <w:webHidden/>
              </w:rPr>
              <w:fldChar w:fldCharType="begin"/>
            </w:r>
            <w:r>
              <w:rPr>
                <w:webHidden/>
              </w:rPr>
              <w:instrText>PAGEREF _Toc116990215 \h</w:instrText>
            </w:r>
            <w:r>
              <w:rPr>
                <w:webHidden/>
              </w:rPr>
              <w:fldChar w:fldCharType="separate"/>
            </w:r>
            <w:r>
              <w:rPr>
                <w:rStyle w:val="Indeksnapoveznica"/>
                <w:vanish w:val="false"/>
              </w:rPr>
              <w:tab/>
              <w:t>157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6">
            <w:r>
              <w:rPr>
                <w:webHidden/>
                <w:rStyle w:val="Indeksnapoveznica"/>
                <w:vanish w:val="false"/>
                <w:lang w:bidi="en-US"/>
              </w:rPr>
              <w:t>8.2.2</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Spremnost operativnih kapaciteta</w:t>
            </w:r>
            <w:r>
              <w:rPr>
                <w:webHidden/>
              </w:rPr>
              <w:fldChar w:fldCharType="begin"/>
            </w:r>
            <w:r>
              <w:rPr>
                <w:webHidden/>
              </w:rPr>
              <w:instrText>PAGEREF _Toc116990216 \h</w:instrText>
            </w:r>
            <w:r>
              <w:rPr>
                <w:webHidden/>
              </w:rPr>
              <w:fldChar w:fldCharType="separate"/>
            </w:r>
            <w:r>
              <w:rPr>
                <w:rStyle w:val="Indeksnapoveznica"/>
                <w:vanish w:val="false"/>
              </w:rPr>
              <w:tab/>
              <w:t>158</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7">
            <w:r>
              <w:rPr>
                <w:webHidden/>
                <w:rStyle w:val="Indeksnapoveznica"/>
                <w:vanish w:val="false"/>
                <w:lang w:bidi="en-US"/>
              </w:rPr>
              <w:t>8.2.3</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Stanje mobilnosti operativnih kapaciteta sustava civilne zaštite i stanja komunikacijskih kapaciteta</w:t>
            </w:r>
            <w:r>
              <w:rPr>
                <w:webHidden/>
              </w:rPr>
              <w:fldChar w:fldCharType="begin"/>
            </w:r>
            <w:r>
              <w:rPr>
                <w:webHidden/>
              </w:rPr>
              <w:instrText>PAGEREF _Toc116990217 \h</w:instrText>
            </w:r>
            <w:r>
              <w:rPr>
                <w:webHidden/>
              </w:rPr>
              <w:fldChar w:fldCharType="separate"/>
            </w:r>
            <w:r>
              <w:rPr>
                <w:rStyle w:val="Indeksnapoveznica"/>
                <w:vanish w:val="false"/>
              </w:rPr>
              <w:tab/>
              <w:t>167</w:t>
            </w:r>
            <w:r>
              <w:rPr>
                <w:webHidden/>
              </w:rPr>
              <w:fldChar w:fldCharType="end"/>
            </w:r>
          </w:hyperlink>
        </w:p>
        <w:p>
          <w:pPr>
            <w:pStyle w:val="Sadraj3"/>
            <w:tabs>
              <w:tab w:val="clear" w:pos="708"/>
              <w:tab w:val="left" w:pos="709" w:leader="none"/>
              <w:tab w:val="right" w:pos="9060" w:leader="dot"/>
            </w:tabs>
            <w:rPr>
              <w:rFonts w:ascii="Calibri" w:hAnsi="Calibri" w:eastAsia="" w:cs="Arial" w:asciiTheme="minorHAnsi" w:cstheme="minorBidi" w:eastAsiaTheme="minorEastAsia" w:hAnsiTheme="minorHAnsi"/>
              <w:caps w:val="false"/>
              <w:smallCaps w:val="false"/>
              <w:color w:val="auto"/>
              <w:szCs w:val="22"/>
              <w:lang w:eastAsia="hr-HR"/>
            </w:rPr>
          </w:pPr>
          <w:hyperlink w:anchor="_Toc116990218">
            <w:r>
              <w:rPr>
                <w:webHidden/>
                <w:rStyle w:val="Indeksnapoveznica"/>
                <w:vanish w:val="false"/>
                <w:lang w:bidi="en-US"/>
              </w:rPr>
              <w:t>8.2.4</w:t>
            </w:r>
            <w:r>
              <w:rPr>
                <w:rStyle w:val="Indeksnapoveznica"/>
                <w:rFonts w:eastAsia="" w:cs="Arial" w:ascii="Calibri" w:hAnsi="Calibri" w:asciiTheme="minorHAnsi" w:cstheme="minorBidi" w:eastAsiaTheme="minorEastAsia" w:hAnsiTheme="minorHAnsi"/>
                <w:caps w:val="false"/>
                <w:smallCaps w:val="false"/>
                <w:color w:val="auto"/>
                <w:szCs w:val="22"/>
                <w:lang w:eastAsia="hr-HR"/>
              </w:rPr>
              <w:tab/>
            </w:r>
            <w:r>
              <w:rPr>
                <w:rStyle w:val="Indeksnapoveznica"/>
                <w:lang w:bidi="en-US"/>
              </w:rPr>
              <w:t>Analiza spremnosti prema rizicima obrađenim u Procjeni rizika</w:t>
            </w:r>
            <w:r>
              <w:rPr>
                <w:webHidden/>
              </w:rPr>
              <w:fldChar w:fldCharType="begin"/>
            </w:r>
            <w:r>
              <w:rPr>
                <w:webHidden/>
              </w:rPr>
              <w:instrText>PAGEREF _Toc116990218 \h</w:instrText>
            </w:r>
            <w:r>
              <w:rPr>
                <w:webHidden/>
              </w:rPr>
              <w:fldChar w:fldCharType="separate"/>
            </w:r>
            <w:r>
              <w:rPr>
                <w:rStyle w:val="Indeksnapoveznica"/>
                <w:vanish w:val="false"/>
              </w:rPr>
              <w:tab/>
              <w:t>169</w:t>
            </w:r>
            <w:r>
              <w:rPr>
                <w:webHidden/>
              </w:rPr>
              <w:fldChar w:fldCharType="end"/>
            </w:r>
          </w:hyperlink>
        </w:p>
        <w:p>
          <w:pPr>
            <w:pStyle w:val="Sadraj1"/>
            <w:tabs>
              <w:tab w:val="clear" w:pos="708"/>
              <w:tab w:val="left" w:pos="342"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219">
            <w:r>
              <w:rPr>
                <w:webHidden/>
                <w:rStyle w:val="Indeksnapoveznica"/>
                <w:vanish w:val="false"/>
              </w:rPr>
              <w:t>9</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VREDNOVANJE RIZIKA</w:t>
            </w:r>
            <w:r>
              <w:rPr>
                <w:webHidden/>
              </w:rPr>
              <w:fldChar w:fldCharType="begin"/>
            </w:r>
            <w:r>
              <w:rPr>
                <w:webHidden/>
              </w:rPr>
              <w:instrText>PAGEREF _Toc116990219 \h</w:instrText>
            </w:r>
            <w:r>
              <w:rPr>
                <w:webHidden/>
              </w:rPr>
              <w:fldChar w:fldCharType="separate"/>
            </w:r>
            <w:r>
              <w:rPr>
                <w:rStyle w:val="Indeksnapoveznica"/>
                <w:vanish w:val="false"/>
              </w:rPr>
              <w:tab/>
              <w:t>190</w:t>
            </w:r>
            <w:r>
              <w:rPr>
                <w:webHidden/>
              </w:rPr>
              <w:fldChar w:fldCharType="end"/>
            </w:r>
          </w:hyperlink>
        </w:p>
        <w:p>
          <w:pPr>
            <w:pStyle w:val="Sadraj1"/>
            <w:tabs>
              <w:tab w:val="clear" w:pos="708"/>
              <w:tab w:val="left" w:pos="465"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220">
            <w:r>
              <w:rPr>
                <w:webHidden/>
                <w:rStyle w:val="Indeksnapoveznica"/>
                <w:vanish w:val="false"/>
              </w:rPr>
              <w:t>10</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POPIS SUDIONIKA U IZRADI PROCJENE RIZIKA</w:t>
            </w:r>
            <w:r>
              <w:rPr>
                <w:webHidden/>
              </w:rPr>
              <w:fldChar w:fldCharType="begin"/>
            </w:r>
            <w:r>
              <w:rPr>
                <w:webHidden/>
              </w:rPr>
              <w:instrText>PAGEREF _Toc116990220 \h</w:instrText>
            </w:r>
            <w:r>
              <w:rPr>
                <w:webHidden/>
              </w:rPr>
              <w:fldChar w:fldCharType="separate"/>
            </w:r>
            <w:r>
              <w:rPr>
                <w:rStyle w:val="Indeksnapoveznica"/>
                <w:vanish w:val="false"/>
              </w:rPr>
              <w:tab/>
              <w:t>193</w:t>
            </w:r>
            <w:r>
              <w:rPr>
                <w:webHidden/>
              </w:rPr>
              <w:fldChar w:fldCharType="end"/>
            </w:r>
          </w:hyperlink>
        </w:p>
        <w:p>
          <w:pPr>
            <w:pStyle w:val="Sadraj1"/>
            <w:tabs>
              <w:tab w:val="clear" w:pos="708"/>
              <w:tab w:val="left" w:pos="465"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u w:val="none"/>
              <w:lang w:eastAsia="hr-HR"/>
            </w:rPr>
          </w:pPr>
          <w:hyperlink w:anchor="_Toc116990221">
            <w:r>
              <w:rPr>
                <w:webHidden/>
                <w:rStyle w:val="Indeksnapoveznica"/>
                <w:vanish w:val="false"/>
              </w:rPr>
              <w:t>11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u w:val="none"/>
                <w:lang w:eastAsia="hr-HR"/>
              </w:rPr>
              <w:tab/>
            </w:r>
            <w:r>
              <w:rPr>
                <w:rStyle w:val="Indeksnapoveznica"/>
              </w:rPr>
              <w:t>PRILOZI</w:t>
            </w:r>
            <w:r>
              <w:rPr>
                <w:webHidden/>
              </w:rPr>
              <w:fldChar w:fldCharType="begin"/>
            </w:r>
            <w:r>
              <w:rPr>
                <w:webHidden/>
              </w:rPr>
              <w:instrText>PAGEREF _Toc116990221 \h</w:instrText>
            </w:r>
            <w:r>
              <w:rPr>
                <w:webHidden/>
              </w:rPr>
              <w:fldChar w:fldCharType="separate"/>
            </w:r>
            <w:r>
              <w:rPr>
                <w:rStyle w:val="Indeksnapoveznica"/>
                <w:vanish w:val="false"/>
              </w:rPr>
              <w:tab/>
              <w:t>195</w:t>
            </w:r>
            <w:r>
              <w:rPr>
                <w:webHidden/>
              </w:rPr>
              <w:fldChar w:fldCharType="end"/>
            </w:r>
          </w:hyperlink>
        </w:p>
        <w:p>
          <w:pPr>
            <w:pStyle w:val="Sadraj2"/>
            <w:tabs>
              <w:tab w:val="clear" w:pos="708"/>
              <w:tab w:val="left" w:pos="648"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222">
            <w:r>
              <w:rPr>
                <w:webHidden/>
                <w:rStyle w:val="Indeksnapoveznica"/>
                <w:vanish w:val="false"/>
                <w14:scene3d>
                  <w14:camera w14:prst="orthographicFront"/>
                  <w14:lightRig w14:rig="threePt" w14:dir="t">
                    <w14:rot w14:lat="0" w14:lon="0" w14:rev="0"/>
                  </w14:lightRig>
                </w14:scene3d>
              </w:rPr>
              <w:t>11.1</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Odluka o izradi revizije Procjene rizika od velikih nesreća za Grad Buje</w:t>
            </w:r>
            <w:r>
              <w:rPr>
                <w:webHidden/>
              </w:rPr>
              <w:fldChar w:fldCharType="begin"/>
            </w:r>
            <w:r>
              <w:rPr>
                <w:webHidden/>
              </w:rPr>
              <w:instrText>PAGEREF _Toc116990222 \h</w:instrText>
            </w:r>
            <w:r>
              <w:rPr>
                <w:webHidden/>
              </w:rPr>
              <w:fldChar w:fldCharType="separate"/>
            </w:r>
            <w:r>
              <w:rPr>
                <w:rStyle w:val="Indeksnapoveznica"/>
                <w:vanish w:val="false"/>
              </w:rPr>
              <w:tab/>
              <w:t>195</w:t>
            </w:r>
            <w:r>
              <w:rPr>
                <w:webHidden/>
              </w:rPr>
              <w:fldChar w:fldCharType="end"/>
            </w:r>
          </w:hyperlink>
        </w:p>
        <w:p>
          <w:pPr>
            <w:pStyle w:val="Sadraj2"/>
            <w:tabs>
              <w:tab w:val="clear" w:pos="708"/>
              <w:tab w:val="left" w:pos="648"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223">
            <w:r>
              <w:rPr>
                <w:webHidden/>
                <w:rStyle w:val="Indeksnapoveznica"/>
                <w:vanish w:val="false"/>
                <w14:scene3d>
                  <w14:camera w14:prst="orthographicFront"/>
                  <w14:lightRig w14:rig="threePt" w14:dir="t">
                    <w14:rot w14:lat="0" w14:lon="0" w14:rev="0"/>
                  </w14:lightRig>
                </w14:scene3d>
              </w:rPr>
              <w:t>11.2</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Karta prijetnji - pregledna karta rizika od poplava za malu vjerojatnosti pojavljivanja (Plan upravljanja vodnim područjima 2016.-2021., Hrvatske vode, 2017.)</w:t>
            </w:r>
            <w:r>
              <w:rPr>
                <w:webHidden/>
              </w:rPr>
              <w:fldChar w:fldCharType="begin"/>
            </w:r>
            <w:r>
              <w:rPr>
                <w:webHidden/>
              </w:rPr>
              <w:instrText>PAGEREF _Toc116990223 \h</w:instrText>
            </w:r>
            <w:r>
              <w:rPr>
                <w:webHidden/>
              </w:rPr>
              <w:fldChar w:fldCharType="separate"/>
            </w:r>
            <w:r>
              <w:rPr>
                <w:rStyle w:val="Indeksnapoveznica"/>
                <w:vanish w:val="false"/>
              </w:rPr>
              <w:tab/>
              <w:t>197</w:t>
            </w:r>
            <w:r>
              <w:rPr>
                <w:webHidden/>
              </w:rPr>
              <w:fldChar w:fldCharType="end"/>
            </w:r>
          </w:hyperlink>
        </w:p>
        <w:p>
          <w:pPr>
            <w:pStyle w:val="Sadraj2"/>
            <w:tabs>
              <w:tab w:val="clear" w:pos="708"/>
              <w:tab w:val="left" w:pos="648" w:leader="none"/>
              <w:tab w:val="right" w:pos="9060" w:leader="dot"/>
            </w:tabs>
            <w:rPr>
              <w:rFonts w:ascii="Calibri" w:hAnsi="Calibri" w:eastAsia="" w:cs="Arial" w:asciiTheme="minorHAnsi" w:cstheme="minorBidi" w:eastAsiaTheme="minorEastAsia" w:hAnsiTheme="minorHAnsi"/>
              <w:b w:val="false"/>
              <w:b w:val="false"/>
              <w:bCs w:val="false"/>
              <w:caps w:val="false"/>
              <w:smallCaps w:val="false"/>
              <w:color w:val="auto"/>
              <w:szCs w:val="22"/>
              <w:lang w:eastAsia="hr-HR"/>
            </w:rPr>
          </w:pPr>
          <w:hyperlink w:anchor="_Toc116990224">
            <w:r>
              <w:rPr>
                <w:webHidden/>
                <w:rStyle w:val="Indeksnapoveznica"/>
                <w:vanish w:val="false"/>
                <w14:scene3d>
                  <w14:camera w14:prst="orthographicFront"/>
                  <w14:lightRig w14:rig="threePt" w14:dir="t">
                    <w14:rot w14:lat="0" w14:lon="0" w14:rev="0"/>
                  </w14:lightRig>
                </w14:scene3d>
              </w:rPr>
              <w:t>11.3</w:t>
            </w:r>
            <w:r>
              <w:rPr>
                <w:rStyle w:val="Indeksnapoveznica"/>
                <w:rFonts w:eastAsia="" w:cs="Arial" w:ascii="Calibri" w:hAnsi="Calibri" w:asciiTheme="minorHAnsi" w:cstheme="minorBidi" w:eastAsiaTheme="minorEastAsia" w:hAnsiTheme="minorHAnsi"/>
                <w:b w:val="false"/>
                <w:bCs w:val="false"/>
                <w:caps w:val="false"/>
                <w:smallCaps w:val="false"/>
                <w:color w:val="auto"/>
                <w:szCs w:val="22"/>
                <w:lang w:eastAsia="hr-HR"/>
              </w:rPr>
              <w:tab/>
            </w:r>
            <w:r>
              <w:rPr>
                <w:rStyle w:val="Indeksnapoveznica"/>
              </w:rPr>
              <w:t>Ovlaštenje</w:t>
            </w:r>
            <w:r>
              <w:rPr>
                <w:webHidden/>
              </w:rPr>
              <w:fldChar w:fldCharType="begin"/>
            </w:r>
            <w:r>
              <w:rPr>
                <w:webHidden/>
              </w:rPr>
              <w:instrText>PAGEREF _Toc116990224 \h</w:instrText>
            </w:r>
            <w:r>
              <w:rPr>
                <w:webHidden/>
              </w:rPr>
              <w:fldChar w:fldCharType="separate"/>
            </w:r>
            <w:r>
              <w:rPr>
                <w:rStyle w:val="Indeksnapoveznica"/>
                <w:vanish w:val="false"/>
              </w:rPr>
              <w:tab/>
              <w:t>198</w:t>
            </w:r>
            <w:r>
              <w:rPr>
                <w:webHidden/>
              </w:rPr>
              <w:fldChar w:fldCharType="end"/>
            </w:r>
          </w:hyperlink>
          <w:r>
            <w:rPr>
              <w:rStyle w:val="Indeksnapoveznica"/>
              <w:vanish w:val="false"/>
            </w:rPr>
            <w:fldChar w:fldCharType="end"/>
          </w:r>
        </w:p>
      </w:sdtContent>
    </w:sdt>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1"/>
        <w:numPr>
          <w:ilvl w:val="0"/>
          <w:numId w:val="2"/>
        </w:numPr>
        <w:rPr/>
      </w:pPr>
      <w:bookmarkStart w:id="1" w:name="_Toc485633160"/>
      <w:bookmarkStart w:id="2" w:name="_Toc99955645"/>
      <w:bookmarkStart w:id="3" w:name="_Toc116990093"/>
      <w:r>
        <w:rPr/>
        <w:t>Uvod</w:t>
      </w:r>
      <w:bookmarkEnd w:id="1"/>
      <w:bookmarkEnd w:id="2"/>
      <w:bookmarkEnd w:id="3"/>
    </w:p>
    <w:p>
      <w:pPr>
        <w:pStyle w:val="Stilnaslova2"/>
        <w:numPr>
          <w:ilvl w:val="1"/>
          <w:numId w:val="2"/>
        </w:numPr>
        <w:tabs>
          <w:tab w:val="clear" w:pos="708"/>
          <w:tab w:val="left" w:pos="567" w:leader="none"/>
        </w:tabs>
        <w:rPr>
          <w:rFonts w:eastAsia="" w:eastAsiaTheme="majorEastAsia"/>
        </w:rPr>
      </w:pPr>
      <w:bookmarkStart w:id="4" w:name="_Toc485633161"/>
      <w:bookmarkStart w:id="5" w:name="_Toc99955646"/>
      <w:bookmarkStart w:id="6" w:name="_Toc116990094"/>
      <w:r>
        <w:rPr/>
        <w:t>Temelj za izradu procjene rizika</w:t>
      </w:r>
      <w:bookmarkEnd w:id="4"/>
      <w:bookmarkEnd w:id="5"/>
      <w:bookmarkEnd w:id="6"/>
    </w:p>
    <w:p>
      <w:pPr>
        <w:pStyle w:val="Normal"/>
        <w:rPr>
          <w:rFonts w:eastAsia="Calibri"/>
          <w:szCs w:val="22"/>
        </w:rPr>
      </w:pPr>
      <w:r>
        <w:rPr>
          <w:rFonts w:eastAsia="Calibri"/>
          <w:szCs w:val="22"/>
        </w:rPr>
        <w:t xml:space="preserve">Temeljem članka 17. stavka 1. </w:t>
      </w:r>
      <w:r>
        <w:rPr>
          <w:rFonts w:eastAsia="Calibri"/>
          <w:i/>
          <w:szCs w:val="22"/>
        </w:rPr>
        <w:t>Zakona o sustavu civilne zaštite (NN 82/15, 118/18, 31/20 i 20/21)</w:t>
      </w:r>
      <w:r>
        <w:rPr>
          <w:rFonts w:eastAsia="Calibri"/>
          <w:szCs w:val="22"/>
        </w:rPr>
        <w:t xml:space="preserve"> predstavničko tijelo, na prijedlog izvršnog tijela jedinice lokalne i područne (regionalne) samouprave donosi procjenu rizika od velikih nesreća.</w:t>
      </w:r>
    </w:p>
    <w:p>
      <w:pPr>
        <w:pStyle w:val="Normal"/>
        <w:rPr>
          <w:color w:val="auto"/>
        </w:rPr>
      </w:pPr>
      <w:r>
        <w:rPr>
          <w:color w:val="auto"/>
        </w:rPr>
        <w:t>Procjena rizika od velikih nesreća (u daljnjem tekstu Procjena rizika) izrađuje se u svrhu smanjenja rizika i posljedica velikih nesreća, odnosno prepoznavanja i učinkovitijeg upravljanja rizicima.</w:t>
      </w:r>
    </w:p>
    <w:p>
      <w:pPr>
        <w:pStyle w:val="Normal"/>
        <w:spacing w:before="80" w:after="120"/>
        <w:rPr>
          <w:rFonts w:eastAsia="Calibri"/>
          <w:color w:val="auto"/>
          <w:szCs w:val="22"/>
        </w:rPr>
      </w:pPr>
      <w:r>
        <w:rPr>
          <w:rFonts w:eastAsia="Calibri"/>
          <w:szCs w:val="22"/>
        </w:rPr>
        <w:t>Potreba izrade Procjene rizika od velikih nesreća za Grad Buja (u daljnjem tekstu Procjena rizika)</w:t>
      </w:r>
      <w:r>
        <w:rPr>
          <w:rStyle w:val="Internetskapoveznica"/>
          <w:szCs w:val="22"/>
          <w:u w:val="none"/>
        </w:rPr>
        <w:t xml:space="preserve"> </w:t>
      </w:r>
      <w:r>
        <w:rPr>
          <w:rFonts w:eastAsia="Calibri"/>
          <w:szCs w:val="22"/>
        </w:rPr>
        <w:t>temelji se na sljedećim društvenim, ekonomskim te praktičnim razlozima:</w:t>
      </w:r>
    </w:p>
    <w:p>
      <w:pPr>
        <w:pStyle w:val="Normal"/>
        <w:numPr>
          <w:ilvl w:val="0"/>
          <w:numId w:val="10"/>
        </w:numPr>
        <w:spacing w:before="0" w:after="0"/>
        <w:rPr>
          <w:rFonts w:eastAsia="Calibri"/>
          <w:szCs w:val="22"/>
        </w:rPr>
      </w:pPr>
      <w:r>
        <w:rPr>
          <w:rFonts w:eastAsia="Calibri"/>
          <w:szCs w:val="22"/>
        </w:rPr>
        <w:t>standardiziranje procjenjivanja rizika na svim razinama i od strane svih sektora,</w:t>
      </w:r>
    </w:p>
    <w:p>
      <w:pPr>
        <w:pStyle w:val="Normal"/>
        <w:numPr>
          <w:ilvl w:val="0"/>
          <w:numId w:val="10"/>
        </w:numPr>
        <w:spacing w:before="0" w:after="0"/>
        <w:rPr>
          <w:rFonts w:eastAsia="Calibri"/>
          <w:szCs w:val="22"/>
        </w:rPr>
      </w:pPr>
      <w:r>
        <w:rPr>
          <w:rFonts w:eastAsia="Calibri"/>
          <w:szCs w:val="22"/>
        </w:rPr>
        <w:t>prikupljanje svih bitnih podataka u jednom referentnom dokumentu,</w:t>
      </w:r>
    </w:p>
    <w:p>
      <w:pPr>
        <w:pStyle w:val="Normal"/>
        <w:numPr>
          <w:ilvl w:val="0"/>
          <w:numId w:val="10"/>
        </w:numPr>
        <w:spacing w:before="0" w:after="0"/>
        <w:rPr>
          <w:rFonts w:eastAsia="Calibri"/>
          <w:szCs w:val="22"/>
        </w:rPr>
      </w:pPr>
      <w:r>
        <w:rPr>
          <w:rFonts w:eastAsia="Calibri"/>
          <w:szCs w:val="22"/>
        </w:rPr>
        <w:t>unaprjeđenje shvaćanja rizika za potrebe praktičnog korištenja u postupcima planiranja, osiguranja, investiranja te ostalim srodnim aktivnostima,</w:t>
      </w:r>
    </w:p>
    <w:p>
      <w:pPr>
        <w:pStyle w:val="Normal"/>
        <w:numPr>
          <w:ilvl w:val="0"/>
          <w:numId w:val="10"/>
        </w:numPr>
        <w:spacing w:before="0" w:after="120"/>
        <w:rPr>
          <w:rStyle w:val="Internetskapoveznica"/>
          <w:rFonts w:eastAsia="Calibri"/>
          <w:szCs w:val="22"/>
        </w:rPr>
      </w:pPr>
      <w:r>
        <w:rPr>
          <w:rFonts w:eastAsia="Calibri"/>
          <w:szCs w:val="22"/>
        </w:rPr>
        <w:t>pojednostavnjenje procesa u svrhu lakšeg nadzora i razumijevanja izlaznih rezultata.</w:t>
      </w:r>
    </w:p>
    <w:p>
      <w:pPr>
        <w:pStyle w:val="Normal"/>
        <w:rPr>
          <w:color w:val="auto"/>
        </w:rPr>
      </w:pPr>
      <w:r>
        <w:rPr>
          <w:color w:val="auto"/>
        </w:rPr>
        <w:t>Procesi i metodologije analiziranja i procjenjivanja rizika kontinuirano se razvijaju i modificiraju sukladno promjenama u okolišu. Stoga izrađena Procjena rizika Grada Buja predstavlja stanje na području Grada Buja s danom donošenja dokumenta.</w:t>
      </w:r>
    </w:p>
    <w:p>
      <w:pPr>
        <w:pStyle w:val="Normal"/>
        <w:rPr>
          <w:rStyle w:val="Internetskapoveznica"/>
          <w:rFonts w:eastAsia="Calibri" w:eastAsiaTheme="minorHAnsi"/>
          <w:color w:val="auto"/>
          <w:szCs w:val="22"/>
          <w:u w:val="none"/>
        </w:rPr>
      </w:pPr>
      <w:r>
        <w:rPr>
          <w:rStyle w:val="Internetskapoveznica"/>
          <w:color w:val="auto"/>
          <w:szCs w:val="22"/>
          <w:u w:val="none"/>
        </w:rPr>
        <w:t xml:space="preserve">Gradonačelnik Grada Buja donio je Odluku o izradi revizije Procjene rizika od velikih nesreća za Grad Buje (KLASA: 240-01/22-01/04 URBROJ: 2163-2-01/1-22-2). Odlukom je osnovana radna skupina koja je izabrala rizike koji su karakteristični za Grad Buje i obrađuju se u Procjeni, a vodeći se Smjernicama za izradu procjene ugroženosti Istarske županije. </w:t>
      </w:r>
    </w:p>
    <w:p>
      <w:pPr>
        <w:pStyle w:val="Normal"/>
        <w:rPr>
          <w:rFonts w:eastAsia="Calibri"/>
          <w:szCs w:val="22"/>
          <w:u w:val="single"/>
        </w:rPr>
      </w:pPr>
      <w:r>
        <w:rPr>
          <w:rStyle w:val="Internetskapoveznica"/>
          <w:color w:val="auto"/>
          <w:szCs w:val="22"/>
          <w:u w:val="none"/>
        </w:rPr>
        <w:t xml:space="preserve">Prilikom odabira članova radne skupine vodilo se računa o zadovoljavanju kriterija stručnosti članova u svrhu kvalitetne obrade identificiranih rizika. </w:t>
      </w:r>
      <w:r>
        <w:rPr>
          <w:rFonts w:eastAsia="Calibri"/>
          <w:szCs w:val="22"/>
          <w:u w:val="single"/>
        </w:rPr>
        <w:t>U radnu skupinu imenovani su:</w:t>
      </w:r>
    </w:p>
    <w:p>
      <w:pPr>
        <w:pStyle w:val="ListParagraph"/>
        <w:numPr>
          <w:ilvl w:val="0"/>
          <w:numId w:val="54"/>
        </w:numPr>
        <w:spacing w:lineRule="auto" w:line="360"/>
        <w:rPr>
          <w:rStyle w:val="Internetskapoveznica"/>
          <w:color w:val="auto"/>
          <w:u w:val="none"/>
        </w:rPr>
      </w:pPr>
      <w:r>
        <w:rPr>
          <w:rStyle w:val="Internetskapoveznica"/>
          <w:color w:val="auto"/>
          <w:u w:val="none"/>
        </w:rPr>
        <w:t>Elvis Glavičić, voditelj</w:t>
      </w:r>
    </w:p>
    <w:p>
      <w:pPr>
        <w:pStyle w:val="ListParagraph"/>
        <w:numPr>
          <w:ilvl w:val="0"/>
          <w:numId w:val="54"/>
        </w:numPr>
        <w:spacing w:lineRule="auto" w:line="360"/>
        <w:rPr>
          <w:rStyle w:val="Internetskapoveznica"/>
          <w:color w:val="auto"/>
          <w:u w:val="none"/>
        </w:rPr>
      </w:pPr>
      <w:r>
        <w:rPr>
          <w:rStyle w:val="Internetskapoveznica"/>
          <w:color w:val="auto"/>
          <w:u w:val="none"/>
        </w:rPr>
        <w:t>Denis Stipanov, član</w:t>
      </w:r>
    </w:p>
    <w:p>
      <w:pPr>
        <w:pStyle w:val="ListParagraph"/>
        <w:numPr>
          <w:ilvl w:val="0"/>
          <w:numId w:val="54"/>
        </w:numPr>
        <w:spacing w:lineRule="auto" w:line="360"/>
        <w:rPr>
          <w:rStyle w:val="Internetskapoveznica"/>
          <w:color w:val="auto"/>
          <w:u w:val="none"/>
        </w:rPr>
      </w:pPr>
      <w:r>
        <w:rPr>
          <w:rStyle w:val="Internetskapoveznica"/>
          <w:color w:val="auto"/>
          <w:u w:val="none"/>
        </w:rPr>
        <w:t>Davor Lakošeljac, član</w:t>
      </w:r>
    </w:p>
    <w:p>
      <w:pPr>
        <w:pStyle w:val="Normal"/>
        <w:rPr>
          <w:rFonts w:eastAsia="Calibri"/>
          <w:szCs w:val="22"/>
        </w:rPr>
      </w:pPr>
      <w:r>
        <w:rPr>
          <w:rFonts w:eastAsia="Calibri"/>
          <w:szCs w:val="22"/>
        </w:rPr>
        <w:t xml:space="preserve">Procjena rizika ne provodi se za antropogene prijetnje poput ratova i terorističkih djelovanja te ostalih zlonamjernih aktivnosti pojedinaca koje mogu ugroziti stanovništvo, materijalna i kulturna dobra te okoliš na području Grada Buja. </w:t>
      </w:r>
    </w:p>
    <w:p>
      <w:pPr>
        <w:pStyle w:val="Normal"/>
        <w:rPr>
          <w:rFonts w:eastAsia="Calibri"/>
          <w:szCs w:val="22"/>
        </w:rPr>
      </w:pPr>
      <w:r>
        <w:rPr>
          <w:rFonts w:eastAsia="Calibri"/>
          <w:szCs w:val="22"/>
        </w:rPr>
        <w:t>Kao temelj za izradu Procjene rizika od velikih nesreća za Grad Buje korištene su Smjernice za izradu procjene rizika od velikih nesreća na području Istarske županije. Svrha smjernica jest uređenje sveobuhvatnog, cjelovitog i objektivnog pristupa tijekom procesa procjenjivanja rizika kako bi se ublažile njihove posljedice po zdravlje i živote ljudi, materijalna i kulturna dobra i okoliš.</w:t>
      </w:r>
    </w:p>
    <w:p>
      <w:pPr>
        <w:pStyle w:val="Normal"/>
        <w:rPr>
          <w:rFonts w:eastAsia="Calibri"/>
          <w:szCs w:val="22"/>
        </w:rPr>
      </w:pPr>
      <w:r>
        <w:rPr>
          <w:rFonts w:eastAsia="Calibri"/>
          <w:szCs w:val="22"/>
        </w:rPr>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pPr>
        <w:pStyle w:val="Normal"/>
        <w:spacing w:before="80" w:after="120"/>
        <w:rPr>
          <w:rFonts w:eastAsia="Calibri"/>
          <w:szCs w:val="22"/>
        </w:rPr>
      </w:pPr>
      <w:r>
        <w:rPr>
          <w:rFonts w:eastAsia="Calibri"/>
          <w:szCs w:val="22"/>
        </w:rPr>
      </w:r>
    </w:p>
    <w:p>
      <w:pPr>
        <w:pStyle w:val="Normal"/>
        <w:spacing w:before="80" w:after="120"/>
        <w:rPr>
          <w:rFonts w:eastAsia="Calibri"/>
          <w:szCs w:val="22"/>
          <w:u w:val="single"/>
        </w:rPr>
      </w:pPr>
      <w:r>
        <w:rPr>
          <w:rFonts w:eastAsia="Calibri"/>
          <w:szCs w:val="22"/>
          <w:u w:val="single"/>
        </w:rPr>
        <w:t>Procjena rizika obuhvaća:</w:t>
      </w:r>
    </w:p>
    <w:p>
      <w:pPr>
        <w:pStyle w:val="Normal"/>
        <w:numPr>
          <w:ilvl w:val="0"/>
          <w:numId w:val="3"/>
        </w:numPr>
        <w:spacing w:before="0" w:after="200"/>
        <w:ind w:left="709" w:hanging="283"/>
        <w:contextualSpacing/>
        <w:rPr>
          <w:rFonts w:eastAsia="Calibri"/>
          <w:szCs w:val="22"/>
        </w:rPr>
      </w:pPr>
      <w:r>
        <w:rPr>
          <w:rFonts w:eastAsia="Calibri"/>
          <w:szCs w:val="22"/>
        </w:rPr>
        <w:t>identifikaciju rizika - proces pronalaženja, prepoznavanja i opisivanja rizika,</w:t>
      </w:r>
    </w:p>
    <w:p>
      <w:pPr>
        <w:pStyle w:val="Normal"/>
        <w:numPr>
          <w:ilvl w:val="0"/>
          <w:numId w:val="3"/>
        </w:numPr>
        <w:spacing w:before="0" w:after="200"/>
        <w:ind w:left="709" w:hanging="283"/>
        <w:contextualSpacing/>
        <w:rPr>
          <w:rFonts w:eastAsia="Calibri"/>
          <w:szCs w:val="22"/>
        </w:rPr>
      </w:pPr>
      <w:r>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pPr>
        <w:pStyle w:val="Normal"/>
        <w:numPr>
          <w:ilvl w:val="0"/>
          <w:numId w:val="3"/>
        </w:numPr>
        <w:spacing w:before="0" w:after="200"/>
        <w:ind w:left="709" w:hanging="283"/>
        <w:contextualSpacing/>
        <w:rPr>
          <w:rFonts w:eastAsia="Calibri"/>
          <w:szCs w:val="22"/>
        </w:rPr>
      </w:pPr>
      <w:r>
        <w:rPr>
          <w:rFonts w:eastAsia="Calibri"/>
          <w:szCs w:val="22"/>
        </w:rPr>
        <w:t xml:space="preserve">vrednovanja (evaluacije) rizika - </w:t>
      </w:r>
      <w:r>
        <w:rPr>
          <w:rFonts w:eastAsia="Calibri"/>
          <w:szCs w:val="22"/>
          <w:lang w:eastAsia="hr-HR"/>
        </w:rPr>
        <w:t>postupak usporedbe rezultata analize rizika s kriterijima prihvatljivosti rizika.</w:t>
      </w:r>
      <w:r>
        <w:rPr/>
        <w:t xml:space="preserve"> </w:t>
      </w:r>
    </w:p>
    <w:p>
      <w:pPr>
        <w:pStyle w:val="Normal"/>
        <w:spacing w:before="0" w:after="200"/>
        <w:ind w:left="426" w:hanging="0"/>
        <w:contextualSpacing/>
        <w:rPr>
          <w:rFonts w:eastAsia="Calibri"/>
          <w:szCs w:val="22"/>
        </w:rPr>
      </w:pPr>
      <w:r>
        <w:rPr>
          <w:rFonts w:eastAsia="Calibri"/>
          <w:szCs w:val="22"/>
        </w:rPr>
      </w:r>
    </w:p>
    <w:p>
      <w:pPr>
        <w:pStyle w:val="Normal"/>
        <w:spacing w:before="120" w:after="120"/>
        <w:jc w:val="center"/>
        <w:rPr>
          <w:b/>
          <w:b/>
          <w:bCs/>
          <w:i/>
          <w:i/>
          <w:color w:val="54883D"/>
          <w:sz w:val="20"/>
          <w:szCs w:val="18"/>
        </w:rPr>
      </w:pPr>
      <w:sdt>
        <w:sdtPr>
          <w:id w:val="948385323"/>
        </w:sdtPr>
        <w:sdtContent>
          <w:r>
            <w:rPr>
              <w:b/>
              <w:bCs/>
              <w:i/>
              <w:color w:val="54883D"/>
              <w:sz w:val="20"/>
              <w:szCs w:val="18"/>
            </w:rPr>
            <w:t xml:space="preserve">Slika </w:t>
          </w:r>
          <w:r>
            <w:rPr>
              <w:b/>
              <w:bCs/>
              <w:i/>
              <w:color w:val="54883D"/>
              <w:sz w:val="20"/>
              <w:szCs w:val="18"/>
            </w:rPr>
            <w:fldChar w:fldCharType="begin"/>
          </w:r>
          <w:r>
            <w:rPr>
              <w:sz w:val="20"/>
              <w:i/>
              <w:b/>
              <w:szCs w:val="18"/>
              <w:bCs/>
              <w:color w:val="54883D"/>
            </w:rPr>
            <w:instrText> SEQ Slika \* ARABIC </w:instrText>
          </w:r>
          <w:r>
            <w:rPr>
              <w:sz w:val="20"/>
              <w:i/>
              <w:b/>
              <w:szCs w:val="18"/>
              <w:bCs/>
              <w:color w:val="54883D"/>
            </w:rPr>
            <w:fldChar w:fldCharType="separate"/>
          </w:r>
          <w:r>
            <w:rPr>
              <w:sz w:val="20"/>
              <w:i/>
              <w:b/>
              <w:szCs w:val="18"/>
              <w:bCs/>
              <w:color w:val="54883D"/>
            </w:rPr>
            <w:t>1</w:t>
          </w:r>
          <w:r>
            <w:rPr>
              <w:sz w:val="20"/>
              <w:i/>
              <w:b/>
              <w:szCs w:val="18"/>
              <w:bCs/>
              <w:color w:val="54883D"/>
            </w:rPr>
            <w:fldChar w:fldCharType="end"/>
          </w:r>
          <w:r>
            <w:rPr>
              <w:b/>
              <w:bCs/>
              <w:i/>
              <w:color w:val="54883D"/>
              <w:sz w:val="20"/>
              <w:szCs w:val="18"/>
            </w:rPr>
            <w:t>. Prikaz procesa upravljanja rizikom</w:t>
          </w:r>
        </w:sdtContent>
      </w:sdt>
    </w:p>
    <w:p>
      <w:pPr>
        <w:pStyle w:val="Normal"/>
        <w:spacing w:before="120" w:after="120"/>
        <w:jc w:val="center"/>
        <w:rPr>
          <w:b/>
          <w:b/>
          <w:bCs/>
          <w:i/>
          <w:i/>
          <w:color w:val="54883D"/>
          <w:sz w:val="20"/>
          <w:szCs w:val="18"/>
        </w:rPr>
      </w:pPr>
      <w:r>
        <w:rPr/>
        <w:drawing>
          <wp:inline distT="0" distB="0" distL="0" distR="0">
            <wp:extent cx="4589145" cy="3959225"/>
            <wp:effectExtent l="0" t="0" r="0" b="0"/>
            <wp:docPr id="20" name="Picture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6" descr=""/>
                    <pic:cNvPicPr>
                      <a:picLocks noChangeAspect="1" noChangeArrowheads="1"/>
                    </pic:cNvPicPr>
                  </pic:nvPicPr>
                  <pic:blipFill>
                    <a:blip r:embed="rId15"/>
                    <a:stretch>
                      <a:fillRect/>
                    </a:stretch>
                  </pic:blipFill>
                  <pic:spPr bwMode="auto">
                    <a:xfrm>
                      <a:off x="0" y="0"/>
                      <a:ext cx="4589145" cy="3959225"/>
                    </a:xfrm>
                    <a:prstGeom prst="rect">
                      <a:avLst/>
                    </a:prstGeom>
                  </pic:spPr>
                </pic:pic>
              </a:graphicData>
            </a:graphic>
          </wp:inline>
        </w:drawing>
      </w:r>
      <w:r>
        <w:rPr>
          <w:b/>
          <w:bCs/>
          <w:i/>
          <w:color w:val="54883D"/>
          <w:sz w:val="20"/>
          <w:szCs w:val="18"/>
        </w:rPr>
        <w:t xml:space="preserve"> </w:t>
      </w:r>
    </w:p>
    <w:p>
      <w:pPr>
        <w:pStyle w:val="Normal"/>
        <w:spacing w:before="120" w:after="120"/>
        <w:contextualSpacing/>
        <w:jc w:val="center"/>
        <w:rPr>
          <w:bCs/>
          <w:i/>
          <w:i/>
          <w:color w:val="54883D"/>
          <w:sz w:val="20"/>
          <w:szCs w:val="18"/>
        </w:rPr>
      </w:pPr>
      <w:r>
        <w:rPr>
          <w:bCs/>
          <w:i/>
          <w:color w:val="54883D"/>
          <w:sz w:val="20"/>
          <w:szCs w:val="18"/>
        </w:rPr>
        <w:t>Izvor: HRN ISO 31000, Upravljanje rizikom – Načela i upute</w:t>
      </w:r>
    </w:p>
    <w:p>
      <w:pPr>
        <w:pStyle w:val="Normal"/>
        <w:spacing w:before="120" w:after="120"/>
        <w:rPr/>
      </w:pPr>
      <w:r>
        <w:rPr/>
      </w:r>
    </w:p>
    <w:p>
      <w:pPr>
        <w:pStyle w:val="Normal"/>
        <w:rPr>
          <w:color w:val="auto"/>
        </w:rPr>
      </w:pPr>
      <w:r>
        <w:rPr>
          <w:color w:val="auto"/>
        </w:rPr>
        <w:t>Uz korištenje navedenih dokumenata radna skupina za izradu Procjene rizika odabrala je među relevantnim rizicima na području Republike Hrvatske i Istarske županije, rizike koji su karakteristični za lokalno područje Grada Buja.</w:t>
      </w:r>
    </w:p>
    <w:p>
      <w:pPr>
        <w:pStyle w:val="Normal"/>
        <w:rPr>
          <w:color w:val="auto"/>
        </w:rPr>
      </w:pPr>
      <w:r>
        <w:rPr>
          <w:color w:val="auto"/>
        </w:rPr>
        <w:t>Tijekom izrade Procjene rizika ugovorom je angažirana tvrtka DLS d.o.o. ovlaštenik za prvu grupu stručnih poslova u području planiranja civilne zaštite i to u svojstvu konzultanta.</w:t>
      </w:r>
    </w:p>
    <w:p>
      <w:pPr>
        <w:pStyle w:val="Normal"/>
        <w:rPr>
          <w:color w:val="auto"/>
        </w:rPr>
      </w:pPr>
      <w:r>
        <w:rPr>
          <w:color w:val="auto"/>
        </w:rPr>
      </w:r>
    </w:p>
    <w:p>
      <w:pPr>
        <w:pStyle w:val="Stilnaslova1"/>
        <w:numPr>
          <w:ilvl w:val="0"/>
          <w:numId w:val="2"/>
        </w:numPr>
        <w:rPr/>
      </w:pPr>
      <w:bookmarkStart w:id="7" w:name="_Toc99955647"/>
      <w:bookmarkStart w:id="8" w:name="_Toc116990095"/>
      <w:r>
        <w:rPr/>
        <w:t>Osnovne karakteristike područja Grada Buja</w:t>
      </w:r>
      <w:bookmarkEnd w:id="7"/>
      <w:bookmarkEnd w:id="8"/>
    </w:p>
    <w:p>
      <w:pPr>
        <w:pStyle w:val="Stilnaslova2"/>
        <w:numPr>
          <w:ilvl w:val="1"/>
          <w:numId w:val="2"/>
        </w:numPr>
        <w:rPr/>
      </w:pPr>
      <w:bookmarkStart w:id="9" w:name="_Toc99955648"/>
      <w:bookmarkStart w:id="10" w:name="_Toc116990096"/>
      <w:r>
        <w:rPr/>
        <w:t>Geografski pokazatelji</w:t>
      </w:r>
      <w:bookmarkEnd w:id="9"/>
      <w:bookmarkEnd w:id="10"/>
    </w:p>
    <w:p>
      <w:pPr>
        <w:pStyle w:val="Normal"/>
        <w:rPr/>
      </w:pPr>
      <w:r>
        <w:rPr/>
      </w:r>
    </w:p>
    <w:p>
      <w:pPr>
        <w:pStyle w:val="Stilnaslova3"/>
        <w:numPr>
          <w:ilvl w:val="2"/>
          <w:numId w:val="2"/>
        </w:numPr>
        <w:ind w:left="709" w:hanging="721"/>
        <w:rPr/>
      </w:pPr>
      <w:bookmarkStart w:id="11" w:name="_Toc99955649"/>
      <w:bookmarkStart w:id="12" w:name="_Toc116990097"/>
      <w:r>
        <w:rPr/>
        <w:t>Geografski položaj</w:t>
      </w:r>
      <w:bookmarkEnd w:id="11"/>
      <w:bookmarkEnd w:id="12"/>
    </w:p>
    <w:p>
      <w:pPr>
        <w:pStyle w:val="Normal"/>
        <w:ind w:left="-284" w:hanging="0"/>
        <w:rPr>
          <w:lang w:bidi="en-US"/>
        </w:rPr>
      </w:pPr>
      <w:r>
        <w:rPr>
          <w:lang w:bidi="en-US"/>
        </w:rPr>
        <w:t xml:space="preserve">Grad Buje-Buie smješten je na krajnjem sjeverozapadu RH i Istarske županije, ujedno uz državnu granicu sa Republikom Slovenijom. Graniči s tri JLS: zapadno Gradom Umag-Umago, južno s Općinom Brtonigla-Verteneglio i jugoistočno s Općinom Grožnjan-Grisignana. Manji dio sjeverozapadne granice u dnu Piranskog zaljeva ili Savudrijske vale je pomorski. </w:t>
      </w:r>
    </w:p>
    <w:p>
      <w:pPr>
        <w:pStyle w:val="Normal"/>
        <w:ind w:left="-284" w:hanging="0"/>
        <w:rPr>
          <w:lang w:bidi="en-US"/>
        </w:rPr>
      </w:pPr>
      <w:r>
        <w:rPr>
          <w:lang w:bidi="en-US"/>
        </w:rPr>
        <w:t>Područje grada zauzima površinu od 103,28 km</w:t>
      </w:r>
      <w:r>
        <w:rPr>
          <w:vertAlign w:val="superscript"/>
          <w:lang w:bidi="en-US"/>
        </w:rPr>
        <w:t>2</w:t>
      </w:r>
      <w:r>
        <w:rPr>
          <w:lang w:bidi="en-US"/>
        </w:rPr>
        <w:t xml:space="preserve"> , od čega 99,21 km</w:t>
      </w:r>
      <w:r>
        <w:rPr>
          <w:vertAlign w:val="superscript"/>
          <w:lang w:bidi="en-US"/>
        </w:rPr>
        <w:t>2</w:t>
      </w:r>
      <w:r>
        <w:rPr>
          <w:lang w:bidi="en-US"/>
        </w:rPr>
        <w:t xml:space="preserve">  čini kopno, odnosno 3,67% površine Istarske županije.</w:t>
      </w:r>
    </w:p>
    <w:p>
      <w:pPr>
        <w:pStyle w:val="Normal"/>
        <w:jc w:val="center"/>
        <w:rPr>
          <w:b/>
          <w:b/>
          <w:bCs/>
          <w:i/>
          <w:i/>
          <w:color w:val="54883D"/>
          <w:sz w:val="18"/>
          <w:szCs w:val="18"/>
        </w:rPr>
      </w:pPr>
      <w:r>
        <w:rPr>
          <w:b/>
          <w:bCs/>
          <w:i/>
          <w:color w:val="54883D"/>
          <w:sz w:val="18"/>
          <w:szCs w:val="18"/>
        </w:rPr>
        <w:t xml:space="preserve">Slika </w:t>
      </w:r>
      <w:r>
        <w:rPr>
          <w:b/>
          <w:bCs/>
          <w:i/>
          <w:color w:val="54883D"/>
          <w:sz w:val="18"/>
          <w:szCs w:val="18"/>
        </w:rPr>
        <w:fldChar w:fldCharType="begin"/>
      </w:r>
      <w:r>
        <w:rPr>
          <w:sz w:val="18"/>
          <w:i/>
          <w:b/>
          <w:szCs w:val="18"/>
          <w:bCs/>
          <w:color w:val="54883D"/>
        </w:rPr>
        <w:instrText> SEQ Slika \* ARABIC </w:instrText>
      </w:r>
      <w:r>
        <w:rPr>
          <w:sz w:val="18"/>
          <w:i/>
          <w:b/>
          <w:szCs w:val="18"/>
          <w:bCs/>
          <w:color w:val="54883D"/>
        </w:rPr>
        <w:fldChar w:fldCharType="separate"/>
      </w:r>
      <w:r>
        <w:rPr>
          <w:sz w:val="18"/>
          <w:i/>
          <w:b/>
          <w:szCs w:val="18"/>
          <w:bCs/>
          <w:color w:val="54883D"/>
        </w:rPr>
        <w:t>2</w:t>
      </w:r>
      <w:r>
        <w:rPr>
          <w:sz w:val="18"/>
          <w:i/>
          <w:b/>
          <w:szCs w:val="18"/>
          <w:bCs/>
          <w:color w:val="54883D"/>
        </w:rPr>
        <w:fldChar w:fldCharType="end"/>
      </w:r>
      <w:r>
        <w:rPr>
          <w:b/>
          <w:bCs/>
          <w:i/>
          <w:color w:val="54883D"/>
          <w:sz w:val="18"/>
          <w:szCs w:val="18"/>
        </w:rPr>
        <w:t>. Položaj Grada Buje u Istarskoj županiji</w:t>
      </w:r>
    </w:p>
    <w:p>
      <w:pPr>
        <w:pStyle w:val="Normal"/>
        <w:jc w:val="center"/>
        <w:rPr>
          <w:bCs/>
          <w:color w:val="54883D"/>
          <w:sz w:val="20"/>
          <w:szCs w:val="18"/>
        </w:rPr>
      </w:pPr>
      <w:r>
        <w:rPr/>
        <w:drawing>
          <wp:inline distT="0" distB="0" distL="0" distR="0">
            <wp:extent cx="3752850" cy="5429250"/>
            <wp:effectExtent l="0" t="0" r="0" b="0"/>
            <wp:docPr id="24" name="Picture 8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897" descr=""/>
                    <pic:cNvPicPr>
                      <a:picLocks noChangeAspect="1" noChangeArrowheads="1"/>
                    </pic:cNvPicPr>
                  </pic:nvPicPr>
                  <pic:blipFill>
                    <a:blip r:embed="rId16"/>
                    <a:stretch>
                      <a:fillRect/>
                    </a:stretch>
                  </pic:blipFill>
                  <pic:spPr bwMode="auto">
                    <a:xfrm>
                      <a:off x="0" y="0"/>
                      <a:ext cx="3752850" cy="5429250"/>
                    </a:xfrm>
                    <a:prstGeom prst="rect">
                      <a:avLst/>
                    </a:prstGeom>
                  </pic:spPr>
                </pic:pic>
              </a:graphicData>
            </a:graphic>
          </wp:inline>
        </w:drawing>
        <mc:AlternateContent>
          <mc:Choice Requires="wps">
            <w:drawing>
              <wp:anchor behindDoc="0" distT="0" distB="0" distL="0" distR="0" simplePos="0" locked="0" layoutInCell="1" allowOverlap="1" relativeHeight="47" wp14:anchorId="074E2090">
                <wp:simplePos x="0" y="0"/>
                <wp:positionH relativeFrom="margin">
                  <wp:align>center</wp:align>
                </wp:positionH>
                <wp:positionV relativeFrom="paragraph">
                  <wp:posOffset>1094105</wp:posOffset>
                </wp:positionV>
                <wp:extent cx="354330" cy="820420"/>
                <wp:effectExtent l="14605" t="137795" r="0" b="175895"/>
                <wp:wrapNone/>
                <wp:docPr id="21" name="Strelica: prema dolje 449"/>
                <a:graphic xmlns:a="http://schemas.openxmlformats.org/drawingml/2006/main">
                  <a:graphicData uri="http://schemas.microsoft.com/office/word/2010/wordprocessingShape">
                    <wps:wsp>
                      <wps:cNvSpPr/>
                      <wps:spPr>
                        <a:xfrm rot="7082400">
                          <a:off x="0" y="0"/>
                          <a:ext cx="353520" cy="819720"/>
                        </a:xfrm>
                        <a:prstGeom prst="downArrow">
                          <a:avLst>
                            <a:gd name="adj1" fmla="val 50000"/>
                            <a:gd name="adj2" fmla="val 50000"/>
                          </a:avLst>
                        </a:prstGeom>
                        <a:ln w="19080">
                          <a:round/>
                        </a:ln>
                        <a:effectLst>
                          <a:outerShdw blurRad="40000" dir="5400000" dist="20160" rotWithShape="0">
                            <a:srgbClr val="000000">
                              <a:alpha val="38000"/>
                            </a:srgbClr>
                          </a:outerShdw>
                        </a:effectLst>
                      </wps:spPr>
                      <wps:style>
                        <a:lnRef idx="3">
                          <a:schemeClr val="lt1"/>
                        </a:lnRef>
                        <a:fillRef idx="1">
                          <a:schemeClr val="accent2"/>
                        </a:fillRef>
                        <a:effectRef idx="1">
                          <a:schemeClr val="accent2"/>
                        </a:effectRef>
                        <a:fontRef idx="minor"/>
                      </wps:style>
                      <wps:bodyPr/>
                    </wps:wsp>
                  </a:graphicData>
                </a:graphic>
              </wp:anchor>
            </w:drawing>
          </mc:Choice>
          <mc:Fallback>
            <w:pict>
              <v:shapetype id="shapetype_67" coordsize="21600,21600" o:spt="67" adj="10800,10800" path="m0@3l@5@3l@5,l@6,l@6@3l21600@3l10800,21600xe">
                <v:stroke joinstyle="miter"/>
                <v:formulas>
                  <v:f eqn="val 21600"/>
                  <v:f eqn="val #1"/>
                  <v:f eqn="val #0"/>
                  <v:f eqn="sum height 0 @2"/>
                  <v:f eqn="prod 1 @1 2"/>
                  <v:f eqn="sum 10800 0 @4"/>
                  <v:f eqn="sum 10800 @4 0"/>
                  <v:f eqn="prod @5 @2 10800"/>
                  <v:f eqn="sum @3 @7 0"/>
                </v:formulas>
                <v:path gradientshapeok="t" o:connecttype="rect" textboxrect="@5,0,@6,@8"/>
                <v:handles>
                  <v:h position="@5,0"/>
                  <v:h position="0,@3"/>
                </v:handles>
              </v:shapetype>
              <v:shape id="shape_0" ID="Strelica: prema dolje 449" fillcolor="#c0504d" stroked="t" style="position:absolute;margin-left:212.8pt;margin-top:86.2pt;width:27.8pt;height:64.5pt;rotation:118;mso-position-horizontal:center;mso-position-horizontal-relative:margin" wp14:anchorId="074E2090" type="shapetype_67">
                <w10:wrap type="none"/>
                <v:fill o:detectmouseclick="t" type="solid" color2="#3fafb2"/>
                <v:stroke color="white" weight="19080" joinstyle="round" endcap="flat"/>
                <v:shadow on="t" obscured="f" color="black"/>
              </v:shape>
            </w:pict>
          </mc:Fallback>
        </mc:AlternateContent>
        <mc:AlternateContent>
          <mc:Choice Requires="wps">
            <w:drawing>
              <wp:anchor behindDoc="0" distT="0" distB="0" distL="0" distR="0" simplePos="0" locked="0" layoutInCell="1" allowOverlap="1" relativeHeight="52" wp14:anchorId="3D83CFAC">
                <wp:simplePos x="0" y="0"/>
                <wp:positionH relativeFrom="column">
                  <wp:posOffset>2222500</wp:posOffset>
                </wp:positionH>
                <wp:positionV relativeFrom="paragraph">
                  <wp:posOffset>959485</wp:posOffset>
                </wp:positionV>
                <wp:extent cx="889000" cy="276225"/>
                <wp:effectExtent l="0" t="0" r="26670" b="10795"/>
                <wp:wrapNone/>
                <wp:docPr id="22" name="Text Box 898"/>
                <a:graphic xmlns:a="http://schemas.openxmlformats.org/drawingml/2006/main">
                  <a:graphicData uri="http://schemas.microsoft.com/office/word/2010/wordprocessingShape">
                    <wps:wsp>
                      <wps:cNvSpPr/>
                      <wps:spPr>
                        <a:xfrm>
                          <a:off x="0" y="0"/>
                          <a:ext cx="888480" cy="275760"/>
                        </a:xfrm>
                        <a:prstGeom prst="rect">
                          <a:avLst/>
                        </a:prstGeom>
                        <a:no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before="80" w:after="160"/>
                              <w:rPr>
                                <w:sz w:val="16"/>
                                <w:szCs w:val="16"/>
                              </w:rPr>
                            </w:pPr>
                            <w:r>
                              <w:rPr>
                                <w:color w:val="000000"/>
                                <w:sz w:val="16"/>
                                <w:szCs w:val="16"/>
                              </w:rPr>
                              <w:t>Grad Buje</w:t>
                            </w:r>
                          </w:p>
                        </w:txbxContent>
                      </wps:txbx>
                      <wps:bodyPr>
                        <a:noAutofit/>
                      </wps:bodyPr>
                    </wps:wsp>
                  </a:graphicData>
                </a:graphic>
              </wp:anchor>
            </w:drawing>
          </mc:Choice>
          <mc:Fallback>
            <w:pict>
              <v:rect id="shape_0" ID="Text Box 898" stroked="t" style="position:absolute;margin-left:175pt;margin-top:75.55pt;width:69.9pt;height:21.65pt" wp14:anchorId="3D83CFAC">
                <w10:wrap type="square"/>
                <v:fill o:detectmouseclick="t" on="false"/>
                <v:stroke color="black" weight="6480" joinstyle="round" endcap="flat"/>
                <v:textbox>
                  <w:txbxContent>
                    <w:p>
                      <w:pPr>
                        <w:pStyle w:val="Sadrajokvira"/>
                        <w:spacing w:before="80" w:after="160"/>
                        <w:rPr>
                          <w:sz w:val="16"/>
                          <w:szCs w:val="16"/>
                        </w:rPr>
                      </w:pPr>
                      <w:r>
                        <w:rPr>
                          <w:color w:val="000000"/>
                          <w:sz w:val="16"/>
                          <w:szCs w:val="16"/>
                        </w:rPr>
                        <w:t>Grad Buje</w:t>
                      </w:r>
                    </w:p>
                  </w:txbxContent>
                </v:textbox>
              </v:rect>
            </w:pict>
          </mc:Fallback>
        </mc:AlternateContent>
      </w:r>
    </w:p>
    <w:p>
      <w:pPr>
        <w:pStyle w:val="Normal"/>
        <w:jc w:val="center"/>
        <w:rPr>
          <w:bCs/>
          <w:color w:val="54883D"/>
          <w:sz w:val="20"/>
          <w:szCs w:val="18"/>
        </w:rPr>
      </w:pPr>
      <w:r>
        <w:rPr>
          <w:b/>
          <w:i/>
          <w:color w:val="54883D"/>
          <w:sz w:val="18"/>
        </w:rPr>
        <w:t>Izvor: geoportal.dgu</w:t>
      </w:r>
    </w:p>
    <w:p>
      <w:pPr>
        <w:pStyle w:val="Normal"/>
        <w:spacing w:before="120" w:after="120"/>
        <w:rPr>
          <w:color w:val="000000"/>
          <w:szCs w:val="22"/>
          <w:highlight w:val="white"/>
        </w:rPr>
      </w:pPr>
      <w:r>
        <w:rPr>
          <w:szCs w:val="22"/>
        </w:rPr>
        <w:t xml:space="preserve">Područje Grada službeno obuhvaća ukupno 21 naselje, a to su: </w:t>
      </w:r>
      <w:r>
        <w:rPr>
          <w:color w:val="000000"/>
          <w:szCs w:val="22"/>
          <w:shd w:fill="FFFFFF" w:val="clear"/>
        </w:rPr>
        <w:t xml:space="preserve">Baredine – Baredine, Bibali – Bibali, Brdo – Collato, Brič – Briz, Buje – Buie, </w:t>
      </w:r>
      <w:r>
        <w:rPr>
          <w:color w:val="000000"/>
          <w:szCs w:val="22"/>
          <w:lang w:eastAsia="hr-HR"/>
        </w:rPr>
        <w:t xml:space="preserve">Buroli – Buroli, </w:t>
      </w:r>
      <w:r>
        <w:rPr>
          <w:color w:val="000000"/>
          <w:szCs w:val="22"/>
          <w:shd w:fill="FFFFFF" w:val="clear"/>
        </w:rPr>
        <w:t xml:space="preserve">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bookmarkStart w:id="13" w:name="_Hlk506536431"/>
      <w:bookmarkEnd w:id="13"/>
    </w:p>
    <w:p>
      <w:pPr>
        <w:pStyle w:val="Normal"/>
        <w:rPr>
          <w:color w:val="54883D"/>
          <w:lang w:bidi="en-US"/>
        </w:rPr>
      </w:pPr>
      <w:r>
        <w:rPr>
          <w:color w:val="54883D"/>
          <w:lang w:bidi="en-US"/>
        </w:rPr>
      </w:r>
    </w:p>
    <w:p>
      <w:pPr>
        <w:pStyle w:val="Normal"/>
        <w:rPr>
          <w:b/>
          <w:b/>
          <w:i/>
          <w:i/>
          <w:color w:val="54883D"/>
          <w:sz w:val="18"/>
        </w:rPr>
      </w:pPr>
      <w:r>
        <w:rPr>
          <w:b/>
          <w:i/>
          <w:color w:val="54883D"/>
          <w:lang w:bidi="en-US"/>
        </w:rPr>
        <w:t>Vodotoci i dužina obale mora</w:t>
      </w:r>
    </w:p>
    <w:p>
      <w:pPr>
        <w:pStyle w:val="Normal"/>
        <w:spacing w:before="120" w:after="120"/>
        <w:rPr/>
      </w:pPr>
      <w:r>
        <w:rPr/>
        <w:t xml:space="preserve">Područjem Grada Buje - Buie prolaze: Umaški potok, Odvodni kanal Ferne – Kontarini, Argila, Dragonja, Čertina, Bazuje, Vrljak, Butari, Baredine, Mulski potok, obuhvatni kanal Valeron, sabirni kanal Valeron, obuhvatni kanal Petersan, Zoliget i niz manjih vodotoka. </w:t>
      </w:r>
    </w:p>
    <w:p>
      <w:pPr>
        <w:pStyle w:val="Normal"/>
        <w:spacing w:before="120" w:after="120"/>
        <w:rPr/>
      </w:pPr>
      <w:r>
        <w:rPr/>
        <w:t>Teritoriju Grada Buje – Buie pripada manji dio sjeverne istarske obale u Piranskom zaljevu. U nadležnosti grada nalazi se 2,5 km obale.</w:t>
      </w:r>
    </w:p>
    <w:p>
      <w:pPr>
        <w:pStyle w:val="Normal"/>
        <w:spacing w:before="120" w:after="120"/>
        <w:rPr>
          <w:b/>
          <w:b/>
          <w:i/>
          <w:i/>
          <w:color w:val="54883D"/>
          <w:lang w:bidi="en-US"/>
        </w:rPr>
      </w:pPr>
      <w:r>
        <w:rPr>
          <w:b/>
          <w:i/>
          <w:color w:val="54883D"/>
          <w:lang w:bidi="en-US"/>
        </w:rPr>
      </w:r>
    </w:p>
    <w:p>
      <w:pPr>
        <w:pStyle w:val="Normal"/>
        <w:spacing w:before="120" w:after="120"/>
        <w:rPr>
          <w:b/>
          <w:b/>
          <w:i/>
          <w:i/>
          <w:color w:val="54883D"/>
          <w:lang w:bidi="en-US"/>
        </w:rPr>
      </w:pPr>
      <w:r>
        <w:rPr>
          <w:b/>
          <w:i/>
          <w:color w:val="54883D"/>
          <w:lang w:bidi="en-US"/>
        </w:rPr>
        <w:t>Geografsko – klimatske karakteristike</w:t>
      </w:r>
    </w:p>
    <w:p>
      <w:pPr>
        <w:pStyle w:val="Normal"/>
        <w:spacing w:before="120" w:after="120"/>
        <w:rPr>
          <w:color w:val="54883D"/>
          <w:lang w:eastAsia="hr-HR"/>
        </w:rPr>
      </w:pPr>
      <w:bookmarkStart w:id="14" w:name="_Toc121760345"/>
      <w:bookmarkStart w:id="15" w:name="_Toc272520019"/>
      <w:r>
        <w:rPr>
          <w:color w:val="54883D"/>
          <w:lang w:eastAsia="hr-HR"/>
        </w:rPr>
        <w:t xml:space="preserve">Reljefna obilježja </w:t>
      </w:r>
      <w:bookmarkEnd w:id="14"/>
      <w:bookmarkEnd w:id="15"/>
      <w:r>
        <w:rPr>
          <w:color w:val="54883D"/>
          <w:lang w:eastAsia="hr-HR"/>
        </w:rPr>
        <w:t>Grada Buja</w:t>
      </w:r>
    </w:p>
    <w:p>
      <w:pPr>
        <w:pStyle w:val="Normal"/>
        <w:spacing w:before="120" w:after="120"/>
        <w:rPr/>
      </w:pPr>
      <w:r>
        <w:rPr/>
        <w:t>Sjeverno područje naziva se bujski krš ili sedlasta (antiklinalna) zaravan Buja sa čestim udolinama pokrivenim crvenom zemljom miješanom s ilovastim naslagama. Sjeverni dio područja Grada Buje – Buie je brežuljkast, a teren se blago spušta prema jugu, odnosno ravnici u dolini Mirne. Izlaz na Jadransko more Grad Buje – Buie  ima u Piranskom zaljevu (odnosno Savudrijskoj vali). Mjesto Buje nalazi se na 222 m.n.v.. Spoj dobre konfiguracije i visoke osunčanosti terena, ugodnih klimatskih uvjeta i sastava tla (crvenica i karbonatno tlo), preduvjet su za uspješan uzgoj raznih poljoprivrednih kultura, naročito mediteranskih. U krajoliku prevladavaju stepenaste terase s nasadima vinove loze i maslina.</w:t>
      </w:r>
    </w:p>
    <w:p>
      <w:pPr>
        <w:pStyle w:val="Normal"/>
        <w:spacing w:before="120" w:after="120"/>
        <w:rPr>
          <w:color w:val="54883D"/>
          <w:lang w:eastAsia="hr-HR"/>
        </w:rPr>
      </w:pPr>
      <w:r>
        <w:rPr>
          <w:color w:val="54883D"/>
          <w:lang w:eastAsia="hr-HR"/>
        </w:rPr>
      </w:r>
    </w:p>
    <w:p>
      <w:pPr>
        <w:pStyle w:val="Normal"/>
        <w:spacing w:before="120" w:after="120"/>
        <w:rPr>
          <w:i/>
          <w:i/>
          <w:color w:val="54883D"/>
          <w:lang w:eastAsia="hr-HR"/>
        </w:rPr>
      </w:pPr>
      <w:r>
        <w:rPr>
          <w:i/>
          <w:color w:val="54883D"/>
          <w:lang w:eastAsia="hr-HR"/>
        </w:rPr>
        <w:t>Klima</w:t>
      </w:r>
    </w:p>
    <w:p>
      <w:pPr>
        <w:pStyle w:val="Obicnitekst"/>
        <w:spacing w:lineRule="auto" w:line="276" w:before="120" w:after="120"/>
        <w:ind w:hanging="0"/>
        <w:rPr>
          <w:rFonts w:cs="Arial"/>
          <w:sz w:val="22"/>
        </w:rPr>
      </w:pPr>
      <w:r>
        <w:rPr>
          <w:rFonts w:cs="Arial"/>
          <w:sz w:val="22"/>
        </w:rPr>
        <w:t>Klima je blaga mediteranska, koju karakteriziraju topla i suha sunčana ljeta, blage i kišovite zime. Prosječna mjesečna temperatura u najhladnijem mjesecu siječnju je oko 4,7°C, a u najtoplijem srpnju je oko 22,7°C s vršnim vrijednostima i preko 30°C. Srednja godišnja temperatura zraka iznosi oko 13,5°C.</w:t>
      </w:r>
    </w:p>
    <w:p>
      <w:pPr>
        <w:pStyle w:val="Obicnitekst"/>
        <w:spacing w:lineRule="auto" w:line="276" w:before="120" w:after="120"/>
        <w:ind w:hanging="0"/>
        <w:rPr>
          <w:rFonts w:cs="Arial"/>
          <w:sz w:val="22"/>
        </w:rPr>
      </w:pPr>
      <w:r>
        <w:rPr>
          <w:rFonts w:cs="Arial"/>
          <w:sz w:val="22"/>
        </w:rPr>
        <w:t>Srednja godišnja količina oborina je oko 1000mm s minimumom u srpnju a maksimumom u kasnu jesen, srednja relativna vlažnost zraka iznosi 60-70%.</w:t>
      </w:r>
    </w:p>
    <w:p>
      <w:pPr>
        <w:pStyle w:val="Obicnitekst"/>
        <w:spacing w:lineRule="auto" w:line="276" w:before="120" w:after="120"/>
        <w:ind w:hanging="0"/>
        <w:rPr>
          <w:rFonts w:cs="Arial"/>
          <w:sz w:val="22"/>
        </w:rPr>
      </w:pPr>
      <w:r>
        <w:rPr>
          <w:rFonts w:cs="Arial"/>
          <w:sz w:val="22"/>
        </w:rPr>
        <w:t>U toku godine ima približno 40% vedrih dana, 30% oblačnih, 30% s oborinama. Kišno razdoblje ima maksimum u jesen (rujan - studeni). Puna osunčanost je preko 2000 sati godišnje, najsunčaniji dio godine je u kasno proljeće i u ljeto.</w:t>
      </w:r>
    </w:p>
    <w:p>
      <w:pPr>
        <w:pStyle w:val="Normal"/>
        <w:spacing w:before="0" w:after="120"/>
        <w:rPr>
          <w:i/>
          <w:i/>
          <w:iCs/>
          <w:color w:val="54883D"/>
          <w:highlight w:val="yellow"/>
        </w:rPr>
      </w:pPr>
      <w:r>
        <w:rPr>
          <w:i/>
          <w:iCs/>
          <w:color w:val="54883D"/>
          <w:highlight w:val="yellow"/>
        </w:rPr>
      </w:r>
    </w:p>
    <w:p>
      <w:pPr>
        <w:pStyle w:val="Stilnaslova3"/>
        <w:numPr>
          <w:ilvl w:val="2"/>
          <w:numId w:val="2"/>
        </w:numPr>
        <w:ind w:left="709" w:hanging="721"/>
        <w:rPr/>
      </w:pPr>
      <w:bookmarkStart w:id="16" w:name="_Toc99955650"/>
      <w:bookmarkStart w:id="17" w:name="_Toc116990098"/>
      <w:r>
        <w:rPr/>
        <w:t>Broj stanovnika</w:t>
      </w:r>
      <w:bookmarkEnd w:id="16"/>
      <w:bookmarkEnd w:id="17"/>
    </w:p>
    <w:p>
      <w:pPr>
        <w:pStyle w:val="Normal"/>
        <w:spacing w:before="120" w:after="120"/>
        <w:rPr/>
      </w:pPr>
      <w:r>
        <w:rPr/>
        <w:t xml:space="preserve">Prema popisu stanovništva 2021. godine, Grad ima 4.451 stanovnika ili 2,27% ukupnog broja stanovnika u Istarskoj županiji i 0,11% ukupnog broja stanovnika Republike Hrvatske. Stanovništvo je razmješteno u 21 naselje: Baredine – Baredine, Bibali – Bibali, Brdo – Collato, Brič – Briz, Buje – Buie, Buroli – Buroli, 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r>
        <w:rPr>
          <w:lang w:eastAsia="hr-HR"/>
        </w:rPr>
        <w:t>U sljedećoj tablici prikazan je broj stanovnika po naseljima.</w:t>
      </w:r>
    </w:p>
    <w:p>
      <w:pPr>
        <w:pStyle w:val="Caption"/>
        <w:rPr/>
      </w:pPr>
      <w:r>
        <w:rPr/>
        <w:t xml:space="preserve">Tablica </w:t>
      </w:r>
      <w:r>
        <w:rPr/>
        <w:fldChar w:fldCharType="begin"/>
      </w:r>
      <w:r>
        <w:rPr/>
        <w:instrText> SEQ Tabela \* ARABIC </w:instrText>
      </w:r>
      <w:r>
        <w:rPr/>
        <w:fldChar w:fldCharType="separate"/>
      </w:r>
      <w:r>
        <w:rPr/>
        <w:t>1</w:t>
      </w:r>
      <w:r>
        <w:rPr/>
        <w:fldChar w:fldCharType="end"/>
      </w:r>
      <w:r>
        <w:rPr/>
        <w:t>.  Broj stanovnika Grada Buja po naseljima</w:t>
      </w:r>
    </w:p>
    <w:tbl>
      <w:tblPr>
        <w:tblW w:w="5000" w:type="pct"/>
        <w:jc w:val="center"/>
        <w:tblInd w:w="0" w:type="dxa"/>
        <w:tblCellMar>
          <w:top w:w="0" w:type="dxa"/>
          <w:left w:w="108" w:type="dxa"/>
          <w:bottom w:w="0" w:type="dxa"/>
          <w:right w:w="108" w:type="dxa"/>
        </w:tblCellMar>
        <w:tblLook w:firstRow="1" w:noVBand="1" w:lastRow="0" w:firstColumn="1" w:lastColumn="0" w:noHBand="0" w:val="04a0"/>
      </w:tblPr>
      <w:tblGrid>
        <w:gridCol w:w="1383"/>
        <w:gridCol w:w="3936"/>
        <w:gridCol w:w="3751"/>
      </w:tblGrid>
      <w:tr>
        <w:trPr>
          <w:tblHeader w:val="true"/>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REDNI BROJ</w:t>
            </w:r>
          </w:p>
        </w:tc>
        <w:tc>
          <w:tcPr>
            <w:tcW w:w="393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NASELJE</w:t>
            </w:r>
          </w:p>
        </w:tc>
        <w:tc>
          <w:tcPr>
            <w:tcW w:w="3751"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BROJ STANOVNIKA</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w:t>
            </w:r>
          </w:p>
        </w:tc>
        <w:tc>
          <w:tcPr>
            <w:tcW w:w="3936" w:type="dxa"/>
            <w:tcBorders>
              <w:top w:val="single" w:sz="4" w:space="0" w:color="54883D"/>
              <w:left w:val="single" w:sz="4" w:space="0" w:color="54883D"/>
              <w:bottom w:val="single" w:sz="4" w:space="0" w:color="9BBB59"/>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Baredine - Baredine</w:t>
            </w:r>
            <w:r>
              <w:rPr>
                <w:color w:val="000000"/>
                <w:sz w:val="20"/>
                <w:szCs w:val="20"/>
                <w:lang w:eastAsia="hr-HR"/>
              </w:rPr>
              <w:t xml:space="preserve"> </w:t>
            </w:r>
          </w:p>
        </w:tc>
        <w:tc>
          <w:tcPr>
            <w:tcW w:w="3751" w:type="dxa"/>
            <w:tcBorders>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63</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2.</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Bibali - Bibali</w:t>
            </w:r>
          </w:p>
        </w:tc>
        <w:tc>
          <w:tcPr>
            <w:tcW w:w="3751" w:type="dxa"/>
            <w:tcBorders>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108</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3.</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Brdo - Collato</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13</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4.</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Brič - Briz</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8</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5.</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Buje - Buie</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2.129</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6.</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Buroli - Buroli</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76</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7.</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 xml:space="preserve"> </w:t>
            </w:r>
            <w:r>
              <w:rPr>
                <w:color w:val="000000"/>
                <w:sz w:val="20"/>
                <w:szCs w:val="20"/>
                <w:shd w:fill="FFFFFF" w:val="clear"/>
              </w:rPr>
              <w:t>Gamboci - Gambozzi</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102</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8.</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Kaldanija - Caldania</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298</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9.</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Kanegra - Canegra</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10.</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Kaštel - Castelvenere</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632</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11.</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Krasica - Crassiza</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159</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12.</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Kršete - Carsette</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97</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13.</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Kućibreg - Cucibreg</w:t>
            </w:r>
            <w:r>
              <w:rPr>
                <w:color w:val="000000"/>
                <w:sz w:val="20"/>
                <w:szCs w:val="20"/>
                <w:lang w:eastAsia="hr-HR"/>
              </w:rPr>
              <w:t xml:space="preserve"> </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13</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14.</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Lozari - Losari</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27</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15.</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Marušići - Marussici</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147</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16.</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Merišće - Merischie</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49</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17.</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Momjan - Momiano</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242</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18.</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Oskoruš - Oscurus</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46</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19.</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Plovanija - Plovania</w:t>
            </w:r>
            <w:r>
              <w:rPr>
                <w:color w:val="000000"/>
                <w:sz w:val="20"/>
                <w:szCs w:val="20"/>
                <w:lang w:eastAsia="hr-HR"/>
              </w:rPr>
              <w:t xml:space="preserve"> </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261</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20.</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shd w:fill="FFFFFF" w:val="clear"/>
              </w:rPr>
              <w:t>Sveta Marija na Krasu - Madonna del Carso</w:t>
            </w:r>
          </w:p>
        </w:tc>
        <w:tc>
          <w:tcPr>
            <w:tcW w:w="3751" w:type="dxa"/>
            <w:tcBorders>
              <w:top w:val="single" w:sz="4" w:space="0" w:color="9BBB59"/>
              <w:left w:val="single" w:sz="4" w:space="0" w:color="BFBFBF"/>
              <w:bottom w:val="single" w:sz="4" w:space="0" w:color="9BBB59"/>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w:t>
            </w:r>
          </w:p>
        </w:tc>
      </w:tr>
      <w:tr>
        <w:trPr>
          <w:trHeight w:val="340" w:hRule="atLeast"/>
          <w:cantSplit w:val="true"/>
        </w:trPr>
        <w:tc>
          <w:tcPr>
            <w:tcW w:w="13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t>21.</w:t>
            </w:r>
          </w:p>
        </w:tc>
        <w:tc>
          <w:tcPr>
            <w:tcW w:w="393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Triban - Tribano</w:t>
            </w:r>
          </w:p>
        </w:tc>
        <w:tc>
          <w:tcPr>
            <w:tcW w:w="3751" w:type="dxa"/>
            <w:tcBorders>
              <w:top w:val="single" w:sz="4" w:space="0" w:color="9BBB59"/>
              <w:left w:val="single" w:sz="4" w:space="0" w:color="BFBFBF"/>
              <w:bottom w:val="single" w:sz="4" w:space="0" w:color="BFBFBF"/>
              <w:right w:val="single" w:sz="4" w:space="0" w:color="9BBB59"/>
            </w:tcBorders>
            <w:shd w:color="auto" w:fill="auto" w:val="clear"/>
            <w:vAlign w:val="center"/>
          </w:tcPr>
          <w:p>
            <w:pPr>
              <w:pStyle w:val="BodyText2"/>
              <w:spacing w:lineRule="auto" w:line="276" w:before="80" w:after="120"/>
              <w:jc w:val="center"/>
              <w:rPr>
                <w:color w:val="000000"/>
                <w:sz w:val="20"/>
                <w:szCs w:val="20"/>
                <w:lang w:eastAsia="hr-HR"/>
              </w:rPr>
            </w:pPr>
            <w:r>
              <w:rPr>
                <w:color w:val="000000"/>
                <w:sz w:val="20"/>
                <w:szCs w:val="20"/>
              </w:rPr>
              <w:t>98</w:t>
            </w:r>
          </w:p>
        </w:tc>
      </w:tr>
      <w:tr>
        <w:trPr>
          <w:trHeight w:val="340" w:hRule="atLeast"/>
          <w:cantSplit w:val="true"/>
        </w:trPr>
        <w:tc>
          <w:tcPr>
            <w:tcW w:w="5319"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color w:val="000000"/>
                <w:sz w:val="20"/>
                <w:szCs w:val="20"/>
                <w:lang w:eastAsia="hr-HR"/>
              </w:rPr>
            </w:r>
          </w:p>
        </w:tc>
        <w:tc>
          <w:tcPr>
            <w:tcW w:w="3751" w:type="dxa"/>
            <w:tcBorders>
              <w:top w:val="single" w:sz="4" w:space="0" w:color="54883D"/>
              <w:left w:val="single" w:sz="4" w:space="0" w:color="54883D"/>
              <w:bottom w:val="single" w:sz="4" w:space="0" w:color="9BBB59"/>
              <w:right w:val="single" w:sz="4" w:space="0" w:color="9BBB59"/>
            </w:tcBorders>
            <w:shd w:color="auto" w:fill="EAF1DD" w:themeFill="accent3" w:themeFillTint="33" w:val="clear"/>
            <w:vAlign w:val="center"/>
          </w:tcPr>
          <w:p>
            <w:pPr>
              <w:pStyle w:val="BodyText2"/>
              <w:spacing w:lineRule="auto" w:line="276" w:before="80" w:after="120"/>
              <w:jc w:val="center"/>
              <w:rPr>
                <w:color w:val="000000"/>
                <w:sz w:val="20"/>
                <w:szCs w:val="20"/>
                <w:lang w:eastAsia="hr-HR"/>
              </w:rPr>
            </w:pPr>
            <w:r>
              <w:rPr>
                <w:b/>
                <w:color w:val="000000"/>
                <w:sz w:val="20"/>
                <w:szCs w:val="20"/>
                <w:lang w:eastAsia="hr-HR"/>
              </w:rPr>
              <w:t>UKUPNO: 4 451</w:t>
            </w:r>
          </w:p>
        </w:tc>
      </w:tr>
    </w:tbl>
    <w:p>
      <w:pPr>
        <w:pStyle w:val="Normal"/>
        <w:spacing w:before="120" w:after="120"/>
        <w:jc w:val="center"/>
        <w:rPr>
          <w:i/>
          <w:i/>
          <w:color w:val="54883D"/>
          <w:sz w:val="20"/>
          <w:szCs w:val="18"/>
        </w:rPr>
      </w:pPr>
      <w:r>
        <w:rPr>
          <w:i/>
          <w:color w:val="54883D"/>
          <w:sz w:val="20"/>
          <w:szCs w:val="18"/>
        </w:rPr>
        <w:t>Izvor podataka: DZZS, Popis stanovništva 2021.</w:t>
      </w:r>
    </w:p>
    <w:p>
      <w:pPr>
        <w:pStyle w:val="Stilnaslova3"/>
        <w:numPr>
          <w:ilvl w:val="2"/>
          <w:numId w:val="2"/>
        </w:numPr>
        <w:ind w:left="709" w:hanging="721"/>
        <w:rPr/>
      </w:pPr>
      <w:bookmarkStart w:id="18" w:name="_Toc99955651"/>
      <w:bookmarkStart w:id="19" w:name="_Toc116990099"/>
      <w:r>
        <w:rPr/>
        <w:t>Gustoća naseljenosti</w:t>
      </w:r>
      <w:bookmarkEnd w:id="18"/>
      <w:bookmarkEnd w:id="19"/>
    </w:p>
    <w:p>
      <w:pPr>
        <w:pStyle w:val="Normal"/>
        <w:spacing w:before="120" w:after="120"/>
        <w:rPr/>
      </w:pPr>
      <w:r>
        <w:rPr/>
        <w:t>Prosječna gustoća naseljenosti na području Grada Buja iznosi 43,10 stanovnika/km², što je znatno iznad županijskog prosjeka (69,60 st./km²) i prosjeka Republike Hrvatske (68,70 km²).</w:t>
      </w:r>
    </w:p>
    <w:p>
      <w:pPr>
        <w:pStyle w:val="Normal"/>
        <w:spacing w:before="120" w:after="120"/>
        <w:rPr/>
      </w:pPr>
      <w:r>
        <w:rPr/>
      </w:r>
    </w:p>
    <w:p>
      <w:pPr>
        <w:pStyle w:val="Stilnaslova3"/>
        <w:numPr>
          <w:ilvl w:val="2"/>
          <w:numId w:val="2"/>
        </w:numPr>
        <w:ind w:left="709" w:hanging="721"/>
        <w:rPr/>
      </w:pPr>
      <w:bookmarkStart w:id="20" w:name="_Toc99955652"/>
      <w:bookmarkStart w:id="21" w:name="_Toc116990100"/>
      <w:r>
        <w:rPr/>
        <w:t>Razmještaj stanovništva</w:t>
      </w:r>
      <w:bookmarkEnd w:id="20"/>
      <w:bookmarkEnd w:id="21"/>
    </w:p>
    <w:p>
      <w:pPr>
        <w:pStyle w:val="Normal"/>
        <w:spacing w:before="0" w:after="0"/>
        <w:rPr>
          <w:color w:val="auto"/>
          <w:highlight w:val="yellow"/>
          <w:lang w:eastAsia="hr-HR"/>
        </w:rPr>
      </w:pPr>
      <w:r>
        <w:rPr>
          <w:color w:val="auto"/>
          <w:lang w:eastAsia="hr-HR"/>
        </w:rPr>
        <w:t>Najveće naselje na području Grada Buje – Buie je naselje Buje, koje ujedno predstavlja i središte Grada. Najveći broj stanovnika s područja Grada živi u Bujama koje broje 2.671 stanovnika odnosno 51,54 % ukupnog stanovništva. Ostala naselja grada slabije su naseljena u odnosu na navedeno. Manje od 100 stanovnika ima u deset naselja, dok dva naselja na području Grada Buje – Buie nisu naseljena (Kanegra-turističko naselje i dio naselja Sv.Marija na Krasu, naseljeni dio nalazi se na teritoriju Grada Umag-Umago).</w:t>
      </w:r>
    </w:p>
    <w:p>
      <w:pPr>
        <w:pStyle w:val="Caption"/>
        <w:rPr/>
      </w:pPr>
      <w:r>
        <w:rPr/>
        <w:t xml:space="preserve">Slika </w:t>
      </w:r>
      <w:r>
        <w:rPr/>
        <w:fldChar w:fldCharType="begin"/>
      </w:r>
      <w:r>
        <w:rPr/>
        <w:instrText> SEQ Slika \* ARABIC </w:instrText>
      </w:r>
      <w:r>
        <w:rPr/>
        <w:fldChar w:fldCharType="separate"/>
      </w:r>
      <w:r>
        <w:rPr/>
        <w:t>3</w:t>
      </w:r>
      <w:r>
        <w:rPr/>
        <w:fldChar w:fldCharType="end"/>
      </w:r>
      <w:r>
        <w:rPr/>
        <w:t>. Razmještaj stanovništva prema naseljima Grada Buja</w:t>
      </w:r>
    </w:p>
    <w:p>
      <w:pPr>
        <w:pStyle w:val="Normal"/>
        <w:rPr>
          <w:rFonts w:ascii="Arial Narrow" w:hAnsi="Arial Narrow"/>
        </w:rPr>
      </w:pPr>
      <w:r>
        <w:rPr/>
        <w:drawing>
          <wp:inline distT="0" distB="0" distL="0" distR="0">
            <wp:extent cx="5760720" cy="4083050"/>
            <wp:effectExtent l="0" t="0" r="0" b="0"/>
            <wp:docPr id="25" nam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spacing w:before="120" w:after="120"/>
        <w:jc w:val="center"/>
        <w:rPr>
          <w:i/>
          <w:i/>
          <w:color w:val="54883D"/>
          <w:sz w:val="20"/>
          <w:szCs w:val="18"/>
        </w:rPr>
      </w:pPr>
      <w:r>
        <w:rPr>
          <w:i/>
          <w:color w:val="54883D"/>
          <w:sz w:val="20"/>
          <w:szCs w:val="18"/>
        </w:rPr>
      </w:r>
    </w:p>
    <w:p>
      <w:pPr>
        <w:pStyle w:val="Stilnaslova3"/>
        <w:numPr>
          <w:ilvl w:val="2"/>
          <w:numId w:val="2"/>
        </w:numPr>
        <w:ind w:left="709" w:hanging="721"/>
        <w:rPr/>
      </w:pPr>
      <w:bookmarkStart w:id="22" w:name="_Toc99955653"/>
      <w:bookmarkStart w:id="23" w:name="_Toc116990101"/>
      <w:r>
        <w:rPr/>
        <w:t>Prometna povezanost</w:t>
      </w:r>
      <w:bookmarkEnd w:id="22"/>
      <w:bookmarkEnd w:id="23"/>
    </w:p>
    <w:p>
      <w:pPr>
        <w:pStyle w:val="Normal"/>
        <w:spacing w:before="0" w:after="0"/>
        <w:rPr/>
      </w:pPr>
      <w:r>
        <w:rPr/>
        <w:t>Prometni sustav čine međusobno povezane sve prometne grane u jedinstvenoj funkciji</w:t>
      </w:r>
    </w:p>
    <w:p>
      <w:pPr>
        <w:pStyle w:val="Normal"/>
        <w:spacing w:before="0" w:after="0"/>
        <w:jc w:val="left"/>
        <w:rPr/>
      </w:pPr>
      <w:r>
        <w:rPr/>
        <w:t>pružanja transportnih usluga, a čine ga prometni podsustavi kopnenog, pomorskog i zračnog</w:t>
      </w:r>
    </w:p>
    <w:p>
      <w:pPr>
        <w:pStyle w:val="Normal"/>
        <w:spacing w:before="0" w:after="0"/>
        <w:rPr/>
      </w:pPr>
      <w:r>
        <w:rPr/>
        <w:t>prometa.</w:t>
        <w:br/>
      </w:r>
    </w:p>
    <w:p>
      <w:pPr>
        <w:pStyle w:val="Normal"/>
        <w:rPr>
          <w:i/>
          <w:i/>
          <w:color w:val="54883D"/>
        </w:rPr>
      </w:pPr>
      <w:r>
        <w:rPr>
          <w:i/>
          <w:color w:val="54883D"/>
        </w:rPr>
        <w:t>Cestovni promet</w:t>
      </w:r>
    </w:p>
    <w:p>
      <w:pPr>
        <w:pStyle w:val="Normal"/>
        <w:spacing w:before="120" w:after="0"/>
        <w:rPr>
          <w:u w:val="single"/>
        </w:rPr>
      </w:pPr>
      <w:r>
        <w:rPr>
          <w:u w:val="single"/>
        </w:rPr>
        <w:t>Cestovnu mrežu na području Grada Buje – Buie čine:</w:t>
      </w:r>
    </w:p>
    <w:p>
      <w:pPr>
        <w:pStyle w:val="Normal"/>
        <w:rPr/>
      </w:pPr>
      <w:r>
        <w:rPr>
          <w:b/>
        </w:rPr>
        <w:t>a) autoceste:</w:t>
      </w:r>
      <w:r>
        <w:rPr/>
        <w:t xml:space="preserve"> Autocesta A9 – Istarski ipsilon</w:t>
      </w:r>
    </w:p>
    <w:p>
      <w:pPr>
        <w:pStyle w:val="Normal"/>
        <w:numPr>
          <w:ilvl w:val="0"/>
          <w:numId w:val="0"/>
        </w:numPr>
        <w:spacing w:before="80" w:after="0"/>
        <w:ind w:left="0" w:hanging="0"/>
        <w:rPr/>
      </w:pPr>
      <w:r>
        <w:rPr/>
        <w:t>Čvorište Umag (D510)-čvorište Kanfanar-čvorište Pula (D66)</w:t>
      </w:r>
    </w:p>
    <w:p>
      <w:pPr>
        <w:pStyle w:val="Normal"/>
        <w:numPr>
          <w:ilvl w:val="0"/>
          <w:numId w:val="0"/>
        </w:numPr>
        <w:spacing w:before="80" w:after="0"/>
        <w:ind w:left="0" w:hanging="0"/>
        <w:rPr/>
      </w:pPr>
      <w:r>
        <w:rPr/>
        <w:t>Trasa Istarskog ipsilona prolazi u blizini naselja Gamboci i Kukov vrh. Prednost ove trase je da rasterećuje tranzitni promet preko lokalnog područja.</w:t>
      </w:r>
    </w:p>
    <w:p>
      <w:pPr>
        <w:pStyle w:val="Normal"/>
        <w:numPr>
          <w:ilvl w:val="0"/>
          <w:numId w:val="0"/>
        </w:numPr>
        <w:spacing w:before="0" w:after="0"/>
        <w:ind w:left="0" w:hanging="0"/>
        <w:rPr/>
      </w:pPr>
      <w:r>
        <w:rPr/>
      </w:r>
    </w:p>
    <w:p>
      <w:pPr>
        <w:pStyle w:val="Normal"/>
        <w:spacing w:before="0" w:after="0"/>
        <w:jc w:val="left"/>
        <w:rPr>
          <w:b/>
          <w:b/>
        </w:rPr>
      </w:pPr>
      <w:r>
        <w:rPr>
          <w:b/>
        </w:rPr>
        <w:t xml:space="preserve">b) državne ceste: </w:t>
      </w:r>
    </w:p>
    <w:p>
      <w:pPr>
        <w:pStyle w:val="Normal"/>
        <w:spacing w:before="0" w:after="0"/>
        <w:jc w:val="left"/>
        <w:rPr/>
      </w:pPr>
      <w:r>
        <w:rPr/>
        <w:t>-     D200 - D75 – Savudrija – Umag</w:t>
      </w:r>
    </w:p>
    <w:p>
      <w:pPr>
        <w:pStyle w:val="Normal"/>
        <w:numPr>
          <w:ilvl w:val="0"/>
          <w:numId w:val="31"/>
        </w:numPr>
        <w:spacing w:before="0" w:after="0"/>
        <w:jc w:val="left"/>
        <w:rPr/>
      </w:pPr>
      <w:r>
        <w:rPr/>
        <w:t>D200 - G.P. Plovanija (gr. R. Slovenije) – Buje – čvorište Buje (A9)</w:t>
      </w:r>
    </w:p>
    <w:p>
      <w:pPr>
        <w:pStyle w:val="Normal"/>
        <w:numPr>
          <w:ilvl w:val="0"/>
          <w:numId w:val="31"/>
        </w:numPr>
        <w:spacing w:before="0" w:after="0"/>
        <w:jc w:val="left"/>
        <w:rPr/>
      </w:pPr>
      <w:r>
        <w:rPr/>
        <w:t>D300 - Umag (D75) – čvorište Buje (A9)</w:t>
      </w:r>
    </w:p>
    <w:p>
      <w:pPr>
        <w:pStyle w:val="Normal"/>
        <w:numPr>
          <w:ilvl w:val="0"/>
          <w:numId w:val="31"/>
        </w:numPr>
        <w:spacing w:before="0" w:after="0"/>
        <w:jc w:val="left"/>
        <w:rPr/>
      </w:pPr>
      <w:r>
        <w:rPr/>
        <w:t>D510 - Čvorište Umag (A9) – G.P. Kaštel (gr. R. Slovenije)</w:t>
      </w:r>
    </w:p>
    <w:p>
      <w:pPr>
        <w:pStyle w:val="Normal"/>
        <w:spacing w:before="0" w:after="0"/>
        <w:rPr/>
      </w:pPr>
      <w:r>
        <w:rPr/>
        <w:t xml:space="preserve"> </w:t>
      </w:r>
    </w:p>
    <w:p>
      <w:pPr>
        <w:pStyle w:val="Normal"/>
        <w:spacing w:before="0" w:after="0"/>
        <w:rPr>
          <w:b/>
          <w:b/>
        </w:rPr>
      </w:pPr>
      <w:r>
        <w:rPr>
          <w:b/>
        </w:rPr>
        <w:t>c) županijske  ceste:</w:t>
      </w:r>
    </w:p>
    <w:p>
      <w:pPr>
        <w:pStyle w:val="Normal"/>
        <w:numPr>
          <w:ilvl w:val="0"/>
          <w:numId w:val="31"/>
        </w:numPr>
        <w:spacing w:before="0" w:after="0"/>
        <w:jc w:val="left"/>
        <w:rPr>
          <w:szCs w:val="22"/>
        </w:rPr>
      </w:pPr>
      <w:r>
        <w:rPr>
          <w:szCs w:val="22"/>
        </w:rPr>
        <w:t xml:space="preserve">Ž5001- T.N. Kanegra – Valica </w:t>
      </w:r>
    </w:p>
    <w:p>
      <w:pPr>
        <w:pStyle w:val="Normal"/>
        <w:numPr>
          <w:ilvl w:val="0"/>
          <w:numId w:val="31"/>
        </w:numPr>
        <w:spacing w:before="0" w:after="0"/>
        <w:jc w:val="left"/>
        <w:rPr>
          <w:szCs w:val="22"/>
        </w:rPr>
      </w:pPr>
      <w:r>
        <w:rPr>
          <w:szCs w:val="22"/>
        </w:rPr>
        <w:t>Ž5214 - Valica - D75</w:t>
      </w:r>
    </w:p>
    <w:p>
      <w:pPr>
        <w:pStyle w:val="Normal"/>
        <w:numPr>
          <w:ilvl w:val="0"/>
          <w:numId w:val="31"/>
        </w:numPr>
        <w:spacing w:before="0" w:after="0"/>
        <w:jc w:val="left"/>
        <w:rPr>
          <w:szCs w:val="22"/>
        </w:rPr>
      </w:pPr>
      <w:r>
        <w:rPr>
          <w:szCs w:val="22"/>
        </w:rPr>
        <w:t>Ž5007- Buje (Ž5209) – Šterna – Oprtalj</w:t>
      </w:r>
    </w:p>
    <w:p>
      <w:pPr>
        <w:pStyle w:val="Normal"/>
        <w:numPr>
          <w:ilvl w:val="0"/>
          <w:numId w:val="31"/>
        </w:numPr>
        <w:spacing w:before="0" w:after="0"/>
        <w:jc w:val="left"/>
        <w:rPr>
          <w:szCs w:val="22"/>
        </w:rPr>
      </w:pPr>
      <w:r>
        <w:rPr>
          <w:szCs w:val="22"/>
        </w:rPr>
        <w:t>Ž5008 - Buje (D200) – Grožnjan – Ponte Porton (Ž5209)</w:t>
      </w:r>
    </w:p>
    <w:p>
      <w:pPr>
        <w:pStyle w:val="Normal"/>
        <w:numPr>
          <w:ilvl w:val="0"/>
          <w:numId w:val="31"/>
        </w:numPr>
        <w:spacing w:before="0" w:after="0"/>
        <w:jc w:val="left"/>
        <w:rPr>
          <w:szCs w:val="22"/>
        </w:rPr>
      </w:pPr>
      <w:r>
        <w:rPr>
          <w:szCs w:val="22"/>
        </w:rPr>
        <w:t>Ž5070 - Grando (D200) – Brtonigla – Bužinija (D301)</w:t>
      </w:r>
    </w:p>
    <w:p>
      <w:pPr>
        <w:pStyle w:val="Normal"/>
        <w:numPr>
          <w:ilvl w:val="0"/>
          <w:numId w:val="31"/>
        </w:numPr>
        <w:spacing w:before="0" w:after="0"/>
        <w:jc w:val="left"/>
        <w:rPr>
          <w:szCs w:val="22"/>
        </w:rPr>
      </w:pPr>
      <w:r>
        <w:rPr>
          <w:szCs w:val="22"/>
        </w:rPr>
        <w:t xml:space="preserve">Ž5209 - Kaštel (D510) – </w:t>
      </w:r>
      <w:r>
        <w:rPr/>
        <w:t>Buje – Vižinada</w:t>
      </w:r>
    </w:p>
    <w:p>
      <w:pPr>
        <w:pStyle w:val="Normal"/>
        <w:spacing w:before="0" w:after="0"/>
        <w:rPr/>
      </w:pPr>
      <w:r>
        <w:rPr/>
      </w:r>
    </w:p>
    <w:p>
      <w:pPr>
        <w:pStyle w:val="Normal"/>
        <w:spacing w:before="80" w:after="0"/>
        <w:jc w:val="left"/>
        <w:rPr>
          <w:b/>
          <w:b/>
        </w:rPr>
      </w:pPr>
      <w:r>
        <w:rPr>
          <w:b/>
        </w:rPr>
        <w:t>d) lokalne ceste i nerazvrstane ceste:</w:t>
      </w:r>
    </w:p>
    <w:p>
      <w:pPr>
        <w:pStyle w:val="Normal"/>
        <w:spacing w:before="0" w:after="0"/>
        <w:rPr/>
      </w:pPr>
      <w:r>
        <w:rPr/>
        <w:t>-     L50006 - D75 – Vilanija – Petrovija (D300)</w:t>
      </w:r>
    </w:p>
    <w:p>
      <w:pPr>
        <w:pStyle w:val="Normal"/>
        <w:spacing w:before="0" w:after="0"/>
        <w:rPr/>
      </w:pPr>
      <w:r>
        <w:rPr/>
        <w:t>-     L50007 -Gamboci – D200</w:t>
      </w:r>
    </w:p>
    <w:p>
      <w:pPr>
        <w:pStyle w:val="Normal"/>
        <w:spacing w:before="0" w:after="0"/>
        <w:rPr/>
      </w:pPr>
      <w:r>
        <w:rPr/>
        <w:t>-     L50011 - D300 – Kršete – Brtonigla (Ž5070)</w:t>
      </w:r>
    </w:p>
    <w:p>
      <w:pPr>
        <w:pStyle w:val="Normal"/>
        <w:spacing w:before="0" w:after="0"/>
        <w:rPr/>
      </w:pPr>
      <w:r>
        <w:rPr/>
        <w:t>-     L50012 - Plovanija (D200) – Ž5209 – Kremenje (Ž5007)</w:t>
      </w:r>
    </w:p>
    <w:p>
      <w:pPr>
        <w:pStyle w:val="Normal"/>
        <w:spacing w:before="0" w:after="0"/>
        <w:rPr/>
      </w:pPr>
      <w:r>
        <w:rPr/>
        <w:t xml:space="preserve">-     L50013 - Kremenje (Ž5007) – Merišće – Oskoruš – Brič – Kučibreg </w:t>
      </w:r>
    </w:p>
    <w:p>
      <w:pPr>
        <w:pStyle w:val="Normal"/>
        <w:spacing w:before="0" w:after="0"/>
        <w:rPr/>
      </w:pPr>
      <w:r>
        <w:rPr/>
        <w:t>-     L50014 - Marušići (Ž5007) – Martinčići (Ž5009)</w:t>
      </w:r>
    </w:p>
    <w:p>
      <w:pPr>
        <w:pStyle w:val="Normal"/>
        <w:spacing w:before="0" w:after="0"/>
        <w:rPr/>
      </w:pPr>
      <w:r>
        <w:rPr/>
        <w:t>-     L50015 - Baredine – Krasica (Ž5209)</w:t>
      </w:r>
    </w:p>
    <w:p>
      <w:pPr>
        <w:pStyle w:val="Normal"/>
        <w:spacing w:before="0" w:after="0"/>
        <w:rPr/>
      </w:pPr>
      <w:r>
        <w:rPr/>
        <w:t>-     L50179 - Ž5007 – Momjan</w:t>
      </w:r>
    </w:p>
    <w:p>
      <w:pPr>
        <w:pStyle w:val="Normal"/>
        <w:spacing w:before="0" w:after="0"/>
        <w:rPr/>
      </w:pPr>
      <w:r>
        <w:rPr/>
      </w:r>
    </w:p>
    <w:p>
      <w:pPr>
        <w:pStyle w:val="Normal"/>
        <w:spacing w:before="0" w:after="0"/>
        <w:rPr/>
      </w:pPr>
      <w:r>
        <w:rPr/>
        <w:t xml:space="preserve">Na </w:t>
      </w:r>
      <w:r>
        <w:rPr>
          <w:color w:val="auto"/>
        </w:rPr>
        <w:t xml:space="preserve">području Grada Buje – Buie imamo </w:t>
      </w:r>
      <w:r>
        <w:rPr/>
        <w:t>82.759 m nerazvrstanih cesta.</w:t>
      </w:r>
    </w:p>
    <w:p>
      <w:pPr>
        <w:pStyle w:val="Normal"/>
        <w:rPr>
          <w:i/>
          <w:i/>
          <w:color w:val="54883D"/>
        </w:rPr>
      </w:pPr>
      <w:r>
        <w:rPr>
          <w:i w:val="false"/>
          <w:iCs w:val="false"/>
          <w:color w:val="000000"/>
        </w:rPr>
        <w:t>Na području Grada prolaze glavne prometnice s dva međunarodna granična prijelaza. Iste prometnice vode prema moru, lukama, regionalnim centrima, industrijskim zonama te na taj način posjeduju strateško značenje.</w:t>
      </w:r>
    </w:p>
    <w:p>
      <w:pPr>
        <w:pStyle w:val="Normal"/>
        <w:spacing w:before="0" w:after="240"/>
        <w:rPr/>
      </w:pPr>
      <w:r>
        <w:rPr/>
      </w:r>
    </w:p>
    <w:p>
      <w:pPr>
        <w:pStyle w:val="Normal"/>
        <w:rPr/>
      </w:pPr>
      <w:r>
        <w:rPr/>
      </w:r>
    </w:p>
    <w:p>
      <w:pPr>
        <w:pStyle w:val="Normal"/>
        <w:rPr>
          <w:i/>
          <w:i/>
          <w:color w:val="54883D"/>
        </w:rPr>
      </w:pPr>
      <w:r>
        <w:rPr>
          <w:i/>
          <w:color w:val="54883D"/>
        </w:rPr>
        <w:t>Željeznički promet</w:t>
      </w:r>
    </w:p>
    <w:p>
      <w:pPr>
        <w:pStyle w:val="Normal"/>
        <w:rPr>
          <w:rFonts w:ascii="Arial Narrow" w:hAnsi="Arial Narrow"/>
        </w:rPr>
      </w:pPr>
      <w:r>
        <w:rPr/>
        <w:t>Željeznički promet na području Grada ne postoji. Najbliže željezničke stanice nalaze se u Kopru i Buzetu</w:t>
      </w:r>
      <w:r>
        <w:rPr>
          <w:rFonts w:ascii="Arial Narrow" w:hAnsi="Arial Narrow"/>
        </w:rPr>
        <w:t>.</w:t>
      </w:r>
    </w:p>
    <w:p>
      <w:pPr>
        <w:pStyle w:val="Normal"/>
        <w:rPr>
          <w:i/>
          <w:i/>
          <w:color w:val="54883D"/>
        </w:rPr>
      </w:pPr>
      <w:r>
        <w:rPr>
          <w:i/>
          <w:color w:val="54883D"/>
        </w:rPr>
        <w:t>Pomorski promet</w:t>
      </w:r>
    </w:p>
    <w:p>
      <w:pPr>
        <w:pStyle w:val="Normal"/>
        <w:rPr/>
      </w:pPr>
      <w:r>
        <w:rPr/>
        <w:t xml:space="preserve">Pomorski promet postoji na razini plovidbe ribarsko-rekreativnih plovila građana. Pomorske veze su iz luke Umag i Novigrad. </w:t>
      </w:r>
    </w:p>
    <w:p>
      <w:pPr>
        <w:pStyle w:val="Normal"/>
        <w:rPr/>
      </w:pPr>
      <w:r>
        <w:rPr/>
      </w:r>
    </w:p>
    <w:p>
      <w:pPr>
        <w:pStyle w:val="Stilnaslova2"/>
        <w:numPr>
          <w:ilvl w:val="1"/>
          <w:numId w:val="2"/>
        </w:numPr>
        <w:rPr/>
      </w:pPr>
      <w:bookmarkStart w:id="24" w:name="_Toc99955654"/>
      <w:bookmarkStart w:id="25" w:name="_Toc116990102"/>
      <w:r>
        <w:rPr/>
        <w:t>Društveno-politički pokazatelji</w:t>
      </w:r>
      <w:bookmarkEnd w:id="24"/>
      <w:bookmarkEnd w:id="25"/>
    </w:p>
    <w:p>
      <w:pPr>
        <w:pStyle w:val="Normal"/>
        <w:rPr/>
      </w:pPr>
      <w:r>
        <w:rPr/>
      </w:r>
    </w:p>
    <w:p>
      <w:pPr>
        <w:pStyle w:val="Stilnaslova3"/>
        <w:numPr>
          <w:ilvl w:val="2"/>
          <w:numId w:val="2"/>
        </w:numPr>
        <w:ind w:left="709" w:hanging="721"/>
        <w:rPr/>
      </w:pPr>
      <w:bookmarkStart w:id="26" w:name="_Toc99955655"/>
      <w:bookmarkStart w:id="27" w:name="_Toc116990103"/>
      <w:r>
        <w:rPr/>
        <w:t>Sjedišta uprava tijela jedinice lokalne samouprave</w:t>
      </w:r>
      <w:bookmarkEnd w:id="26"/>
      <w:bookmarkEnd w:id="27"/>
    </w:p>
    <w:p>
      <w:pPr>
        <w:pStyle w:val="Normal"/>
        <w:rPr/>
      </w:pPr>
      <w:r>
        <w:rPr/>
        <w:t>Sjedište Grada Buja – Buie je na adresi Istarska ulica 2, 52460 Buje</w:t>
      </w:r>
    </w:p>
    <w:p>
      <w:pPr>
        <w:pStyle w:val="Normal"/>
        <w:rPr/>
      </w:pPr>
      <w:r>
        <w:rPr/>
        <w:t xml:space="preserve">Grad Buje u samoupravnom djelokrugu obavlja poslove lokalnog značaja kojima se neposredno ostvaruju prava građana, a koji nisu Ustavom ili zakonom dodijeljeni državnim tijelima i to osobito poslove koji se odnose na: </w:t>
      </w:r>
    </w:p>
    <w:p>
      <w:pPr>
        <w:pStyle w:val="ListParagraph"/>
        <w:numPr>
          <w:ilvl w:val="0"/>
          <w:numId w:val="11"/>
        </w:numPr>
        <w:rPr/>
      </w:pPr>
      <w:r>
        <w:rPr/>
        <w:t xml:space="preserve">uređenje naselja i stanovanje, </w:t>
      </w:r>
    </w:p>
    <w:p>
      <w:pPr>
        <w:pStyle w:val="ListParagraph"/>
        <w:numPr>
          <w:ilvl w:val="0"/>
          <w:numId w:val="11"/>
        </w:numPr>
        <w:rPr/>
      </w:pPr>
      <w:r>
        <w:rPr/>
        <w:t xml:space="preserve">prostorno i urbanističko planiranje, </w:t>
      </w:r>
    </w:p>
    <w:p>
      <w:pPr>
        <w:pStyle w:val="ListParagraph"/>
        <w:numPr>
          <w:ilvl w:val="0"/>
          <w:numId w:val="11"/>
        </w:numPr>
        <w:rPr/>
      </w:pPr>
      <w:r>
        <w:rPr/>
        <w:t xml:space="preserve">komunalno gospodarstvo, </w:t>
      </w:r>
    </w:p>
    <w:p>
      <w:pPr>
        <w:pStyle w:val="ListParagraph"/>
        <w:numPr>
          <w:ilvl w:val="0"/>
          <w:numId w:val="11"/>
        </w:numPr>
        <w:rPr/>
      </w:pPr>
      <w:r>
        <w:rPr/>
        <w:t xml:space="preserve">brigu o djeci, </w:t>
      </w:r>
    </w:p>
    <w:p>
      <w:pPr>
        <w:pStyle w:val="ListParagraph"/>
        <w:numPr>
          <w:ilvl w:val="0"/>
          <w:numId w:val="11"/>
        </w:numPr>
        <w:rPr/>
      </w:pPr>
      <w:r>
        <w:rPr/>
        <w:t xml:space="preserve">socijalnu skrb, </w:t>
      </w:r>
    </w:p>
    <w:p>
      <w:pPr>
        <w:pStyle w:val="ListParagraph"/>
        <w:numPr>
          <w:ilvl w:val="0"/>
          <w:numId w:val="11"/>
        </w:numPr>
        <w:rPr/>
      </w:pPr>
      <w:r>
        <w:rPr/>
        <w:t xml:space="preserve">primarnu zdravstvenu zaštitu, </w:t>
      </w:r>
    </w:p>
    <w:p>
      <w:pPr>
        <w:pStyle w:val="ListParagraph"/>
        <w:numPr>
          <w:ilvl w:val="0"/>
          <w:numId w:val="11"/>
        </w:numPr>
        <w:rPr/>
      </w:pPr>
      <w:r>
        <w:rPr/>
        <w:t xml:space="preserve">odgoj i osnovno obrazovanje, </w:t>
      </w:r>
    </w:p>
    <w:p>
      <w:pPr>
        <w:pStyle w:val="ListParagraph"/>
        <w:numPr>
          <w:ilvl w:val="0"/>
          <w:numId w:val="11"/>
        </w:numPr>
        <w:rPr/>
      </w:pPr>
      <w:r>
        <w:rPr/>
        <w:t xml:space="preserve">kulturu, tjelesnu kulturu i šport, </w:t>
      </w:r>
    </w:p>
    <w:p>
      <w:pPr>
        <w:pStyle w:val="ListParagraph"/>
        <w:numPr>
          <w:ilvl w:val="0"/>
          <w:numId w:val="11"/>
        </w:numPr>
        <w:rPr/>
      </w:pPr>
      <w:r>
        <w:rPr/>
        <w:t xml:space="preserve">zaštitu potrošača, </w:t>
      </w:r>
    </w:p>
    <w:p>
      <w:pPr>
        <w:pStyle w:val="ListParagraph"/>
        <w:numPr>
          <w:ilvl w:val="0"/>
          <w:numId w:val="11"/>
        </w:numPr>
        <w:rPr/>
      </w:pPr>
      <w:r>
        <w:rPr/>
        <w:t xml:space="preserve">zaštitu i unapređenje prirodnog okoliša, </w:t>
      </w:r>
    </w:p>
    <w:p>
      <w:pPr>
        <w:pStyle w:val="ListParagraph"/>
        <w:numPr>
          <w:ilvl w:val="0"/>
          <w:numId w:val="11"/>
        </w:numPr>
        <w:rPr/>
      </w:pPr>
      <w:r>
        <w:rPr/>
        <w:t xml:space="preserve">protupožarnu i civilnu zaštitu, </w:t>
      </w:r>
    </w:p>
    <w:p>
      <w:pPr>
        <w:pStyle w:val="ListParagraph"/>
        <w:numPr>
          <w:ilvl w:val="0"/>
          <w:numId w:val="11"/>
        </w:numPr>
        <w:rPr/>
      </w:pPr>
      <w:r>
        <w:rPr/>
        <w:t>promet na svom području,</w:t>
      </w:r>
    </w:p>
    <w:p>
      <w:pPr>
        <w:pStyle w:val="ListParagraph"/>
        <w:numPr>
          <w:ilvl w:val="0"/>
          <w:numId w:val="11"/>
        </w:numPr>
        <w:rPr/>
      </w:pPr>
      <w:r>
        <w:rPr/>
        <w:t>ostale poslove sukladno posebnim zakonima.</w:t>
      </w:r>
    </w:p>
    <w:p>
      <w:pPr>
        <w:pStyle w:val="Normal"/>
        <w:spacing w:before="120" w:after="120"/>
        <w:rPr>
          <w:szCs w:val="22"/>
        </w:rPr>
      </w:pPr>
      <w:r>
        <w:rPr>
          <w:szCs w:val="22"/>
        </w:rPr>
      </w:r>
    </w:p>
    <w:p>
      <w:pPr>
        <w:pStyle w:val="Normal"/>
        <w:spacing w:before="120" w:after="120"/>
        <w:rPr>
          <w:szCs w:val="22"/>
        </w:rPr>
      </w:pPr>
      <w:r>
        <w:rPr>
          <w:szCs w:val="22"/>
        </w:rPr>
        <w:t>Grad Buje je uspostavljen kao jedinica lokalne samouprave unutar Istarske županije. Grad Buje je administrativno središte u kojem je smještena Gradska uprava koju čine:</w:t>
      </w:r>
    </w:p>
    <w:p>
      <w:pPr>
        <w:pStyle w:val="ListParagraph"/>
        <w:numPr>
          <w:ilvl w:val="0"/>
          <w:numId w:val="12"/>
        </w:numPr>
        <w:rPr/>
      </w:pPr>
      <w:r>
        <w:rPr/>
        <w:t xml:space="preserve">Gradsko vijeće, </w:t>
      </w:r>
    </w:p>
    <w:p>
      <w:pPr>
        <w:pStyle w:val="ListParagraph"/>
        <w:numPr>
          <w:ilvl w:val="0"/>
          <w:numId w:val="12"/>
        </w:numPr>
        <w:rPr/>
      </w:pPr>
      <w:r>
        <w:rPr/>
        <w:t>Gradonačelnik,</w:t>
      </w:r>
    </w:p>
    <w:p>
      <w:pPr>
        <w:pStyle w:val="ListParagraph"/>
        <w:numPr>
          <w:ilvl w:val="0"/>
          <w:numId w:val="12"/>
        </w:numPr>
        <w:rPr/>
      </w:pPr>
      <w:r>
        <w:rPr/>
        <w:t>Upravna tijela grada.</w:t>
      </w:r>
    </w:p>
    <w:p>
      <w:pPr>
        <w:pStyle w:val="Normal"/>
        <w:spacing w:before="120" w:after="120"/>
        <w:rPr>
          <w:szCs w:val="22"/>
        </w:rPr>
      </w:pPr>
      <w:r>
        <w:rPr>
          <w:szCs w:val="22"/>
        </w:rPr>
      </w:r>
    </w:p>
    <w:p>
      <w:pPr>
        <w:pStyle w:val="Normal"/>
        <w:spacing w:before="120" w:after="120"/>
        <w:rPr/>
      </w:pPr>
      <w:r>
        <w:rPr>
          <w:szCs w:val="22"/>
        </w:rPr>
        <w:t>Gradsko vijeće predstavničko je tijelo građana i tijelo lokalne samouprave koje donosi odluke i akte u okviru prava</w:t>
      </w:r>
      <w:r>
        <w:rPr/>
        <w:t xml:space="preserve"> i dužnosti grada te obavlja i druge poslove u skladu sa Ustavom, Zakonom i Statutom. </w:t>
      </w:r>
    </w:p>
    <w:p>
      <w:pPr>
        <w:pStyle w:val="Normal"/>
        <w:spacing w:before="120" w:after="120"/>
        <w:rPr/>
      </w:pPr>
      <w:r>
        <w:rPr/>
        <w:t xml:space="preserve">Gradonačelnik zastupa Grad i nositelj je izvršne vlasti Grada Buja. Odgovoran je za ustavnost i zakonitost obavljanja poslova koji su u njegovom djelokrugu i za ustavnost i zakonitost akata upravnih tijela Grada. </w:t>
      </w:r>
    </w:p>
    <w:p>
      <w:pPr>
        <w:pStyle w:val="Normal"/>
        <w:spacing w:before="120" w:after="120"/>
        <w:rPr/>
      </w:pPr>
      <w:r>
        <w:rPr/>
        <w:t>Za obavljanje poslova iz samoupravnog djelokruga Grada, kao i prenijetih poslova državne uprave, ustrojavaju se upravna tijela. Upravnim tijelima upravljaju pročelnici koje na temelju javnog natječaja imenuje Gradonačelnik.</w:t>
      </w:r>
    </w:p>
    <w:p>
      <w:pPr>
        <w:pStyle w:val="Normal"/>
        <w:spacing w:before="120" w:after="120"/>
        <w:rPr/>
      </w:pPr>
      <w:r>
        <w:rPr/>
        <w:t>Upravna tijela se ustrojavaju kao upravni odjeli (upravna tijela). Upravnim tijelima upravljaju pročelnice/pročelnici koje na temelju javnog natječaja imenuje gradonačelnica/gradonačelnik. Upravna tijela u oblastima za koje su ustrojeni i u okviru djelokruga utvrđenog posebnom odlukom, neposredno izvršavaju i nadziru provođenje općih i pojedinačnih akata tijela Grada, te u slučaju neprovođenja općeg akta poduzimaju propisane mjere. Upravna tijela samostalna su u okviru svog djelokruga, a za zakonito i pravovremeno obavljanje poslova iz svoje nadležnosti odgovorni su gradonačelnici/gradonačelniku. Sredstva za rad upravnih tijela, osiguravaju se u Proračunu Grada Buje – Buie, Državnom proračunu i iz drugih prihoda u skladu sa zakonom.</w:t>
      </w:r>
    </w:p>
    <w:p>
      <w:pPr>
        <w:pStyle w:val="Normal"/>
        <w:spacing w:before="120" w:after="120"/>
        <w:rPr/>
      </w:pPr>
      <w:r>
        <w:rPr/>
        <w:t>Na području Grada Buja – Buie ustrojeni su slijedeći upravni odjeli:</w:t>
      </w:r>
    </w:p>
    <w:p>
      <w:pPr>
        <w:pStyle w:val="ListParagraph"/>
        <w:numPr>
          <w:ilvl w:val="0"/>
          <w:numId w:val="50"/>
        </w:numPr>
        <w:rPr/>
      </w:pPr>
      <w:r>
        <w:rPr/>
        <w:t>Upravni odjel za opće poslove</w:t>
      </w:r>
    </w:p>
    <w:p>
      <w:pPr>
        <w:pStyle w:val="ListParagraph"/>
        <w:numPr>
          <w:ilvl w:val="0"/>
          <w:numId w:val="50"/>
        </w:numPr>
        <w:rPr/>
      </w:pPr>
      <w:r>
        <w:rPr/>
        <w:t>Upravni odjel za komunalne djelatnosti</w:t>
      </w:r>
    </w:p>
    <w:p>
      <w:pPr>
        <w:pStyle w:val="ListParagraph"/>
        <w:numPr>
          <w:ilvl w:val="0"/>
          <w:numId w:val="50"/>
        </w:numPr>
        <w:rPr/>
      </w:pPr>
      <w:r>
        <w:rPr/>
        <w:t xml:space="preserve">Upravni odjel za prostorno uređenje i upravljanje gradskom imovinom. </w:t>
      </w:r>
    </w:p>
    <w:p>
      <w:pPr>
        <w:pStyle w:val="Normal"/>
        <w:spacing w:before="120" w:after="120"/>
        <w:rPr/>
      </w:pPr>
      <w:r>
        <w:rPr/>
      </w:r>
    </w:p>
    <w:p>
      <w:pPr>
        <w:pStyle w:val="Stilnaslova3"/>
        <w:numPr>
          <w:ilvl w:val="2"/>
          <w:numId w:val="2"/>
        </w:numPr>
        <w:ind w:left="709" w:hanging="721"/>
        <w:rPr/>
      </w:pPr>
      <w:bookmarkStart w:id="28" w:name="_Toc99955656"/>
      <w:bookmarkStart w:id="29" w:name="_Toc116990104"/>
      <w:r>
        <w:rPr/>
        <w:t>Zdravstvene ustanove</w:t>
      </w:r>
      <w:bookmarkEnd w:id="28"/>
      <w:bookmarkEnd w:id="29"/>
    </w:p>
    <w:p>
      <w:pPr>
        <w:pStyle w:val="Normal"/>
        <w:spacing w:before="120" w:after="120"/>
        <w:rPr>
          <w:szCs w:val="22"/>
          <w:lang w:eastAsia="hr-HR"/>
        </w:rPr>
      </w:pPr>
      <w:r>
        <w:rPr>
          <w:szCs w:val="22"/>
          <w:lang w:eastAsia="hr-HR"/>
        </w:rPr>
        <w:t>Na području Grada Buje - Buie pacijentima se pruža primarna zdravstvena zaštita putem sljedećih ustanova:</w:t>
      </w:r>
    </w:p>
    <w:p>
      <w:pPr>
        <w:pStyle w:val="Normal"/>
        <w:shd w:val="clear" w:color="auto" w:fill="FFFFFF"/>
        <w:spacing w:before="120" w:after="120"/>
        <w:textAlignment w:val="baseline"/>
        <w:rPr>
          <w:szCs w:val="22"/>
          <w:u w:val="single"/>
          <w:lang w:eastAsia="hr-HR"/>
        </w:rPr>
      </w:pPr>
      <w:r>
        <w:rPr>
          <w:szCs w:val="22"/>
          <w:u w:val="single"/>
          <w:lang w:eastAsia="hr-HR"/>
        </w:rPr>
        <w:t>Ordinacije obiteljske medicine</w:t>
      </w:r>
    </w:p>
    <w:p>
      <w:pPr>
        <w:pStyle w:val="Normal"/>
        <w:shd w:val="clear" w:color="auto" w:fill="FFFFFF"/>
        <w:spacing w:before="120" w:after="120"/>
        <w:textAlignment w:val="baseline"/>
        <w:rPr>
          <w:szCs w:val="22"/>
          <w:lang w:eastAsia="hr-HR"/>
        </w:rPr>
      </w:pPr>
      <w:r>
        <w:rPr>
          <w:szCs w:val="22"/>
          <w:lang w:eastAsia="hr-HR"/>
        </w:rPr>
        <w:t xml:space="preserve">Dr. Vitomir Jadrejčić, </w:t>
      </w:r>
    </w:p>
    <w:p>
      <w:pPr>
        <w:pStyle w:val="Normal"/>
        <w:shd w:val="clear" w:color="auto" w:fill="FFFFFF"/>
        <w:spacing w:before="120" w:after="120"/>
        <w:textAlignment w:val="baseline"/>
        <w:rPr>
          <w:szCs w:val="22"/>
          <w:lang w:eastAsia="hr-HR"/>
        </w:rPr>
      </w:pPr>
      <w:r>
        <w:rPr>
          <w:szCs w:val="22"/>
          <w:lang w:eastAsia="hr-HR"/>
        </w:rPr>
        <w:t>Adresa: Klesarska bb, 52460 Buje</w:t>
      </w:r>
    </w:p>
    <w:p>
      <w:pPr>
        <w:pStyle w:val="Normal"/>
        <w:shd w:val="clear" w:color="auto" w:fill="FFFFFF"/>
        <w:spacing w:lineRule="auto" w:line="240" w:before="120" w:after="120"/>
        <w:textAlignment w:val="baseline"/>
        <w:rPr>
          <w:szCs w:val="22"/>
          <w:lang w:eastAsia="hr-HR"/>
        </w:rPr>
      </w:pPr>
      <w:r>
        <w:rPr>
          <w:szCs w:val="22"/>
          <w:lang w:eastAsia="hr-HR"/>
        </w:rPr>
        <w:t>Tel: 052 / 773-073</w:t>
      </w:r>
    </w:p>
    <w:p>
      <w:pPr>
        <w:pStyle w:val="Normal"/>
        <w:shd w:val="clear" w:color="auto" w:fill="FFFFFF"/>
        <w:spacing w:before="120" w:after="120"/>
        <w:textAlignment w:val="baseline"/>
        <w:rPr>
          <w:szCs w:val="22"/>
          <w:u w:val="single"/>
          <w:lang w:eastAsia="hr-HR"/>
        </w:rPr>
      </w:pPr>
      <w:r>
        <w:rPr>
          <w:szCs w:val="22"/>
          <w:u w:val="single"/>
          <w:lang w:eastAsia="hr-HR"/>
        </w:rPr>
      </w:r>
    </w:p>
    <w:p>
      <w:pPr>
        <w:pStyle w:val="Normal"/>
        <w:shd w:val="clear" w:color="auto" w:fill="FFFFFF"/>
        <w:spacing w:before="120" w:after="120"/>
        <w:textAlignment w:val="baseline"/>
        <w:rPr>
          <w:szCs w:val="22"/>
          <w:u w:val="single"/>
          <w:lang w:eastAsia="hr-HR"/>
        </w:rPr>
      </w:pPr>
      <w:r>
        <w:rPr>
          <w:szCs w:val="22"/>
          <w:u w:val="single"/>
          <w:lang w:eastAsia="hr-HR"/>
        </w:rPr>
        <w:t>Dom zdravlja Buje</w:t>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t xml:space="preserve">dr. Ivan Radilj, </w:t>
      </w:r>
    </w:p>
    <w:p>
      <w:pPr>
        <w:pStyle w:val="Normal"/>
        <w:shd w:val="clear" w:color="auto" w:fill="FFFFFF"/>
        <w:spacing w:before="120" w:after="120"/>
        <w:textAlignment w:val="baseline"/>
        <w:rPr>
          <w:szCs w:val="22"/>
          <w:lang w:eastAsia="hr-HR"/>
        </w:rPr>
      </w:pPr>
      <w:r>
        <w:rPr>
          <w:szCs w:val="22"/>
          <w:lang w:eastAsia="hr-HR"/>
        </w:rPr>
        <w:t xml:space="preserve">Adresa: Istarska 15, 52460 Buje </w:t>
      </w:r>
    </w:p>
    <w:p>
      <w:pPr>
        <w:pStyle w:val="Normal"/>
        <w:shd w:val="clear" w:color="auto" w:fill="FFFFFF"/>
        <w:spacing w:before="120" w:after="120"/>
        <w:textAlignment w:val="baseline"/>
        <w:rPr>
          <w:szCs w:val="22"/>
          <w:lang w:eastAsia="hr-HR"/>
        </w:rPr>
      </w:pPr>
      <w:r>
        <w:rPr>
          <w:szCs w:val="22"/>
          <w:lang w:eastAsia="hr-HR"/>
        </w:rPr>
        <w:t>Tel: 052 / 772-143,</w:t>
      </w:r>
    </w:p>
    <w:p>
      <w:pPr>
        <w:pStyle w:val="Normal"/>
        <w:shd w:val="clear" w:color="auto" w:fill="FFFFFF"/>
        <w:spacing w:before="120" w:after="120"/>
        <w:textAlignment w:val="baseline"/>
        <w:rPr>
          <w:szCs w:val="22"/>
          <w:lang w:eastAsia="hr-HR"/>
        </w:rPr>
      </w:pPr>
      <w:r>
        <w:rPr>
          <w:szCs w:val="22"/>
          <w:lang w:eastAsia="hr-HR"/>
        </w:rPr>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t>dr. Marina Gugić Zubac,</w:t>
      </w:r>
    </w:p>
    <w:p>
      <w:pPr>
        <w:pStyle w:val="Normal"/>
        <w:shd w:val="clear" w:color="auto" w:fill="FFFFFF"/>
        <w:spacing w:before="120" w:after="120"/>
        <w:textAlignment w:val="baseline"/>
        <w:rPr>
          <w:szCs w:val="22"/>
          <w:lang w:eastAsia="hr-HR"/>
        </w:rPr>
      </w:pPr>
      <w:r>
        <w:rPr>
          <w:szCs w:val="22"/>
          <w:lang w:eastAsia="hr-HR"/>
        </w:rPr>
        <w:t>Adresa: Istarska 15, 52460 Buje</w:t>
      </w:r>
    </w:p>
    <w:p>
      <w:pPr>
        <w:pStyle w:val="Normal"/>
        <w:shd w:val="clear" w:color="auto" w:fill="FFFFFF"/>
        <w:spacing w:before="120" w:after="120"/>
        <w:textAlignment w:val="baseline"/>
        <w:rPr>
          <w:szCs w:val="22"/>
          <w:lang w:eastAsia="hr-HR"/>
        </w:rPr>
      </w:pPr>
      <w:hyperlink r:id="rId18">
        <w:r>
          <w:rPr/>
          <w:t>Tel: 052</w:t>
        </w:r>
      </w:hyperlink>
      <w:r>
        <w:rPr>
          <w:szCs w:val="22"/>
          <w:lang w:eastAsia="hr-HR"/>
        </w:rPr>
        <w:t xml:space="preserve"> / 772-144</w:t>
      </w:r>
    </w:p>
    <w:p>
      <w:pPr>
        <w:pStyle w:val="Normal"/>
        <w:shd w:val="clear" w:color="auto" w:fill="FFFFFF"/>
        <w:spacing w:before="120" w:after="120"/>
        <w:textAlignment w:val="baseline"/>
        <w:rPr>
          <w:szCs w:val="22"/>
          <w:u w:val="single"/>
          <w:lang w:eastAsia="hr-HR"/>
        </w:rPr>
      </w:pPr>
      <w:r>
        <w:rPr>
          <w:szCs w:val="22"/>
          <w:u w:val="single"/>
          <w:lang w:eastAsia="hr-HR"/>
        </w:rPr>
      </w:r>
    </w:p>
    <w:p>
      <w:pPr>
        <w:pStyle w:val="Normal"/>
        <w:shd w:val="clear" w:color="auto" w:fill="FFFFFF"/>
        <w:spacing w:before="120" w:after="120"/>
        <w:textAlignment w:val="baseline"/>
        <w:rPr>
          <w:szCs w:val="22"/>
          <w:u w:val="single"/>
          <w:lang w:eastAsia="hr-HR"/>
        </w:rPr>
      </w:pPr>
      <w:r>
        <w:rPr>
          <w:szCs w:val="22"/>
          <w:u w:val="single"/>
          <w:lang w:eastAsia="hr-HR"/>
        </w:rPr>
      </w:r>
    </w:p>
    <w:p>
      <w:pPr>
        <w:pStyle w:val="Normal"/>
        <w:shd w:val="clear" w:color="auto" w:fill="FFFFFF"/>
        <w:spacing w:before="120" w:after="120"/>
        <w:textAlignment w:val="baseline"/>
        <w:rPr>
          <w:szCs w:val="22"/>
          <w:u w:val="single"/>
          <w:lang w:eastAsia="hr-HR"/>
        </w:rPr>
      </w:pPr>
      <w:r>
        <w:rPr>
          <w:szCs w:val="22"/>
          <w:u w:val="single"/>
          <w:lang w:eastAsia="hr-HR"/>
        </w:rPr>
        <w:t>Stomatološke ordinacije</w:t>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t xml:space="preserve">Bubić Emina  </w:t>
      </w:r>
    </w:p>
    <w:p>
      <w:pPr>
        <w:pStyle w:val="Normal"/>
        <w:shd w:val="clear" w:color="auto" w:fill="FFFFFF"/>
        <w:spacing w:before="120" w:after="120"/>
        <w:textAlignment w:val="baseline"/>
        <w:rPr>
          <w:szCs w:val="22"/>
          <w:lang w:eastAsia="hr-HR"/>
        </w:rPr>
      </w:pPr>
      <w:r>
        <w:rPr>
          <w:szCs w:val="22"/>
          <w:lang w:eastAsia="hr-HR"/>
        </w:rPr>
        <w:t>Adresa: Istarska 15a, 52460 Buje</w:t>
      </w:r>
    </w:p>
    <w:p>
      <w:pPr>
        <w:pStyle w:val="Normal"/>
        <w:shd w:val="clear" w:color="auto" w:fill="FFFFFF"/>
        <w:spacing w:before="120" w:after="120"/>
        <w:textAlignment w:val="baseline"/>
        <w:rPr>
          <w:szCs w:val="22"/>
          <w:lang w:eastAsia="hr-HR"/>
        </w:rPr>
      </w:pPr>
      <w:r>
        <w:rPr>
          <w:szCs w:val="22"/>
          <w:lang w:eastAsia="hr-HR"/>
        </w:rPr>
        <w:t>Tel: 052 773 083</w:t>
      </w:r>
    </w:p>
    <w:p>
      <w:pPr>
        <w:pStyle w:val="Normal"/>
        <w:shd w:val="clear" w:color="auto" w:fill="FFFFFF"/>
        <w:spacing w:before="120" w:after="120"/>
        <w:textAlignment w:val="baseline"/>
        <w:rPr>
          <w:szCs w:val="22"/>
          <w:lang w:eastAsia="hr-HR"/>
        </w:rPr>
      </w:pPr>
      <w:r>
        <w:rPr>
          <w:szCs w:val="22"/>
          <w:lang w:eastAsia="hr-HR"/>
        </w:rPr>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t>Dadić Irena</w:t>
      </w:r>
    </w:p>
    <w:p>
      <w:pPr>
        <w:pStyle w:val="Normal"/>
        <w:shd w:val="clear" w:color="auto" w:fill="FFFFFF"/>
        <w:spacing w:before="120" w:after="120"/>
        <w:textAlignment w:val="baseline"/>
        <w:rPr>
          <w:szCs w:val="22"/>
          <w:lang w:eastAsia="hr-HR"/>
        </w:rPr>
      </w:pPr>
      <w:r>
        <w:rPr>
          <w:szCs w:val="22"/>
          <w:lang w:eastAsia="hr-HR"/>
        </w:rPr>
        <w:t>Adresa: Istarska 15a, 52460 Buje</w:t>
      </w:r>
    </w:p>
    <w:p>
      <w:pPr>
        <w:pStyle w:val="Normal"/>
        <w:shd w:val="clear" w:color="auto" w:fill="FFFFFF"/>
        <w:spacing w:before="120" w:after="120"/>
        <w:textAlignment w:val="baseline"/>
        <w:rPr>
          <w:szCs w:val="22"/>
          <w:lang w:eastAsia="hr-HR"/>
        </w:rPr>
      </w:pPr>
      <w:r>
        <w:rPr>
          <w:szCs w:val="22"/>
          <w:lang w:eastAsia="hr-HR"/>
        </w:rPr>
        <w:t>Tel: 052 772 163</w:t>
      </w:r>
    </w:p>
    <w:p>
      <w:pPr>
        <w:pStyle w:val="Normal"/>
        <w:shd w:val="clear" w:color="auto" w:fill="FFFFFF"/>
        <w:spacing w:before="120" w:after="120"/>
        <w:textAlignment w:val="baseline"/>
        <w:rPr>
          <w:szCs w:val="22"/>
          <w:lang w:eastAsia="hr-HR"/>
        </w:rPr>
      </w:pPr>
      <w:r>
        <w:rPr>
          <w:szCs w:val="22"/>
          <w:lang w:eastAsia="hr-HR"/>
        </w:rPr>
      </w:r>
    </w:p>
    <w:p>
      <w:pPr>
        <w:pStyle w:val="Normal"/>
        <w:shd w:val="clear" w:color="auto" w:fill="FFFFFF"/>
        <w:spacing w:before="120" w:after="120"/>
        <w:textAlignment w:val="baseline"/>
        <w:rPr>
          <w:szCs w:val="22"/>
          <w:u w:val="single"/>
          <w:lang w:eastAsia="hr-HR"/>
        </w:rPr>
      </w:pPr>
      <w:r>
        <w:rPr>
          <w:rFonts w:eastAsia="Times New Roman" w:cs="Arial"/>
          <w:color w:val="000000" w:themeColor="text1"/>
          <w:szCs w:val="22"/>
          <w:u w:val="none"/>
          <w:lang w:eastAsia="hr-HR"/>
        </w:rPr>
        <w:t>Korenika Klemše Larisa</w:t>
      </w:r>
    </w:p>
    <w:p>
      <w:pPr>
        <w:pStyle w:val="Normal"/>
        <w:shd w:val="clear" w:color="auto" w:fill="FFFFFF"/>
        <w:spacing w:before="120" w:after="120"/>
        <w:textAlignment w:val="baseline"/>
        <w:rPr>
          <w:szCs w:val="22"/>
          <w:u w:val="single"/>
          <w:lang w:eastAsia="hr-HR"/>
        </w:rPr>
      </w:pPr>
      <w:r>
        <w:rPr>
          <w:szCs w:val="22"/>
          <w:u w:val="none"/>
          <w:lang w:eastAsia="hr-HR"/>
        </w:rPr>
        <w:t>Adresa: Istarska 15a, 52460 Buje</w:t>
      </w:r>
    </w:p>
    <w:p>
      <w:pPr>
        <w:pStyle w:val="Normal"/>
        <w:shd w:val="clear" w:color="auto" w:fill="FFFFFF"/>
        <w:spacing w:before="120" w:after="120"/>
        <w:textAlignment w:val="baseline"/>
        <w:rPr>
          <w:szCs w:val="22"/>
          <w:u w:val="single"/>
          <w:lang w:eastAsia="hr-HR"/>
        </w:rPr>
      </w:pPr>
      <w:r>
        <w:rPr>
          <w:szCs w:val="22"/>
          <w:u w:val="none"/>
          <w:lang w:eastAsia="hr-HR"/>
        </w:rPr>
        <w:t xml:space="preserve">Tel: 052 </w:t>
      </w:r>
      <w:r>
        <w:rPr>
          <w:rFonts w:eastAsia="Times New Roman" w:cs="Arial"/>
          <w:color w:val="000000" w:themeColor="text1"/>
          <w:szCs w:val="22"/>
          <w:u w:val="none"/>
          <w:lang w:eastAsia="hr-HR"/>
        </w:rPr>
        <w:t>773 257</w:t>
      </w:r>
    </w:p>
    <w:p>
      <w:pPr>
        <w:pStyle w:val="Normal"/>
        <w:shd w:val="clear" w:color="auto" w:fill="FFFFFF"/>
        <w:spacing w:before="120" w:after="120"/>
        <w:textAlignment w:val="baseline"/>
        <w:rPr>
          <w:szCs w:val="22"/>
          <w:u w:val="single"/>
          <w:lang w:eastAsia="hr-HR"/>
        </w:rPr>
      </w:pPr>
      <w:r>
        <w:rPr>
          <w:szCs w:val="22"/>
          <w:u w:val="single"/>
          <w:lang w:eastAsia="hr-HR"/>
        </w:rPr>
      </w:r>
    </w:p>
    <w:p>
      <w:pPr>
        <w:pStyle w:val="Normal"/>
        <w:shd w:val="clear" w:color="auto" w:fill="FFFFFF"/>
        <w:spacing w:before="120" w:after="120"/>
        <w:textAlignment w:val="baseline"/>
        <w:rPr>
          <w:szCs w:val="22"/>
          <w:u w:val="single"/>
          <w:lang w:eastAsia="hr-HR"/>
        </w:rPr>
      </w:pPr>
      <w:r>
        <w:rPr>
          <w:szCs w:val="22"/>
          <w:u w:val="single"/>
          <w:lang w:eastAsia="hr-HR"/>
        </w:rPr>
        <w:t xml:space="preserve">Zavod za javno zdravstvo – Služba školske medicine: </w:t>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t>dr. Marisa Visintin Melon, 052 772 300</w:t>
      </w:r>
    </w:p>
    <w:p>
      <w:pPr>
        <w:pStyle w:val="Normal"/>
        <w:tabs>
          <w:tab w:val="clear" w:pos="708"/>
          <w:tab w:val="left" w:pos="2445" w:leader="none"/>
        </w:tabs>
        <w:spacing w:before="120" w:after="120"/>
        <w:contextualSpacing/>
        <w:rPr>
          <w:color w:val="auto"/>
          <w:szCs w:val="20"/>
          <w:lang w:eastAsia="hr-HR"/>
        </w:rPr>
      </w:pPr>
      <w:r>
        <w:rPr>
          <w:color w:val="auto"/>
          <w:szCs w:val="20"/>
          <w:lang w:eastAsia="hr-HR"/>
        </w:rPr>
      </w:r>
    </w:p>
    <w:p>
      <w:pPr>
        <w:pStyle w:val="Normal"/>
        <w:shd w:val="clear" w:color="auto" w:fill="FFFFFF"/>
        <w:spacing w:before="120" w:after="120"/>
        <w:textAlignment w:val="baseline"/>
        <w:rPr>
          <w:szCs w:val="22"/>
          <w:lang w:eastAsia="hr-HR"/>
        </w:rPr>
      </w:pPr>
      <w:r>
        <w:rPr>
          <w:szCs w:val="22"/>
          <w:lang w:eastAsia="hr-HR"/>
        </w:rPr>
      </w:r>
    </w:p>
    <w:p>
      <w:pPr>
        <w:pStyle w:val="Normal"/>
        <w:spacing w:before="120" w:after="120"/>
        <w:rPr>
          <w:szCs w:val="22"/>
        </w:rPr>
      </w:pPr>
      <w:bookmarkStart w:id="30" w:name="_Hlk507497611"/>
      <w:bookmarkEnd w:id="30"/>
      <w:r>
        <w:rPr>
          <w:szCs w:val="22"/>
          <w:lang w:eastAsia="hr-HR"/>
        </w:rPr>
        <w:t>Za poslove socijalne skrbi nadležan je Centar za socijalnu skrb Buje, Rudine 1, 52460, Buje (telefon: 052 772 024, 052 772 036).</w:t>
      </w:r>
    </w:p>
    <w:p>
      <w:pPr>
        <w:pStyle w:val="Normal"/>
        <w:spacing w:before="120" w:after="120"/>
        <w:rPr>
          <w:i/>
          <w:i/>
          <w:color w:val="54883D"/>
          <w:lang w:eastAsia="hr-HR"/>
        </w:rPr>
      </w:pPr>
      <w:r>
        <w:rPr>
          <w:i/>
          <w:color w:val="54883D"/>
          <w:lang w:eastAsia="hr-HR"/>
        </w:rPr>
      </w:r>
    </w:p>
    <w:p>
      <w:pPr>
        <w:pStyle w:val="Normal"/>
        <w:spacing w:before="120" w:after="120"/>
        <w:rPr>
          <w:i/>
          <w:i/>
          <w:color w:val="54883D"/>
          <w:lang w:eastAsia="hr-HR"/>
        </w:rPr>
      </w:pPr>
      <w:r>
        <w:rPr>
          <w:i/>
          <w:color w:val="54883D"/>
          <w:lang w:eastAsia="hr-HR"/>
        </w:rPr>
        <w:t>Popis ljekarni</w:t>
      </w:r>
    </w:p>
    <w:p>
      <w:pPr>
        <w:pStyle w:val="Normal"/>
        <w:shd w:val="clear" w:color="auto" w:fill="FFFFFF"/>
        <w:spacing w:before="120" w:after="120"/>
        <w:textAlignment w:val="baseline"/>
        <w:rPr>
          <w:szCs w:val="22"/>
          <w:u w:val="single"/>
          <w:lang w:eastAsia="hr-HR"/>
        </w:rPr>
      </w:pPr>
      <w:r>
        <w:rPr>
          <w:szCs w:val="22"/>
          <w:u w:val="single"/>
          <w:lang w:eastAsia="hr-HR"/>
        </w:rPr>
        <w:t xml:space="preserve">Ljekarna Buje </w:t>
      </w:r>
    </w:p>
    <w:p>
      <w:pPr>
        <w:pStyle w:val="Normal"/>
        <w:shd w:val="clear" w:color="auto" w:fill="FFFFFF"/>
        <w:spacing w:before="120" w:after="120"/>
        <w:textAlignment w:val="baseline"/>
        <w:rPr>
          <w:szCs w:val="22"/>
          <w:lang w:eastAsia="hr-HR"/>
        </w:rPr>
      </w:pPr>
      <w:r>
        <w:rPr>
          <w:szCs w:val="22"/>
          <w:lang w:eastAsia="hr-HR"/>
        </w:rPr>
        <w:t>Istarska 13, 52460 Buje,</w:t>
      </w:r>
    </w:p>
    <w:p>
      <w:pPr>
        <w:pStyle w:val="Normal"/>
        <w:shd w:val="clear" w:color="auto" w:fill="FFFFFF"/>
        <w:spacing w:before="120" w:after="120"/>
        <w:textAlignment w:val="baseline"/>
        <w:rPr>
          <w:szCs w:val="22"/>
          <w:lang w:eastAsia="hr-HR"/>
        </w:rPr>
      </w:pPr>
      <w:r>
        <w:rPr>
          <w:szCs w:val="22"/>
          <w:lang w:eastAsia="hr-HR"/>
        </w:rPr>
        <w:t>Tel.: 052/773-157</w:t>
      </w:r>
    </w:p>
    <w:p>
      <w:pPr>
        <w:pStyle w:val="Normal"/>
        <w:rPr/>
      </w:pPr>
      <w:r>
        <w:rPr/>
      </w:r>
    </w:p>
    <w:p>
      <w:pPr>
        <w:pStyle w:val="Stilnaslova3"/>
        <w:numPr>
          <w:ilvl w:val="2"/>
          <w:numId w:val="2"/>
        </w:numPr>
        <w:ind w:left="709" w:hanging="721"/>
        <w:rPr/>
      </w:pPr>
      <w:bookmarkStart w:id="31" w:name="_Toc99955657"/>
      <w:bookmarkStart w:id="32" w:name="_Toc116990105"/>
      <w:r>
        <w:rPr/>
        <w:t>Odgojno-obrazovne ustanove</w:t>
      </w:r>
      <w:bookmarkEnd w:id="31"/>
      <w:bookmarkEnd w:id="32"/>
    </w:p>
    <w:p>
      <w:pPr>
        <w:pStyle w:val="Normal"/>
        <w:spacing w:before="0" w:after="0"/>
        <w:rPr>
          <w:lang w:eastAsia="hr-HR"/>
        </w:rPr>
      </w:pPr>
      <w:r>
        <w:rPr>
          <w:lang w:eastAsia="hr-HR"/>
        </w:rPr>
        <w:t xml:space="preserve">U nastavku se nalazi popis odgojno-obrazovnih ustanova na području Grada Buja. </w:t>
      </w:r>
    </w:p>
    <w:p>
      <w:pPr>
        <w:pStyle w:val="Normal"/>
        <w:spacing w:before="0" w:after="0"/>
        <w:rPr>
          <w:lang w:eastAsia="hr-HR"/>
        </w:rPr>
      </w:pPr>
      <w:r>
        <w:rPr>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Osnovna škola - Scuola elementare Mate Balote Buje - Buie:</w:t>
      </w:r>
    </w:p>
    <w:p>
      <w:pPr>
        <w:pStyle w:val="Normal"/>
        <w:shd w:val="clear" w:color="auto" w:fill="FFFFFF"/>
        <w:spacing w:before="0" w:after="0"/>
        <w:jc w:val="left"/>
        <w:textAlignment w:val="baseline"/>
        <w:rPr>
          <w:szCs w:val="22"/>
          <w:u w:val="single"/>
          <w:lang w:eastAsia="hr-HR"/>
        </w:rPr>
      </w:pPr>
      <w:r>
        <w:rPr>
          <w:szCs w:val="22"/>
          <w:u w:val="none"/>
          <w:lang w:eastAsia="hr-HR"/>
        </w:rPr>
        <w:t>Adresa: Školski brijeg 2, 52460 Buje</w:t>
      </w:r>
    </w:p>
    <w:p>
      <w:pPr>
        <w:pStyle w:val="Normal"/>
        <w:shd w:val="clear" w:color="auto" w:fill="FFFFFF"/>
        <w:spacing w:before="0" w:after="0"/>
        <w:jc w:val="left"/>
        <w:textAlignment w:val="baseline"/>
        <w:rPr>
          <w:szCs w:val="22"/>
          <w:u w:val="single"/>
          <w:lang w:eastAsia="hr-HR"/>
        </w:rPr>
      </w:pPr>
      <w:r>
        <w:rPr>
          <w:szCs w:val="22"/>
          <w:u w:val="none"/>
          <w:lang w:eastAsia="hr-HR"/>
        </w:rPr>
        <w:t>tel. 052 / 772 138, 052/ 720 – 338</w:t>
      </w:r>
    </w:p>
    <w:p>
      <w:pPr>
        <w:pStyle w:val="Normal"/>
        <w:shd w:val="clear" w:color="auto" w:fill="FFFFFF"/>
        <w:spacing w:before="0" w:after="0"/>
        <w:jc w:val="left"/>
        <w:textAlignment w:val="baseline"/>
        <w:rPr>
          <w:szCs w:val="22"/>
          <w:u w:val="single"/>
          <w:lang w:eastAsia="hr-HR"/>
        </w:rPr>
      </w:pPr>
      <w:r>
        <w:rPr>
          <w:szCs w:val="22"/>
          <w:u w:val="none"/>
          <w:lang w:eastAsia="hr-HR"/>
        </w:rPr>
        <w:t>mail: ured@os-mbalote-buje.skole.hr</w:t>
      </w:r>
    </w:p>
    <w:p>
      <w:pPr>
        <w:pStyle w:val="Normal"/>
        <w:shd w:val="clear" w:color="auto" w:fill="FFFFFF"/>
        <w:spacing w:before="0" w:after="0"/>
        <w:jc w:val="left"/>
        <w:textAlignment w:val="baseline"/>
        <w:rPr>
          <w:szCs w:val="22"/>
          <w:u w:val="single"/>
          <w:lang w:eastAsia="hr-HR"/>
        </w:rPr>
      </w:pPr>
      <w:r>
        <w:rPr>
          <w:szCs w:val="22"/>
          <w:u w:val="none"/>
          <w:lang w:eastAsia="hr-HR"/>
        </w:rPr>
        <w:t>Djelatnici: 57</w:t>
      </w:r>
    </w:p>
    <w:p>
      <w:pPr>
        <w:pStyle w:val="Normal"/>
        <w:shd w:val="clear" w:color="auto" w:fill="FFFFFF"/>
        <w:spacing w:before="0" w:after="0"/>
        <w:jc w:val="left"/>
        <w:textAlignment w:val="baseline"/>
        <w:rPr>
          <w:szCs w:val="22"/>
          <w:u w:val="single"/>
          <w:lang w:eastAsia="hr-HR"/>
        </w:rPr>
      </w:pPr>
      <w:r>
        <w:rPr>
          <w:szCs w:val="22"/>
          <w:u w:val="none"/>
          <w:lang w:eastAsia="hr-HR"/>
        </w:rPr>
        <w:t>Broj učenika: 249</w:t>
      </w:r>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lang w:eastAsia="hr-HR"/>
        </w:rPr>
      </w:pPr>
      <w:r>
        <w:rPr>
          <w:szCs w:val="22"/>
          <w:lang w:eastAsia="hr-HR"/>
        </w:rPr>
      </w:r>
    </w:p>
    <w:p>
      <w:pPr>
        <w:pStyle w:val="Normal"/>
        <w:spacing w:before="0" w:after="0"/>
        <w:rPr>
          <w:szCs w:val="22"/>
          <w:u w:val="single"/>
          <w:lang w:eastAsia="hr-HR"/>
        </w:rPr>
      </w:pPr>
      <w:r>
        <w:rPr>
          <w:szCs w:val="22"/>
          <w:u w:val="single"/>
          <w:lang w:eastAsia="hr-HR"/>
        </w:rPr>
        <w:t>Talijanska osnovna škola Scuola elementare italiana „Edmondo De Amicis“ Buje Buie</w:t>
      </w:r>
    </w:p>
    <w:p>
      <w:pPr>
        <w:pStyle w:val="Normal"/>
        <w:spacing w:before="0" w:after="0"/>
        <w:rPr>
          <w:szCs w:val="22"/>
          <w:u w:val="single"/>
          <w:lang w:eastAsia="hr-HR"/>
        </w:rPr>
      </w:pPr>
      <w:r>
        <w:rPr>
          <w:szCs w:val="22"/>
          <w:u w:val="none"/>
          <w:lang w:eastAsia="hr-HR"/>
        </w:rPr>
        <w:t>Adresa: Školski brijeg 3, 52460 Buje</w:t>
      </w:r>
    </w:p>
    <w:p>
      <w:pPr>
        <w:pStyle w:val="Normal"/>
        <w:spacing w:before="0" w:after="0"/>
        <w:rPr>
          <w:szCs w:val="22"/>
          <w:u w:val="single"/>
          <w:lang w:eastAsia="hr-HR"/>
        </w:rPr>
      </w:pPr>
      <w:r>
        <w:rPr>
          <w:szCs w:val="22"/>
          <w:u w:val="none"/>
          <w:lang w:eastAsia="hr-HR"/>
        </w:rPr>
        <w:t>Tel: 052 / 772 061, fax: 052 / 772 082</w:t>
      </w:r>
    </w:p>
    <w:p>
      <w:pPr>
        <w:pStyle w:val="Normal"/>
        <w:spacing w:before="0" w:after="0"/>
        <w:rPr>
          <w:szCs w:val="22"/>
          <w:u w:val="single"/>
          <w:lang w:eastAsia="hr-HR"/>
        </w:rPr>
      </w:pPr>
      <w:r>
        <w:rPr>
          <w:szCs w:val="22"/>
          <w:u w:val="none"/>
          <w:lang w:eastAsia="hr-HR"/>
        </w:rPr>
        <w:t>e-mail: talijanska-os@pu.htnet.hr</w:t>
      </w:r>
    </w:p>
    <w:p>
      <w:pPr>
        <w:pStyle w:val="Normal"/>
        <w:spacing w:before="0" w:after="0"/>
        <w:rPr>
          <w:szCs w:val="22"/>
          <w:u w:val="single"/>
          <w:lang w:eastAsia="hr-HR"/>
        </w:rPr>
      </w:pPr>
      <w:r>
        <w:rPr>
          <w:szCs w:val="22"/>
          <w:u w:val="none"/>
          <w:lang w:eastAsia="hr-HR"/>
        </w:rPr>
        <w:t>Djelatnici: 58</w:t>
      </w:r>
    </w:p>
    <w:p>
      <w:pPr>
        <w:pStyle w:val="Normal"/>
        <w:spacing w:before="0" w:after="0"/>
        <w:rPr>
          <w:szCs w:val="22"/>
          <w:u w:val="single"/>
          <w:lang w:eastAsia="hr-HR"/>
        </w:rPr>
      </w:pPr>
      <w:r>
        <w:rPr>
          <w:szCs w:val="22"/>
          <w:u w:val="none"/>
          <w:lang w:eastAsia="hr-HR"/>
        </w:rPr>
        <w:t>Broj učenika: 177</w:t>
      </w:r>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 xml:space="preserve">Srednja škola "VLADIMIR GORTAN" - SCUOLA MEDIA SUPERIORE "VLADIMIR GORTAN": </w:t>
      </w:r>
    </w:p>
    <w:p>
      <w:pPr>
        <w:pStyle w:val="Normal"/>
        <w:shd w:val="clear" w:color="auto" w:fill="FFFFFF"/>
        <w:spacing w:before="0" w:after="0"/>
        <w:jc w:val="left"/>
        <w:textAlignment w:val="baseline"/>
        <w:rPr>
          <w:szCs w:val="22"/>
          <w:lang w:eastAsia="hr-HR"/>
        </w:rPr>
      </w:pPr>
      <w:r>
        <w:rPr>
          <w:szCs w:val="22"/>
          <w:lang w:eastAsia="hr-HR"/>
        </w:rPr>
        <w:t>Adresa: Školski brijeg 1,52460 Buje</w:t>
      </w:r>
    </w:p>
    <w:p>
      <w:pPr>
        <w:pStyle w:val="Normal"/>
        <w:shd w:val="clear" w:color="auto" w:fill="FFFFFF"/>
        <w:spacing w:before="0" w:after="0"/>
        <w:jc w:val="left"/>
        <w:textAlignment w:val="baseline"/>
        <w:rPr>
          <w:szCs w:val="22"/>
          <w:lang w:eastAsia="hr-HR"/>
        </w:rPr>
      </w:pPr>
      <w:r>
        <w:rPr>
          <w:szCs w:val="22"/>
          <w:lang w:eastAsia="hr-HR"/>
        </w:rPr>
        <w:t xml:space="preserve">tel. 052 / 772 113; </w:t>
      </w:r>
    </w:p>
    <w:p>
      <w:pPr>
        <w:pStyle w:val="Normal"/>
        <w:shd w:val="clear" w:color="auto" w:fill="FFFFFF"/>
        <w:spacing w:before="0" w:after="0"/>
        <w:jc w:val="left"/>
        <w:textAlignment w:val="baseline"/>
        <w:rPr>
          <w:szCs w:val="22"/>
          <w:lang w:eastAsia="hr-HR"/>
        </w:rPr>
      </w:pPr>
      <w:r>
        <w:rPr>
          <w:szCs w:val="22"/>
          <w:lang w:eastAsia="hr-HR"/>
        </w:rPr>
        <w:t>e-mail: ured@ss-vgortan-buje.skole.hr</w:t>
      </w:r>
    </w:p>
    <w:p>
      <w:pPr>
        <w:pStyle w:val="Normal"/>
        <w:shd w:val="clear" w:color="auto" w:fill="FFFFFF"/>
        <w:spacing w:before="0" w:after="0"/>
        <w:jc w:val="left"/>
        <w:textAlignment w:val="baseline"/>
        <w:rPr>
          <w:szCs w:val="22"/>
          <w:u w:val="single"/>
          <w:lang w:eastAsia="hr-HR"/>
        </w:rPr>
      </w:pPr>
      <w:r>
        <w:rPr>
          <w:szCs w:val="22"/>
          <w:u w:val="none"/>
          <w:lang w:eastAsia="hr-HR"/>
        </w:rPr>
        <w:t>Djelatnici: 38</w:t>
      </w:r>
    </w:p>
    <w:p>
      <w:pPr>
        <w:pStyle w:val="Normal"/>
        <w:shd w:val="clear" w:color="auto" w:fill="FFFFFF"/>
        <w:spacing w:before="0" w:after="0"/>
        <w:jc w:val="left"/>
        <w:textAlignment w:val="baseline"/>
        <w:rPr>
          <w:szCs w:val="22"/>
          <w:u w:val="single"/>
          <w:lang w:eastAsia="hr-HR"/>
        </w:rPr>
      </w:pPr>
      <w:r>
        <w:rPr>
          <w:szCs w:val="22"/>
          <w:u w:val="none"/>
          <w:lang w:eastAsia="hr-HR"/>
        </w:rPr>
        <w:t>Broj učenika: 197</w:t>
      </w:r>
    </w:p>
    <w:p>
      <w:pPr>
        <w:pStyle w:val="Normal"/>
        <w:shd w:val="clear" w:color="auto" w:fill="FFFFFF"/>
        <w:spacing w:before="0" w:after="0"/>
        <w:jc w:val="left"/>
        <w:textAlignment w:val="baseline"/>
        <w:rPr>
          <w:szCs w:val="22"/>
          <w:u w:val="single"/>
          <w:lang w:eastAsia="hr-HR"/>
        </w:rPr>
      </w:pPr>
      <w:r>
        <w:rPr>
          <w:szCs w:val="22"/>
          <w:u w:val="single"/>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Gospodarska škola - Istituto professionale Buje</w:t>
      </w:r>
    </w:p>
    <w:p>
      <w:pPr>
        <w:pStyle w:val="Normal"/>
        <w:shd w:val="clear" w:color="auto" w:fill="FFFFFF"/>
        <w:spacing w:before="0" w:after="0"/>
        <w:jc w:val="left"/>
        <w:textAlignment w:val="baseline"/>
        <w:rPr>
          <w:szCs w:val="22"/>
          <w:u w:val="single"/>
          <w:lang w:eastAsia="hr-HR"/>
        </w:rPr>
      </w:pPr>
      <w:r>
        <w:rPr>
          <w:szCs w:val="22"/>
          <w:u w:val="none"/>
          <w:lang w:eastAsia="hr-HR"/>
        </w:rPr>
        <w:t>Školski brijeg 1,52460 Buje</w:t>
      </w:r>
    </w:p>
    <w:p>
      <w:pPr>
        <w:pStyle w:val="Normal"/>
        <w:shd w:val="clear" w:color="auto" w:fill="FFFFFF"/>
        <w:spacing w:before="0" w:after="0"/>
        <w:jc w:val="left"/>
        <w:textAlignment w:val="baseline"/>
        <w:rPr>
          <w:szCs w:val="22"/>
          <w:u w:val="single"/>
          <w:lang w:eastAsia="hr-HR"/>
        </w:rPr>
      </w:pPr>
      <w:r>
        <w:rPr>
          <w:szCs w:val="22"/>
          <w:u w:val="none"/>
          <w:lang w:eastAsia="hr-HR"/>
        </w:rPr>
        <w:t>tel. 052 / 492770, 492771, 492772 i 492773;</w:t>
      </w:r>
    </w:p>
    <w:p>
      <w:pPr>
        <w:pStyle w:val="Normal"/>
        <w:shd w:val="clear" w:color="auto" w:fill="FFFFFF"/>
        <w:spacing w:before="0" w:after="0"/>
        <w:jc w:val="left"/>
        <w:textAlignment w:val="baseline"/>
        <w:rPr>
          <w:szCs w:val="22"/>
          <w:u w:val="single"/>
          <w:lang w:eastAsia="hr-HR"/>
        </w:rPr>
      </w:pPr>
      <w:r>
        <w:rPr>
          <w:szCs w:val="22"/>
          <w:u w:val="none"/>
          <w:lang w:eastAsia="hr-HR"/>
        </w:rPr>
        <w:t>e-mail: skola@ss-gospodarska-buje.skole.hr</w:t>
      </w:r>
    </w:p>
    <w:p>
      <w:pPr>
        <w:pStyle w:val="Normal"/>
        <w:shd w:val="clear" w:color="auto" w:fill="FFFFFF"/>
        <w:spacing w:before="0" w:after="0"/>
        <w:jc w:val="left"/>
        <w:textAlignment w:val="baseline"/>
        <w:rPr>
          <w:szCs w:val="22"/>
          <w:u w:val="single"/>
          <w:lang w:eastAsia="hr-HR"/>
        </w:rPr>
      </w:pPr>
      <w:r>
        <w:rPr>
          <w:szCs w:val="22"/>
          <w:u w:val="none"/>
          <w:lang w:eastAsia="hr-HR"/>
        </w:rPr>
        <w:t>Djelatnici: 44</w:t>
      </w:r>
    </w:p>
    <w:p>
      <w:pPr>
        <w:pStyle w:val="Normal"/>
        <w:shd w:val="clear" w:color="auto" w:fill="FFFFFF"/>
        <w:spacing w:before="0" w:after="0"/>
        <w:jc w:val="left"/>
        <w:textAlignment w:val="baseline"/>
        <w:rPr>
          <w:szCs w:val="22"/>
          <w:u w:val="single"/>
          <w:lang w:eastAsia="hr-HR"/>
        </w:rPr>
      </w:pPr>
      <w:r>
        <w:rPr>
          <w:szCs w:val="22"/>
          <w:u w:val="none"/>
          <w:lang w:eastAsia="hr-HR"/>
        </w:rPr>
        <w:t>Broj učenika: 261</w:t>
      </w:r>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Talijanska srednja škola - Scuola media superiore italiana "Leonardo da Vinci" Buje – Buie</w:t>
      </w:r>
      <w:r>
        <w:rPr>
          <w:szCs w:val="22"/>
          <w:lang w:eastAsia="hr-HR"/>
        </w:rPr>
        <w:t xml:space="preserve">: </w:t>
      </w:r>
    </w:p>
    <w:p>
      <w:pPr>
        <w:pStyle w:val="Normal"/>
        <w:shd w:val="clear" w:color="auto" w:fill="FFFFFF"/>
        <w:spacing w:before="0" w:after="0"/>
        <w:jc w:val="left"/>
        <w:textAlignment w:val="baseline"/>
        <w:rPr>
          <w:szCs w:val="22"/>
          <w:lang w:eastAsia="hr-HR"/>
        </w:rPr>
      </w:pPr>
      <w:r>
        <w:rPr>
          <w:szCs w:val="22"/>
          <w:lang w:eastAsia="hr-HR"/>
        </w:rPr>
        <w:t>Školski brijeg 1,52460 Buje</w:t>
      </w:r>
    </w:p>
    <w:p>
      <w:pPr>
        <w:pStyle w:val="Normal"/>
        <w:shd w:val="clear" w:color="auto" w:fill="FFFFFF"/>
        <w:spacing w:before="0" w:after="0"/>
        <w:jc w:val="left"/>
        <w:textAlignment w:val="baseline"/>
        <w:rPr>
          <w:szCs w:val="22"/>
          <w:lang w:eastAsia="hr-HR"/>
        </w:rPr>
      </w:pPr>
      <w:r>
        <w:rPr>
          <w:szCs w:val="22"/>
          <w:lang w:eastAsia="hr-HR"/>
        </w:rPr>
        <w:t xml:space="preserve">tel. 052 / 772 233; </w:t>
      </w:r>
    </w:p>
    <w:p>
      <w:pPr>
        <w:pStyle w:val="Normal"/>
        <w:shd w:val="clear" w:color="auto" w:fill="FFFFFF"/>
        <w:spacing w:before="0" w:after="0"/>
        <w:jc w:val="left"/>
        <w:textAlignment w:val="baseline"/>
        <w:rPr>
          <w:szCs w:val="22"/>
          <w:lang w:eastAsia="hr-HR"/>
        </w:rPr>
      </w:pPr>
      <w:r>
        <w:rPr>
          <w:szCs w:val="22"/>
          <w:lang w:eastAsia="hr-HR"/>
        </w:rPr>
        <w:t xml:space="preserve">e-mail: </w:t>
      </w:r>
      <w:hyperlink r:id="rId19">
        <w:r>
          <w:rPr>
            <w:szCs w:val="22"/>
            <w:lang w:eastAsia="hr-HR"/>
          </w:rPr>
          <w:t>ured@ss-leonardodavinci-buje.skole.hr</w:t>
        </w:r>
      </w:hyperlink>
    </w:p>
    <w:p>
      <w:pPr>
        <w:pStyle w:val="Normal"/>
        <w:shd w:val="clear" w:color="auto" w:fill="FFFFFF"/>
        <w:spacing w:before="0" w:after="0"/>
        <w:jc w:val="left"/>
        <w:textAlignment w:val="baseline"/>
        <w:rPr>
          <w:szCs w:val="22"/>
          <w:u w:val="single"/>
          <w:lang w:eastAsia="hr-HR"/>
        </w:rPr>
      </w:pPr>
      <w:r>
        <w:rPr>
          <w:szCs w:val="22"/>
          <w:u w:val="none"/>
          <w:lang w:eastAsia="hr-HR"/>
        </w:rPr>
        <w:t>Djelatnici: 44</w:t>
      </w:r>
    </w:p>
    <w:p>
      <w:pPr>
        <w:pStyle w:val="Normal"/>
        <w:shd w:val="clear" w:color="auto" w:fill="FFFFFF"/>
        <w:spacing w:before="0" w:after="0"/>
        <w:jc w:val="left"/>
        <w:textAlignment w:val="baseline"/>
        <w:rPr>
          <w:szCs w:val="22"/>
          <w:u w:val="single"/>
          <w:lang w:eastAsia="hr-HR"/>
        </w:rPr>
      </w:pPr>
      <w:r>
        <w:rPr>
          <w:szCs w:val="22"/>
          <w:u w:val="none"/>
          <w:lang w:eastAsia="hr-HR"/>
        </w:rPr>
        <w:t>Broj učenika: 100</w:t>
      </w:r>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Dječji vrtić Buje - Asilo infantile Buie:</w:t>
      </w:r>
    </w:p>
    <w:p>
      <w:pPr>
        <w:pStyle w:val="Normal"/>
        <w:shd w:val="clear" w:color="auto" w:fill="FFFFFF"/>
        <w:spacing w:before="0" w:after="0"/>
        <w:jc w:val="left"/>
        <w:textAlignment w:val="baseline"/>
        <w:rPr>
          <w:szCs w:val="22"/>
          <w:lang w:eastAsia="hr-HR"/>
        </w:rPr>
      </w:pPr>
      <w:r>
        <w:rPr>
          <w:szCs w:val="22"/>
          <w:lang w:eastAsia="hr-HR"/>
        </w:rPr>
        <w:t>Matije Gupca 13, Buje</w:t>
        <w:br/>
        <w:t>Tel.: 052 772 043</w:t>
        <w:br/>
        <w:t>Fax.: 052 773 023</w:t>
        <w:br/>
        <w:t xml:space="preserve">E-mail: </w:t>
      </w:r>
      <w:hyperlink r:id="rId20" w:tgtFrame="_blank">
        <w:r>
          <w:rPr>
            <w:lang w:eastAsia="hr-HR"/>
          </w:rPr>
          <w:t>djecji-vrtic-buje@pu.t-com.hr</w:t>
        </w:r>
      </w:hyperlink>
    </w:p>
    <w:p>
      <w:pPr>
        <w:pStyle w:val="Normal"/>
        <w:shd w:val="clear" w:color="auto" w:fill="FFFFFF"/>
        <w:spacing w:before="0" w:after="0"/>
        <w:jc w:val="left"/>
        <w:textAlignment w:val="baseline"/>
        <w:rPr>
          <w:szCs w:val="22"/>
          <w:lang w:eastAsia="hr-HR"/>
        </w:rPr>
      </w:pPr>
      <w:r>
        <w:rPr>
          <w:szCs w:val="22"/>
          <w:lang w:eastAsia="hr-HR"/>
        </w:rPr>
      </w:r>
    </w:p>
    <w:p>
      <w:pPr>
        <w:pStyle w:val="Normal"/>
        <w:shd w:val="clear" w:color="auto" w:fill="FFFFFF"/>
        <w:spacing w:before="0" w:after="0"/>
        <w:jc w:val="left"/>
        <w:textAlignment w:val="baseline"/>
        <w:rPr>
          <w:szCs w:val="22"/>
          <w:u w:val="single"/>
          <w:lang w:eastAsia="hr-HR"/>
        </w:rPr>
      </w:pPr>
      <w:r>
        <w:rPr>
          <w:szCs w:val="22"/>
          <w:u w:val="single"/>
          <w:lang w:eastAsia="hr-HR"/>
        </w:rPr>
        <w:t>Talijanski dječji vrtić Mrvica Buje - SCUOLA D`INFANZIA ITALIANA FREGOLA BUIE</w:t>
      </w:r>
    </w:p>
    <w:p>
      <w:pPr>
        <w:pStyle w:val="Normal"/>
        <w:shd w:val="clear" w:color="auto" w:fill="FFFFFF"/>
        <w:spacing w:before="0" w:after="0"/>
        <w:jc w:val="left"/>
        <w:textAlignment w:val="baseline"/>
        <w:rPr>
          <w:lang w:eastAsia="hr-HR"/>
        </w:rPr>
      </w:pPr>
      <w:r>
        <w:rPr>
          <w:szCs w:val="22"/>
          <w:u w:val="single"/>
          <w:lang w:eastAsia="hr-HR"/>
        </w:rPr>
        <w:t>Matije Gupca 13, Buje</w:t>
        <w:br/>
        <w:t>Tel.: 052 773 161</w:t>
        <w:br/>
        <w:t xml:space="preserve">E-mail: </w:t>
      </w:r>
      <w:hyperlink r:id="rId21" w:tgtFrame="_blank">
        <w:r>
          <w:rPr>
            <w:szCs w:val="22"/>
            <w:u w:val="single"/>
            <w:lang w:eastAsia="hr-HR"/>
          </w:rPr>
          <w:t>talijanski.d.v.fregola@pu.t-com.hr</w:t>
        </w:r>
      </w:hyperlink>
    </w:p>
    <w:p>
      <w:pPr>
        <w:pStyle w:val="Normal"/>
        <w:spacing w:before="0" w:after="0"/>
        <w:rPr>
          <w:lang w:eastAsia="hr-HR"/>
        </w:rPr>
      </w:pPr>
      <w:r>
        <w:rPr>
          <w:lang w:eastAsia="hr-HR"/>
        </w:rPr>
      </w:r>
    </w:p>
    <w:p>
      <w:pPr>
        <w:pStyle w:val="Normal"/>
        <w:spacing w:before="0" w:after="0"/>
        <w:rPr>
          <w:lang w:eastAsia="hr-HR"/>
        </w:rPr>
      </w:pPr>
      <w:r>
        <w:rPr>
          <w:lang w:eastAsia="hr-HR"/>
        </w:rPr>
      </w:r>
    </w:p>
    <w:p>
      <w:pPr>
        <w:pStyle w:val="Stilnaslova3"/>
        <w:numPr>
          <w:ilvl w:val="2"/>
          <w:numId w:val="2"/>
        </w:numPr>
        <w:ind w:left="709" w:hanging="721"/>
        <w:rPr/>
      </w:pPr>
      <w:bookmarkStart w:id="33" w:name="_Toc99955658"/>
      <w:bookmarkStart w:id="34" w:name="_Toc116990106"/>
      <w:r>
        <w:rPr/>
        <w:t>Broj kućanstava</w:t>
      </w:r>
      <w:bookmarkEnd w:id="33"/>
      <w:bookmarkEnd w:id="34"/>
    </w:p>
    <w:p>
      <w:pPr>
        <w:pStyle w:val="Normal"/>
        <w:spacing w:before="0" w:after="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2</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Broj kućanstava na području Grada Buja</w:t>
      </w:r>
    </w:p>
    <w:tbl>
      <w:tblPr>
        <w:tblW w:w="5000" w:type="pct"/>
        <w:jc w:val="center"/>
        <w:tblInd w:w="0" w:type="dxa"/>
        <w:tblCellMar>
          <w:top w:w="0" w:type="dxa"/>
          <w:left w:w="108" w:type="dxa"/>
          <w:bottom w:w="0" w:type="dxa"/>
          <w:right w:w="108" w:type="dxa"/>
        </w:tblCellMar>
        <w:tblLook w:firstRow="1" w:noVBand="1" w:lastRow="0" w:firstColumn="1" w:lastColumn="0" w:noHBand="0" w:val="04a0"/>
      </w:tblPr>
      <w:tblGrid>
        <w:gridCol w:w="4696"/>
        <w:gridCol w:w="4373"/>
      </w:tblGrid>
      <w:tr>
        <w:trPr/>
        <w:tc>
          <w:tcPr>
            <w:tcW w:w="9069"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160"/>
              <w:jc w:val="center"/>
              <w:rPr>
                <w:b/>
                <w:b/>
                <w:sz w:val="20"/>
                <w:szCs w:val="20"/>
              </w:rPr>
            </w:pPr>
            <w:r>
              <w:rPr>
                <w:b/>
                <w:sz w:val="20"/>
                <w:szCs w:val="20"/>
              </w:rPr>
              <w:t>Grad Buje</w:t>
            </w:r>
          </w:p>
        </w:tc>
      </w:tr>
      <w:tr>
        <w:trPr/>
        <w:tc>
          <w:tcPr>
            <w:tcW w:w="46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Ukupan broj stanova</w:t>
            </w:r>
          </w:p>
        </w:tc>
        <w:tc>
          <w:tcPr>
            <w:tcW w:w="437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3.126</w:t>
            </w:r>
          </w:p>
        </w:tc>
      </w:tr>
      <w:tr>
        <w:trPr/>
        <w:tc>
          <w:tcPr>
            <w:tcW w:w="46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Ukupan broj kućanstava</w:t>
            </w:r>
          </w:p>
        </w:tc>
        <w:tc>
          <w:tcPr>
            <w:tcW w:w="437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1.770</w:t>
            </w:r>
          </w:p>
        </w:tc>
      </w:tr>
      <w:tr>
        <w:trPr/>
        <w:tc>
          <w:tcPr>
            <w:tcW w:w="46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Prosječan broj osoba u kućanstvu</w:t>
            </w:r>
          </w:p>
        </w:tc>
        <w:tc>
          <w:tcPr>
            <w:tcW w:w="437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jc w:val="center"/>
              <w:rPr>
                <w:sz w:val="20"/>
                <w:szCs w:val="20"/>
              </w:rPr>
            </w:pPr>
            <w:r>
              <w:rPr>
                <w:sz w:val="20"/>
                <w:szCs w:val="20"/>
              </w:rPr>
              <w:t>2,51</w:t>
            </w:r>
          </w:p>
        </w:tc>
      </w:tr>
    </w:tbl>
    <w:p>
      <w:pPr>
        <w:pStyle w:val="Normal"/>
        <w:spacing w:before="120" w:after="120"/>
        <w:jc w:val="center"/>
        <w:rPr>
          <w:i/>
          <w:i/>
          <w:color w:val="54883D"/>
          <w:sz w:val="20"/>
          <w:szCs w:val="18"/>
        </w:rPr>
      </w:pPr>
      <w:r>
        <w:rPr>
          <w:i/>
          <w:color w:val="54883D"/>
          <w:sz w:val="20"/>
          <w:szCs w:val="18"/>
        </w:rPr>
        <w:t>Izvor podataka: DZZS, Popis stanovništva 2021.</w:t>
      </w:r>
    </w:p>
    <w:p>
      <w:pPr>
        <w:pStyle w:val="Normal"/>
        <w:rPr>
          <w:lang w:bidi="en-US"/>
        </w:rPr>
      </w:pPr>
      <w:r>
        <w:rPr>
          <w:lang w:bidi="en-US"/>
        </w:rPr>
      </w:r>
    </w:p>
    <w:p>
      <w:pPr>
        <w:pStyle w:val="Normal"/>
        <w:spacing w:before="120" w:after="120"/>
        <w:rPr>
          <w:i/>
          <w:i/>
          <w:iCs/>
          <w:color w:val="54883D"/>
          <w:highlight w:val="yellow"/>
        </w:rPr>
      </w:pPr>
      <w:r>
        <w:rPr>
          <w:i/>
          <w:iCs/>
          <w:color w:val="54883D"/>
          <w:highlight w:val="yellow"/>
        </w:rPr>
      </w:r>
    </w:p>
    <w:p>
      <w:pPr>
        <w:pStyle w:val="Stilnaslova3"/>
        <w:numPr>
          <w:ilvl w:val="2"/>
          <w:numId w:val="2"/>
        </w:numPr>
        <w:ind w:left="709" w:hanging="721"/>
        <w:rPr/>
      </w:pPr>
      <w:bookmarkStart w:id="35" w:name="_Toc99955659"/>
      <w:bookmarkStart w:id="36" w:name="_Toc116990107"/>
      <w:r>
        <w:rPr/>
        <w:t>Broj, vrsta (namjena) i starost građevina</w:t>
      </w:r>
      <w:bookmarkEnd w:id="35"/>
      <w:bookmarkEnd w:id="36"/>
    </w:p>
    <w:p>
      <w:pPr>
        <w:pStyle w:val="Normal"/>
        <w:rPr>
          <w:color w:val="auto"/>
        </w:rPr>
      </w:pPr>
      <w:r>
        <w:rPr>
          <w:color w:val="auto"/>
        </w:rPr>
        <w:t>Sustavni podaci za broj zgrada u pojedinoj kategoriji za sada ne postoje pa se ovi podaci temelje na Procjene ugroženosti stanovništva, materijalnih i kulturnih dobara te okoliša za područje Grada Buja:</w:t>
      </w:r>
    </w:p>
    <w:p>
      <w:pPr>
        <w:pStyle w:val="Normal"/>
        <w:numPr>
          <w:ilvl w:val="0"/>
          <w:numId w:val="13"/>
        </w:numPr>
        <w:spacing w:before="120" w:after="120"/>
        <w:contextualSpacing/>
        <w:jc w:val="left"/>
        <w:rPr>
          <w:rFonts w:eastAsia="Calibri" w:eastAsiaTheme="minorHAnsi"/>
          <w:bCs/>
          <w:color w:val="auto"/>
          <w:szCs w:val="22"/>
        </w:rPr>
      </w:pPr>
      <w:r>
        <w:rPr>
          <w:rFonts w:eastAsia="Calibri" w:eastAsiaTheme="minorHAnsi"/>
          <w:bCs/>
          <w:color w:val="auto"/>
          <w:szCs w:val="22"/>
        </w:rPr>
        <w:t>20 % objekta zidane zgrade Tip I (zgrade zidane do 1940. godine)</w:t>
      </w:r>
    </w:p>
    <w:p>
      <w:pPr>
        <w:pStyle w:val="Normal"/>
        <w:numPr>
          <w:ilvl w:val="0"/>
          <w:numId w:val="13"/>
        </w:numPr>
        <w:spacing w:before="120" w:after="120"/>
        <w:contextualSpacing/>
        <w:jc w:val="left"/>
        <w:rPr>
          <w:rFonts w:eastAsia="Calibri" w:eastAsiaTheme="minorHAnsi"/>
          <w:bCs/>
          <w:color w:val="auto"/>
          <w:szCs w:val="22"/>
        </w:rPr>
      </w:pPr>
      <w:r>
        <w:rPr>
          <w:rFonts w:eastAsia="Calibri" w:eastAsiaTheme="minorHAnsi"/>
          <w:bCs/>
          <w:color w:val="auto"/>
          <w:szCs w:val="22"/>
        </w:rPr>
        <w:t>15 % objekta zidane zgrade s armirano betonskim serklažima Tip II (od 1945-tih godina do 1960-tih godina)</w:t>
      </w:r>
    </w:p>
    <w:p>
      <w:pPr>
        <w:pStyle w:val="Normal"/>
        <w:numPr>
          <w:ilvl w:val="0"/>
          <w:numId w:val="13"/>
        </w:numPr>
        <w:spacing w:before="120" w:after="120"/>
        <w:contextualSpacing/>
        <w:jc w:val="left"/>
        <w:rPr>
          <w:rFonts w:eastAsia="Calibri" w:eastAsiaTheme="minorHAnsi"/>
          <w:bCs/>
          <w:color w:val="auto"/>
          <w:szCs w:val="22"/>
        </w:rPr>
      </w:pPr>
      <w:r>
        <w:rPr>
          <w:rFonts w:eastAsia="Calibri" w:eastAsiaTheme="minorHAnsi"/>
          <w:bCs/>
          <w:color w:val="auto"/>
          <w:szCs w:val="22"/>
        </w:rPr>
        <w:t>35 % objekta armiranobetonske skeletne zgrade Tip III (od 1960-tih godina do danas)</w:t>
      </w:r>
    </w:p>
    <w:p>
      <w:pPr>
        <w:pStyle w:val="Normal"/>
        <w:numPr>
          <w:ilvl w:val="0"/>
          <w:numId w:val="13"/>
        </w:numPr>
        <w:spacing w:before="120" w:after="120"/>
        <w:contextualSpacing/>
        <w:jc w:val="left"/>
        <w:rPr>
          <w:rFonts w:eastAsia="Calibri" w:eastAsiaTheme="minorHAnsi"/>
          <w:bCs/>
          <w:color w:val="auto"/>
          <w:szCs w:val="22"/>
        </w:rPr>
      </w:pPr>
      <w:r>
        <w:rPr>
          <w:rFonts w:eastAsia="Calibri" w:eastAsiaTheme="minorHAnsi"/>
          <w:bCs/>
          <w:color w:val="auto"/>
          <w:szCs w:val="22"/>
        </w:rPr>
        <w:t>20% zgrade sa sustavom armiranobetonskih nosivih zidova Tip IV (od 1960-tih godina do danas)</w:t>
      </w:r>
    </w:p>
    <w:p>
      <w:pPr>
        <w:pStyle w:val="Normal"/>
        <w:numPr>
          <w:ilvl w:val="0"/>
          <w:numId w:val="13"/>
        </w:numPr>
        <w:spacing w:before="120" w:after="120"/>
        <w:contextualSpacing/>
        <w:jc w:val="left"/>
        <w:rPr>
          <w:rFonts w:eastAsia="Calibri" w:eastAsiaTheme="minorHAnsi"/>
          <w:bCs/>
          <w:color w:val="auto"/>
          <w:szCs w:val="22"/>
        </w:rPr>
      </w:pPr>
      <w:r>
        <w:rPr>
          <w:rFonts w:eastAsia="Calibri" w:eastAsiaTheme="minorHAnsi"/>
          <w:bCs/>
          <w:color w:val="auto"/>
          <w:szCs w:val="22"/>
        </w:rPr>
        <w:t>10 % skeletne zgrade s armiranobetonskim nosivim zidovima Tip V (od 1960-tih godina do danas)</w:t>
      </w:r>
    </w:p>
    <w:p>
      <w:pPr>
        <w:pStyle w:val="Normal"/>
        <w:spacing w:before="120" w:after="120"/>
        <w:rPr>
          <w:i/>
          <w:i/>
          <w:iCs/>
          <w:color w:val="54883D"/>
          <w:highlight w:val="yellow"/>
        </w:rPr>
      </w:pPr>
      <w:r>
        <w:rPr>
          <w:i/>
          <w:iCs/>
          <w:color w:val="54883D"/>
          <w:highlight w:val="yellow"/>
        </w:rPr>
      </w:r>
    </w:p>
    <w:p>
      <w:pPr>
        <w:pStyle w:val="Stilnaslova2"/>
        <w:numPr>
          <w:ilvl w:val="1"/>
          <w:numId w:val="2"/>
        </w:numPr>
        <w:rPr/>
      </w:pPr>
      <w:bookmarkStart w:id="37" w:name="_Toc99955660"/>
      <w:bookmarkStart w:id="38" w:name="_Toc116990108"/>
      <w:r>
        <w:rPr/>
        <w:t>Ekonomsko – gospodarski pokazatelji</w:t>
      </w:r>
      <w:bookmarkEnd w:id="37"/>
      <w:bookmarkEnd w:id="38"/>
    </w:p>
    <w:p>
      <w:pPr>
        <w:pStyle w:val="Stilnaslova3"/>
        <w:numPr>
          <w:ilvl w:val="2"/>
          <w:numId w:val="2"/>
        </w:numPr>
        <w:ind w:left="709" w:hanging="721"/>
        <w:rPr/>
      </w:pPr>
      <w:bookmarkStart w:id="39" w:name="_Toc99955661"/>
      <w:bookmarkStart w:id="40" w:name="_Toc116990109"/>
      <w:r>
        <w:rPr/>
        <w:t>Broj zaposlenih i mjesta zaposlenja</w:t>
      </w:r>
      <w:bookmarkEnd w:id="39"/>
      <w:bookmarkEnd w:id="40"/>
    </w:p>
    <w:p>
      <w:pPr>
        <w:pStyle w:val="Normal"/>
        <w:spacing w:before="120" w:after="120"/>
        <w:rPr>
          <w:i/>
          <w:i/>
          <w:iCs/>
          <w:color w:val="54883D"/>
        </w:rPr>
      </w:pPr>
      <w:r>
        <w:rPr/>
        <w:t>Radno sposobno stanovništvo čine osobe između 15. i 64. godine života.</w:t>
      </w:r>
    </w:p>
    <w:p>
      <w:pPr>
        <w:pStyle w:val="Normal"/>
        <w:spacing w:before="120" w:after="120"/>
        <w:rPr/>
      </w:pPr>
      <w:r>
        <w:rPr/>
        <w:t>U slijedećoj tablici prikazana je raspodjela zaposlenog stanovništva Grada Buje po području djelatnosti.</w:t>
      </w:r>
    </w:p>
    <w:p>
      <w:pPr>
        <w:pStyle w:val="Normal"/>
        <w:spacing w:before="0" w:after="24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3</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Raspodjela zaposlenog stanovništva Grada Buje po području djelatnosti</w:t>
      </w:r>
    </w:p>
    <w:tbl>
      <w:tblPr>
        <w:tblW w:w="5000" w:type="pct"/>
        <w:jc w:val="center"/>
        <w:tblInd w:w="0" w:type="dxa"/>
        <w:tblCellMar>
          <w:top w:w="0" w:type="dxa"/>
          <w:left w:w="30" w:type="dxa"/>
          <w:bottom w:w="0" w:type="dxa"/>
          <w:right w:w="30" w:type="dxa"/>
        </w:tblCellMar>
        <w:tblLook w:firstRow="1" w:noVBand="1" w:lastRow="0" w:firstColumn="1" w:lastColumn="0" w:noHBand="0" w:val="04a0"/>
      </w:tblPr>
      <w:tblGrid>
        <w:gridCol w:w="2544"/>
        <w:gridCol w:w="555"/>
        <w:gridCol w:w="605"/>
        <w:gridCol w:w="478"/>
        <w:gridCol w:w="479"/>
        <w:gridCol w:w="480"/>
        <w:gridCol w:w="478"/>
        <w:gridCol w:w="479"/>
        <w:gridCol w:w="479"/>
        <w:gridCol w:w="478"/>
        <w:gridCol w:w="479"/>
        <w:gridCol w:w="478"/>
        <w:gridCol w:w="479"/>
        <w:gridCol w:w="578"/>
      </w:tblGrid>
      <w:tr>
        <w:trPr>
          <w:tblHeader w:val="true"/>
          <w:trHeight w:val="507" w:hRule="atLeast"/>
          <w:cantSplit w:val="true"/>
        </w:trPr>
        <w:tc>
          <w:tcPr>
            <w:tcW w:w="2544"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Područje djelatnosti</w:t>
            </w:r>
          </w:p>
        </w:tc>
        <w:tc>
          <w:tcPr>
            <w:tcW w:w="55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18"/>
                <w:szCs w:val="20"/>
                <w:lang w:eastAsia="hr-HR"/>
              </w:rPr>
            </w:pPr>
            <w:r>
              <w:rPr>
                <w:b/>
                <w:color w:val="000000"/>
                <w:sz w:val="18"/>
                <w:szCs w:val="20"/>
                <w:lang w:eastAsia="hr-HR"/>
              </w:rPr>
              <w:t>SPOL</w:t>
            </w:r>
          </w:p>
        </w:tc>
        <w:tc>
          <w:tcPr>
            <w:tcW w:w="60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18"/>
                <w:szCs w:val="20"/>
                <w:lang w:eastAsia="hr-HR"/>
              </w:rPr>
            </w:pPr>
            <w:r>
              <w:rPr>
                <w:b/>
                <w:color w:val="000000"/>
                <w:sz w:val="18"/>
                <w:szCs w:val="20"/>
                <w:lang w:eastAsia="hr-HR"/>
              </w:rPr>
              <w:t>UK.</w:t>
            </w:r>
          </w:p>
        </w:tc>
        <w:tc>
          <w:tcPr>
            <w:tcW w:w="47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15-19</w:t>
            </w:r>
          </w:p>
        </w:tc>
        <w:tc>
          <w:tcPr>
            <w:tcW w:w="47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20-24</w:t>
            </w:r>
          </w:p>
        </w:tc>
        <w:tc>
          <w:tcPr>
            <w:tcW w:w="48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25-29</w:t>
            </w:r>
          </w:p>
        </w:tc>
        <w:tc>
          <w:tcPr>
            <w:tcW w:w="47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30-34</w:t>
            </w:r>
          </w:p>
        </w:tc>
        <w:tc>
          <w:tcPr>
            <w:tcW w:w="47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35-39</w:t>
            </w:r>
          </w:p>
        </w:tc>
        <w:tc>
          <w:tcPr>
            <w:tcW w:w="47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40-44</w:t>
            </w:r>
          </w:p>
        </w:tc>
        <w:tc>
          <w:tcPr>
            <w:tcW w:w="47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45-49</w:t>
            </w:r>
          </w:p>
        </w:tc>
        <w:tc>
          <w:tcPr>
            <w:tcW w:w="47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50-54</w:t>
            </w:r>
          </w:p>
        </w:tc>
        <w:tc>
          <w:tcPr>
            <w:tcW w:w="47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55-59</w:t>
            </w:r>
          </w:p>
        </w:tc>
        <w:tc>
          <w:tcPr>
            <w:tcW w:w="47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60-64</w:t>
            </w:r>
          </w:p>
        </w:tc>
        <w:tc>
          <w:tcPr>
            <w:tcW w:w="57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40" w:before="80" w:after="120"/>
              <w:jc w:val="center"/>
              <w:rPr>
                <w:b/>
                <w:b/>
                <w:color w:val="000000"/>
                <w:sz w:val="20"/>
                <w:szCs w:val="20"/>
                <w:lang w:eastAsia="hr-HR"/>
              </w:rPr>
            </w:pPr>
            <w:r>
              <w:rPr>
                <w:b/>
                <w:color w:val="000000"/>
                <w:sz w:val="20"/>
                <w:szCs w:val="20"/>
                <w:lang w:eastAsia="hr-HR"/>
              </w:rPr>
              <w:t>65-69 i više</w:t>
            </w:r>
          </w:p>
        </w:tc>
      </w:tr>
      <w:tr>
        <w:trPr>
          <w:trHeight w:val="507" w:hRule="atLeas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b/>
                <w:b/>
                <w:color w:val="000000"/>
                <w:sz w:val="20"/>
                <w:szCs w:val="20"/>
                <w:lang w:eastAsia="hr-HR"/>
              </w:rPr>
            </w:pPr>
            <w:r>
              <w:rPr>
                <w:b/>
                <w:color w:val="000000"/>
                <w:sz w:val="20"/>
                <w:szCs w:val="20"/>
                <w:lang w:eastAsia="hr-HR"/>
              </w:rPr>
              <w:t>Ukupno</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2.193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274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67</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r>
      <w:tr>
        <w:trPr>
          <w:trHeight w:val="507" w:hRule="atLeas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b/>
                <w:b/>
                <w:color w:val="000000"/>
                <w:sz w:val="20"/>
                <w:szCs w:val="20"/>
                <w:lang w:eastAsia="hr-HR"/>
              </w:rPr>
            </w:pPr>
            <w:r>
              <w:rPr>
                <w:b/>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1.245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93</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172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192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45</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r>
      <w:tr>
        <w:trPr>
          <w:trHeight w:val="507" w:hRule="atLeas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b/>
                <w:b/>
                <w:color w:val="000000"/>
                <w:sz w:val="20"/>
                <w:szCs w:val="20"/>
                <w:lang w:eastAsia="hr-HR"/>
              </w:rPr>
            </w:pPr>
            <w:r>
              <w:rPr>
                <w:b/>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948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69</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696"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Poljoprivreda, šumarstvo i ribarstvo</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Rudarstvo i vađenje</w:t>
            </w:r>
          </w:p>
        </w:tc>
        <w:tc>
          <w:tcPr>
            <w:tcW w:w="555" w:type="dxa"/>
            <w:tcBorders>
              <w:top w:val="single" w:sz="4" w:space="0" w:color="54883D"/>
              <w:left w:val="single" w:sz="4" w:space="0" w:color="54883D"/>
              <w:bottom w:val="single" w:sz="4" w:space="0" w:color="54883D"/>
              <w:right w:val="single" w:sz="4" w:space="0" w:color="54883D"/>
            </w:tcBorders>
            <w:shd w:color="000000" w:fill="FFFFFF" w:val="clear"/>
            <w:vAlign w:val="center"/>
          </w:tcPr>
          <w:p>
            <w:pPr>
              <w:pStyle w:val="BodyText2"/>
              <w:spacing w:lineRule="auto" w:line="276" w:before="80" w:after="0"/>
              <w:jc w:val="center"/>
              <w:rPr>
                <w:color w:val="000000"/>
                <w:sz w:val="20"/>
                <w:szCs w:val="20"/>
                <w:lang w:eastAsia="hr-HR"/>
              </w:rPr>
            </w:pPr>
            <w:r>
              <w:rPr>
                <w:color w:val="000000"/>
                <w:sz w:val="20"/>
                <w:szCs w:val="20"/>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000000" w:fill="FFFFFF" w:val="clear"/>
            <w:vAlign w:val="center"/>
          </w:tcPr>
          <w:p>
            <w:pPr>
              <w:pStyle w:val="BodyText2"/>
              <w:spacing w:lineRule="auto" w:line="276" w:before="80" w:after="0"/>
              <w:jc w:val="center"/>
              <w:rPr>
                <w:color w:val="000000"/>
                <w:sz w:val="20"/>
                <w:szCs w:val="20"/>
                <w:lang w:eastAsia="hr-HR"/>
              </w:rPr>
            </w:pPr>
            <w:r>
              <w:rPr>
                <w:color w:val="000000"/>
                <w:sz w:val="20"/>
                <w:szCs w:val="20"/>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000000" w:fill="FFFFFF" w:val="clear"/>
            <w:vAlign w:val="center"/>
          </w:tcPr>
          <w:p>
            <w:pPr>
              <w:pStyle w:val="BodyText2"/>
              <w:spacing w:lineRule="auto" w:line="276" w:before="80" w:after="0"/>
              <w:jc w:val="center"/>
              <w:rPr>
                <w:color w:val="000000"/>
                <w:sz w:val="20"/>
                <w:szCs w:val="20"/>
                <w:lang w:eastAsia="hr-HR"/>
              </w:rPr>
            </w:pPr>
            <w:r>
              <w:rPr>
                <w:color w:val="000000"/>
                <w:sz w:val="20"/>
                <w:szCs w:val="20"/>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387"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Prerađivačka industrija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422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38</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387"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270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387"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1"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Opskrba električnom energijom, plinom, parom i klimatizacija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0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562"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shd w:fill="FFFFFF" w:val="clear"/>
              </w:rPr>
              <w:t>Opskrba vodom, uklanjanje otpadnih voda, gospodarenje otpadom te djelatnost sanacije okoliša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332"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Građevinarstvo</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33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217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33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9"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Trgovina na veliko i malo, popravak motornih vozila i motocikala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272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41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410"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63"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Prijevoz i skladištenje</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63"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63"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78"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Djelatnost pružanja smještaja te pripreme i usluživanja hrane</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306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37</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179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42"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Informacije i komunikacije</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4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4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534"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Financijske djelatnosti i djelatnosti osiguranja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7"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Poslovanje nekretninama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7"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7"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96"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Stručne, znanstvene i tehničke djelatnosti</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09"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0"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Administrativne i pomoćne uslužne djelatnosti</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2"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3"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Javna uprava i obrana, obvezno socijalno osiguranje</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8"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6"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Obrazovanje</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26</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8"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Djelatnosti zdravstvene zaštite i socijalne skrbi</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9</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4"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26"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48</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8</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4"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Umjetnost, zabava i rekreacija</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4"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10</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14"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r>
        <w:trPr>
          <w:trHeight w:val="433" w:hRule="exact"/>
          <w:cantSplit w:val="true"/>
        </w:trPr>
        <w:tc>
          <w:tcPr>
            <w:tcW w:w="25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shd w:fill="FFFFFF" w:val="clear"/>
              </w:rPr>
              <w:t>Ostale uslužne djelatnosti</w:t>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sv.</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39</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6</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7</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433"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m</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4</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r>
      <w:tr>
        <w:trPr>
          <w:trHeight w:val="433" w:hRule="exact"/>
          <w:cantSplit w:val="true"/>
        </w:trPr>
        <w:tc>
          <w:tcPr>
            <w:tcW w:w="25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highlight w:val="white"/>
              </w:rPr>
            </w:pPr>
            <w:r>
              <w:rPr>
                <w:color w:val="000000"/>
                <w:sz w:val="20"/>
                <w:szCs w:val="20"/>
                <w:highlight w:val="white"/>
              </w:rPr>
            </w:r>
          </w:p>
        </w:tc>
        <w:tc>
          <w:tcPr>
            <w:tcW w:w="55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BodyText2"/>
              <w:spacing w:lineRule="auto" w:line="276" w:before="80" w:after="0"/>
              <w:jc w:val="center"/>
              <w:rPr>
                <w:color w:val="000000"/>
                <w:sz w:val="20"/>
                <w:szCs w:val="20"/>
                <w:lang w:eastAsia="hr-HR"/>
              </w:rPr>
            </w:pPr>
            <w:r>
              <w:rPr>
                <w:color w:val="000000"/>
                <w:sz w:val="20"/>
                <w:szCs w:val="20"/>
                <w:lang w:eastAsia="hr-HR"/>
              </w:rPr>
              <w:t>ž</w:t>
            </w:r>
          </w:p>
        </w:tc>
        <w:tc>
          <w:tcPr>
            <w:tcW w:w="605"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25</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80"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5</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2</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3</w:t>
            </w:r>
          </w:p>
        </w:tc>
        <w:tc>
          <w:tcPr>
            <w:tcW w:w="4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1</w:t>
            </w:r>
          </w:p>
        </w:tc>
        <w:tc>
          <w:tcPr>
            <w:tcW w:w="479"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c>
          <w:tcPr>
            <w:tcW w:w="578" w:type="dxa"/>
            <w:tcBorders>
              <w:top w:val="single" w:sz="4" w:space="0" w:color="54883D"/>
              <w:left w:val="single" w:sz="4" w:space="0" w:color="54883D"/>
              <w:bottom w:val="single" w:sz="4" w:space="0" w:color="54883D"/>
              <w:right w:val="single" w:sz="4" w:space="0" w:color="54883D"/>
            </w:tcBorders>
            <w:shd w:color="auto" w:fill="FFFFFF" w:themeFill="background1" w:val="clear"/>
            <w:vAlign w:val="center"/>
          </w:tcPr>
          <w:p>
            <w:pPr>
              <w:pStyle w:val="Normal"/>
              <w:spacing w:before="80" w:after="0"/>
              <w:jc w:val="center"/>
              <w:rPr>
                <w:color w:val="000000"/>
                <w:sz w:val="20"/>
                <w:szCs w:val="20"/>
              </w:rPr>
            </w:pPr>
            <w:r>
              <w:rPr>
                <w:rFonts w:ascii="Arial Narrow" w:hAnsi="Arial Narrow"/>
                <w:color w:val="000000"/>
                <w:sz w:val="20"/>
                <w:szCs w:val="20"/>
              </w:rPr>
              <w:t>-</w:t>
            </w:r>
          </w:p>
        </w:tc>
      </w:tr>
    </w:tbl>
    <w:p>
      <w:pPr>
        <w:pStyle w:val="Normal"/>
        <w:spacing w:before="120" w:after="120"/>
        <w:jc w:val="center"/>
        <w:rPr>
          <w:i/>
          <w:i/>
          <w:color w:val="54883D"/>
          <w:sz w:val="20"/>
          <w:szCs w:val="18"/>
        </w:rPr>
      </w:pPr>
      <w:r>
        <w:rPr>
          <w:i/>
          <w:color w:val="54883D"/>
          <w:sz w:val="20"/>
          <w:szCs w:val="18"/>
        </w:rPr>
        <w:t>Izvor podataka: DZZS, Popis stanovništva 2011.</w:t>
      </w:r>
    </w:p>
    <w:p>
      <w:pPr>
        <w:pStyle w:val="Normal"/>
        <w:spacing w:before="120" w:after="120"/>
        <w:rPr>
          <w:i/>
          <w:i/>
          <w:iCs/>
          <w:color w:val="54883D"/>
          <w:highlight w:val="yellow"/>
        </w:rPr>
      </w:pPr>
      <w:r>
        <w:rPr>
          <w:i/>
          <w:iCs/>
          <w:color w:val="54883D"/>
          <w:highlight w:val="yellow"/>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Stilnaslova3"/>
        <w:numPr>
          <w:ilvl w:val="2"/>
          <w:numId w:val="2"/>
        </w:numPr>
        <w:ind w:left="709" w:hanging="721"/>
        <w:rPr/>
      </w:pPr>
      <w:bookmarkStart w:id="41" w:name="_Toc99955662"/>
      <w:bookmarkStart w:id="42" w:name="_Toc116990110"/>
      <w:r>
        <w:rPr/>
        <w:t>Proračun Grada Buja</w:t>
      </w:r>
      <w:bookmarkEnd w:id="41"/>
      <w:bookmarkEnd w:id="42"/>
    </w:p>
    <w:p>
      <w:pPr>
        <w:pStyle w:val="Normal"/>
        <w:rPr>
          <w:lang w:eastAsia="hr-HR"/>
        </w:rPr>
      </w:pPr>
      <w:r>
        <w:rPr>
          <w:lang w:eastAsia="hr-HR"/>
        </w:rPr>
        <w:t>Gradsko vijeće Grada Buja donijelo je Proračun Grada Buja za 2022. godinu</w:t>
      </w:r>
      <w:r>
        <w:rPr/>
        <w:t>.</w:t>
      </w:r>
    </w:p>
    <w:p>
      <w:pPr>
        <w:pStyle w:val="Normal"/>
        <w:spacing w:before="0" w:after="24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4</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Proračun Grada Buja</w:t>
      </w:r>
    </w:p>
    <w:tbl>
      <w:tblPr>
        <w:tblStyle w:val="TableGrid"/>
        <w:tblW w:w="5000" w:type="pct"/>
        <w:jc w:val="center"/>
        <w:tblInd w:w="0" w:type="dxa"/>
        <w:tblCellMar>
          <w:top w:w="0" w:type="dxa"/>
          <w:left w:w="108" w:type="dxa"/>
          <w:bottom w:w="0" w:type="dxa"/>
          <w:right w:w="108" w:type="dxa"/>
        </w:tblCellMar>
        <w:tblLook w:firstRow="1" w:noVBand="1" w:lastRow="0" w:firstColumn="1" w:lastColumn="0" w:noHBand="0" w:val="04a0"/>
      </w:tblPr>
      <w:tblGrid>
        <w:gridCol w:w="7338"/>
        <w:gridCol w:w="1731"/>
      </w:tblGrid>
      <w:tr>
        <w:trPr/>
        <w:tc>
          <w:tcPr>
            <w:tcW w:w="7338" w:type="dxa"/>
            <w:tcBorders>
              <w:top w:val="nil"/>
              <w:left w:val="nil"/>
              <w:bottom w:val="single" w:sz="4" w:space="0" w:color="54883D"/>
              <w:right w:val="single" w:sz="4" w:space="0" w:color="54883D"/>
            </w:tcBorders>
            <w:vAlign w:val="center"/>
          </w:tcPr>
          <w:p>
            <w:pPr>
              <w:pStyle w:val="BodyText2"/>
              <w:spacing w:lineRule="auto" w:line="276" w:before="80" w:after="120"/>
              <w:jc w:val="center"/>
              <w:rPr>
                <w:b/>
                <w:b/>
                <w:color w:val="000000"/>
                <w:sz w:val="18"/>
                <w:szCs w:val="20"/>
                <w:highlight w:val="yellow"/>
              </w:rPr>
            </w:pPr>
            <w:r>
              <w:rPr>
                <w:b/>
                <w:color w:val="000000"/>
                <w:sz w:val="18"/>
                <w:szCs w:val="20"/>
                <w:highlight w:val="yellow"/>
              </w:rPr>
            </w:r>
          </w:p>
        </w:tc>
        <w:tc>
          <w:tcPr>
            <w:tcW w:w="1731"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b/>
                <w:b/>
                <w:color w:val="000000"/>
                <w:sz w:val="18"/>
                <w:szCs w:val="20"/>
                <w:highlight w:val="yellow"/>
              </w:rPr>
            </w:pPr>
            <w:r>
              <w:rPr>
                <w:b/>
                <w:color w:val="000000"/>
                <w:sz w:val="18"/>
                <w:szCs w:val="20"/>
                <w:lang w:eastAsia="hr-HR"/>
              </w:rPr>
              <w:t>2022.</w:t>
            </w:r>
          </w:p>
        </w:tc>
      </w:tr>
      <w:tr>
        <w:trPr>
          <w:trHeight w:val="428" w:hRule="atLeast"/>
        </w:trPr>
        <w:tc>
          <w:tcPr>
            <w:tcW w:w="733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BodyText2"/>
              <w:spacing w:lineRule="auto" w:line="276" w:before="80" w:after="120"/>
              <w:jc w:val="center"/>
              <w:rPr>
                <w:b/>
                <w:b/>
                <w:color w:val="000000"/>
                <w:sz w:val="20"/>
                <w:szCs w:val="20"/>
              </w:rPr>
            </w:pPr>
            <w:r>
              <w:rPr>
                <w:b/>
                <w:color w:val="000000"/>
                <w:sz w:val="20"/>
                <w:szCs w:val="20"/>
                <w:lang w:eastAsia="hr-HR"/>
              </w:rPr>
              <w:t>A. RAČUN PRIHODA I RASHODA</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color w:val="000000"/>
                <w:sz w:val="20"/>
                <w:szCs w:val="20"/>
              </w:rPr>
            </w:pPr>
            <w:r>
              <w:rPr>
                <w:color w:val="000000"/>
                <w:sz w:val="20"/>
                <w:szCs w:val="20"/>
                <w:lang w:eastAsia="hr-HR"/>
              </w:rPr>
              <w:t>Iznos u kunama</w:t>
            </w:r>
          </w:p>
        </w:tc>
      </w:tr>
      <w:tr>
        <w:trPr>
          <w:trHeight w:val="427" w:hRule="atLeast"/>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color w:val="FF0000"/>
                <w:sz w:val="20"/>
                <w:szCs w:val="20"/>
              </w:rPr>
            </w:pPr>
            <w:r>
              <w:rPr>
                <w:color w:val="000000"/>
                <w:sz w:val="20"/>
                <w:szCs w:val="20"/>
                <w:lang w:eastAsia="hr-HR"/>
              </w:rPr>
              <w:t>Prihodi poslovanja</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color w:val="FF0000"/>
                <w:sz w:val="20"/>
                <w:szCs w:val="20"/>
              </w:rPr>
            </w:pPr>
            <w:r>
              <w:rPr>
                <w:rFonts w:eastAsia="Times New Roman" w:cs="Times New Roman" w:ascii="Times New Roman" w:hAnsi="Times New Roman"/>
                <w:bCs/>
                <w:color w:val="000000"/>
                <w:sz w:val="18"/>
                <w:szCs w:val="18"/>
                <w:lang w:eastAsia="hr-HR"/>
              </w:rPr>
              <w:t>35.753.274,68</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center"/>
              <w:rPr>
                <w:color w:val="FF0000"/>
                <w:sz w:val="20"/>
                <w:szCs w:val="20"/>
              </w:rPr>
            </w:pPr>
            <w:r>
              <w:rPr>
                <w:rFonts w:eastAsia="Times New Roman" w:cs="Times New Roman" w:ascii="Times New Roman" w:hAnsi="Times New Roman"/>
                <w:color w:val="000000"/>
                <w:sz w:val="20"/>
                <w:szCs w:val="20"/>
                <w:lang w:eastAsia="hr-HR"/>
              </w:rPr>
              <w:t>Prihodi od prodaje nefinancijske imovine</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jc w:val="right"/>
              <w:rPr>
                <w:color w:val="FF0000"/>
                <w:sz w:val="20"/>
                <w:szCs w:val="20"/>
              </w:rPr>
            </w:pPr>
            <w:r>
              <w:rPr>
                <w:rFonts w:eastAsia="Times New Roman" w:cs="Times New Roman" w:ascii="Times New Roman" w:hAnsi="Times New Roman"/>
                <w:bCs/>
                <w:color w:val="000000"/>
                <w:sz w:val="18"/>
                <w:szCs w:val="18"/>
                <w:lang w:eastAsia="hr-HR"/>
              </w:rPr>
              <w:t>9.250.000,00</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center"/>
              <w:rPr>
                <w:color w:val="FF0000"/>
                <w:sz w:val="20"/>
                <w:szCs w:val="20"/>
              </w:rPr>
            </w:pPr>
            <w:r>
              <w:rPr>
                <w:rFonts w:eastAsia="Times New Roman" w:cs="Times New Roman" w:ascii="Times New Roman" w:hAnsi="Times New Roman"/>
                <w:color w:val="000000"/>
                <w:sz w:val="20"/>
                <w:szCs w:val="20"/>
                <w:lang w:eastAsia="hr-HR"/>
              </w:rPr>
              <w:t>Primici od financijske imovine i otplate zajmova</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jc w:val="right"/>
              <w:rPr>
                <w:color w:val="FF0000"/>
                <w:sz w:val="20"/>
                <w:szCs w:val="20"/>
              </w:rPr>
            </w:pPr>
            <w:r>
              <w:rPr>
                <w:rFonts w:eastAsia="Times New Roman" w:cs="Times New Roman" w:ascii="Times New Roman" w:hAnsi="Times New Roman"/>
                <w:color w:val="000000"/>
                <w:sz w:val="20"/>
                <w:szCs w:val="20"/>
                <w:lang w:eastAsia="hr-HR"/>
              </w:rPr>
              <w:t>7.500.000,00</w:t>
            </w:r>
          </w:p>
        </w:tc>
      </w:tr>
      <w:tr>
        <w:trPr>
          <w:trHeight w:val="496" w:hRule="atLeast"/>
        </w:trPr>
        <w:tc>
          <w:tcPr>
            <w:tcW w:w="733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0" w:after="0"/>
              <w:jc w:val="center"/>
              <w:rPr>
                <w:b/>
                <w:b/>
                <w:color w:val="FF0000"/>
                <w:sz w:val="20"/>
                <w:szCs w:val="20"/>
              </w:rPr>
            </w:pPr>
            <w:r>
              <w:rPr>
                <w:rFonts w:eastAsia="Times New Roman" w:cs="Times New Roman" w:ascii="Times New Roman" w:hAnsi="Times New Roman"/>
                <w:b/>
                <w:color w:val="000000"/>
                <w:sz w:val="20"/>
                <w:szCs w:val="20"/>
                <w:lang w:eastAsia="hr-HR"/>
              </w:rPr>
              <w:t>UKUPNI PRIHODI</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b/>
                <w:b/>
                <w:color w:val="FF0000"/>
                <w:sz w:val="20"/>
                <w:szCs w:val="20"/>
              </w:rPr>
            </w:pPr>
            <w:r>
              <w:rPr>
                <w:rFonts w:eastAsia="Times New Roman" w:cs="Times New Roman" w:ascii="Times New Roman" w:hAnsi="Times New Roman"/>
                <w:b/>
                <w:color w:val="000000"/>
                <w:sz w:val="20"/>
                <w:szCs w:val="20"/>
                <w:lang w:eastAsia="hr-HR"/>
              </w:rPr>
              <w:t>52.503.274,68</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color w:val="FF0000"/>
                <w:sz w:val="20"/>
                <w:szCs w:val="20"/>
              </w:rPr>
            </w:pPr>
            <w:r>
              <w:rPr>
                <w:color w:val="000000"/>
                <w:sz w:val="20"/>
                <w:szCs w:val="20"/>
                <w:lang w:eastAsia="hr-HR"/>
              </w:rPr>
              <w:t>Rashodi poslovanja</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color w:val="FF0000"/>
                <w:sz w:val="20"/>
                <w:szCs w:val="20"/>
              </w:rPr>
            </w:pPr>
            <w:r>
              <w:rPr>
                <w:rFonts w:eastAsia="Times New Roman" w:cs="Times New Roman" w:ascii="Times New Roman" w:hAnsi="Times New Roman"/>
                <w:bCs/>
                <w:color w:val="000000"/>
                <w:sz w:val="18"/>
                <w:szCs w:val="18"/>
                <w:lang w:eastAsia="hr-HR"/>
              </w:rPr>
              <w:t>29.968.166,31</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color w:val="FF0000"/>
                <w:sz w:val="20"/>
                <w:szCs w:val="20"/>
              </w:rPr>
            </w:pPr>
            <w:r>
              <w:rPr>
                <w:color w:val="000000"/>
                <w:sz w:val="20"/>
                <w:szCs w:val="20"/>
                <w:lang w:eastAsia="hr-HR"/>
              </w:rPr>
              <w:t>Rashodi za nabavu nefinancijske imovine</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color w:val="FF0000"/>
                <w:sz w:val="20"/>
                <w:szCs w:val="20"/>
              </w:rPr>
            </w:pPr>
            <w:r>
              <w:rPr>
                <w:rFonts w:eastAsia="Times New Roman" w:cs="Times New Roman" w:ascii="Times New Roman" w:hAnsi="Times New Roman"/>
                <w:bCs/>
                <w:color w:val="000000"/>
                <w:sz w:val="18"/>
                <w:szCs w:val="18"/>
                <w:lang w:eastAsia="hr-HR"/>
              </w:rPr>
              <w:t>21.562.039,43</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color w:val="FF0000"/>
                <w:sz w:val="20"/>
                <w:szCs w:val="20"/>
              </w:rPr>
            </w:pPr>
            <w:r>
              <w:rPr>
                <w:color w:val="000000"/>
                <w:sz w:val="20"/>
                <w:szCs w:val="20"/>
                <w:lang w:eastAsia="hr-HR"/>
              </w:rPr>
              <w:t>Izdaci za financijsku imovinu i otplate zajmova</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color w:val="FF0000"/>
                <w:sz w:val="20"/>
                <w:szCs w:val="20"/>
              </w:rPr>
            </w:pPr>
            <w:r>
              <w:rPr>
                <w:rFonts w:eastAsia="Times New Roman" w:cs="Times New Roman" w:ascii="Times New Roman" w:hAnsi="Times New Roman"/>
                <w:bCs/>
                <w:color w:val="000000"/>
                <w:sz w:val="18"/>
                <w:szCs w:val="18"/>
                <w:lang w:eastAsia="hr-HR"/>
              </w:rPr>
              <w:t>1.534.000,00</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b/>
                <w:b/>
                <w:color w:val="FF0000"/>
                <w:sz w:val="20"/>
                <w:szCs w:val="20"/>
              </w:rPr>
            </w:pPr>
            <w:r>
              <w:rPr>
                <w:b/>
                <w:color w:val="000000"/>
                <w:sz w:val="20"/>
                <w:szCs w:val="20"/>
                <w:lang w:eastAsia="hr-HR"/>
              </w:rPr>
              <w:t>UKUPNI RASHODI</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b/>
                <w:b/>
                <w:bCs/>
                <w:color w:val="FF0000"/>
                <w:sz w:val="18"/>
                <w:szCs w:val="18"/>
              </w:rPr>
            </w:pPr>
            <w:r>
              <w:rPr>
                <w:rFonts w:eastAsia="Times New Roman" w:cs="Times New Roman" w:ascii="Times New Roman" w:hAnsi="Times New Roman"/>
                <w:b/>
                <w:bCs/>
                <w:color w:val="000000"/>
                <w:sz w:val="18"/>
                <w:szCs w:val="18"/>
                <w:lang w:eastAsia="hr-HR"/>
              </w:rPr>
              <w:t>53.064.205,74</w:t>
            </w:r>
          </w:p>
        </w:tc>
      </w:tr>
      <w:tr>
        <w:trPr/>
        <w:tc>
          <w:tcPr>
            <w:tcW w:w="7338" w:type="dxa"/>
            <w:tcBorders>
              <w:top w:val="single" w:sz="4" w:space="0" w:color="54883D"/>
              <w:left w:val="single" w:sz="4" w:space="0" w:color="54883D"/>
              <w:bottom w:val="single" w:sz="4" w:space="0" w:color="54883D"/>
              <w:right w:val="single" w:sz="4" w:space="0" w:color="54883D"/>
            </w:tcBorders>
            <w:vAlign w:val="center"/>
          </w:tcPr>
          <w:p>
            <w:pPr>
              <w:pStyle w:val="BodyText2"/>
              <w:spacing w:lineRule="auto" w:line="276" w:before="80" w:after="120"/>
              <w:jc w:val="center"/>
              <w:rPr>
                <w:b/>
                <w:b/>
                <w:color w:val="FF0000"/>
                <w:sz w:val="20"/>
                <w:szCs w:val="20"/>
              </w:rPr>
            </w:pPr>
            <w:r>
              <w:rPr>
                <w:b/>
                <w:color w:val="000000"/>
                <w:sz w:val="20"/>
                <w:szCs w:val="20"/>
                <w:lang w:eastAsia="hr-HR"/>
              </w:rPr>
              <w:t>VIŠAK/MANJAK</w:t>
            </w:r>
          </w:p>
        </w:tc>
        <w:tc>
          <w:tcPr>
            <w:tcW w:w="173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0" w:after="0"/>
              <w:jc w:val="right"/>
              <w:rPr>
                <w:b/>
                <w:b/>
                <w:bCs/>
                <w:color w:val="FF0000"/>
                <w:sz w:val="18"/>
                <w:szCs w:val="18"/>
              </w:rPr>
            </w:pPr>
            <w:r>
              <w:rPr>
                <w:rFonts w:eastAsia="Times New Roman" w:cs="Times New Roman" w:ascii="Times New Roman" w:hAnsi="Times New Roman"/>
                <w:b/>
                <w:bCs/>
                <w:color w:val="000000"/>
                <w:sz w:val="18"/>
                <w:szCs w:val="18"/>
                <w:lang w:eastAsia="hr-HR"/>
              </w:rPr>
              <w:t>-560.931,06</w:t>
            </w:r>
            <w:bookmarkStart w:id="43" w:name="_Hlk67911444"/>
            <w:bookmarkEnd w:id="43"/>
          </w:p>
        </w:tc>
      </w:tr>
    </w:tbl>
    <w:p>
      <w:pPr>
        <w:pStyle w:val="Normal"/>
        <w:rPr>
          <w:highlight w:val="yellow"/>
          <w:lang w:bidi="en-US"/>
        </w:rPr>
      </w:pPr>
      <w:r>
        <w:rPr>
          <w:highlight w:val="yellow"/>
          <w:lang w:bidi="en-US"/>
        </w:rPr>
      </w:r>
    </w:p>
    <w:p>
      <w:pPr>
        <w:pStyle w:val="Stilnaslova3"/>
        <w:numPr>
          <w:ilvl w:val="2"/>
          <w:numId w:val="2"/>
        </w:numPr>
        <w:ind w:left="709" w:hanging="721"/>
        <w:rPr/>
      </w:pPr>
      <w:bookmarkStart w:id="44" w:name="_Toc99955663"/>
      <w:bookmarkStart w:id="45" w:name="_Toc116990111"/>
      <w:r>
        <w:rPr/>
        <w:t>Gospodarske grane</w:t>
      </w:r>
      <w:bookmarkEnd w:id="44"/>
      <w:bookmarkEnd w:id="45"/>
    </w:p>
    <w:p>
      <w:pPr>
        <w:pStyle w:val="Normal"/>
        <w:rPr/>
      </w:pPr>
      <w:r>
        <w:rPr/>
        <w:t>U strukturi gospodarstva Grada Buje – Buie u 2015. godini najviše zaposlenih je bilo u djelatnosti prerađivačke industrije, njih 296 ili 37% od ukupno zaposlenih na razini grada. Druga značajna skupina su poduzetnici u djelatnosti trgovine na veliko i malo, koja je u 2015. godini zapošljavala 135 osoba ili 16,6%. Slijedi djelatnost građevinarstva s 114 zaposlenih, pa djelatnost pružanja smještaja te pripreme i usluživanja hrane s 97, umjetnost, zabava, rekreacija 63 itd. U 2015. godini najbolje financijske rezultate ostvarili su poduzetnici u sektoru prerađivačke industrije, od ukupno 43 poduzetnika, njih 26 ostvarilo je dobit razdoblja. Po tom kriteriju, najbolje je rangiran poduzetnik BIFIX d.o.o. Buje-Buie, s ostvarenih 9,5 mil kuna dobiti. Podaci o veličini poduzetnika i njihovim financijskim rezultatima poslovanja ukazuju na velik značaj malih poduzetnika, njih 308 zapošljava 717 osoba ili 2,33 svaki. Značaj malih poduzetnika vidljiv je iz sljedećih podataka: 99,4% je udio malih poduzetnika u broju svih poduzetnika na području Grada Buje – Buie, zapošljavaju 89,1% svih zaposlenika, ostvarili su 82,8% ukupnog prihoda, 84% ukupnih rashoda, 67,2% dobiti razdoblja te sav gubitak razdoblja. Srednje veliki poduzetnici čine 0,6% u ukupnom broju poduzetnika, zapošljavaju 10,9% radne snage, ostvaruju 17,2% ukupnih prihoda i 16% ukupnih rashoda. Ostvarena neto dobit u 2015. godini iznosila je 13,3 mil kuna, ujedno 57,7% više nego prethodne godine. Broj zaposlenika je smanjen za 2,2%.</w:t>
      </w:r>
    </w:p>
    <w:p>
      <w:pPr>
        <w:pStyle w:val="Normal"/>
        <w:rPr/>
      </w:pPr>
      <w:r>
        <w:rPr/>
        <w:t>Analiza poduzetništva prema oblicima vlasništva pokazuje potpunu dominaciju privatnog vlasništva, 99%. U ostalim oblicima vlasništva, u svakom posluje po jedan poduzetnik. Negativno poslovanje ostvarila su društva u državnom i zadružnom vlasništvu, dok su privatni poduzetnici i oni u mješovitom vlasništvu poslovali pozitivno.</w:t>
      </w:r>
    </w:p>
    <w:p>
      <w:pPr>
        <w:pStyle w:val="Normal"/>
        <w:rPr/>
      </w:pPr>
      <w:r>
        <w:rPr/>
        <w:t>U nastavku je popis trgovačkih društava s naznačenim udjelom u vlasništvu Grada Buje – Buie:</w:t>
      </w:r>
    </w:p>
    <w:p>
      <w:pPr>
        <w:pStyle w:val="Normal"/>
        <w:spacing w:before="0" w:after="0"/>
        <w:jc w:val="center"/>
        <w:rPr>
          <w:b/>
          <w:b/>
          <w:bCs/>
          <w:color w:val="54883D"/>
          <w:sz w:val="20"/>
          <w:szCs w:val="20"/>
        </w:rPr>
      </w:pPr>
      <w:r>
        <w:rPr>
          <w:b/>
          <w:bCs/>
          <w:color w:val="54883D"/>
          <w:sz w:val="20"/>
          <w:szCs w:val="20"/>
        </w:rPr>
        <w:t xml:space="preserve">Tablica </w:t>
      </w:r>
      <w:r>
        <w:rPr>
          <w:b/>
          <w:bCs/>
          <w:color w:val="54883D"/>
          <w:sz w:val="20"/>
          <w:szCs w:val="20"/>
        </w:rPr>
        <w:fldChar w:fldCharType="begin"/>
      </w:r>
      <w:r>
        <w:rPr>
          <w:sz w:val="20"/>
          <w:b/>
          <w:szCs w:val="20"/>
          <w:bCs/>
          <w:color w:val="54883D"/>
        </w:rPr>
        <w:instrText> SEQ Tablica \* ARABIC </w:instrText>
      </w:r>
      <w:r>
        <w:rPr>
          <w:sz w:val="20"/>
          <w:b/>
          <w:szCs w:val="20"/>
          <w:bCs/>
          <w:color w:val="54883D"/>
        </w:rPr>
        <w:fldChar w:fldCharType="separate"/>
      </w:r>
      <w:r>
        <w:rPr>
          <w:sz w:val="20"/>
          <w:b/>
          <w:szCs w:val="20"/>
          <w:bCs/>
          <w:color w:val="54883D"/>
        </w:rPr>
        <w:t>1</w:t>
      </w:r>
      <w:r>
        <w:rPr>
          <w:sz w:val="20"/>
          <w:b/>
          <w:szCs w:val="20"/>
          <w:bCs/>
          <w:color w:val="54883D"/>
        </w:rPr>
        <w:fldChar w:fldCharType="end"/>
      </w:r>
      <w:r>
        <w:rPr>
          <w:b/>
          <w:bCs/>
          <w:color w:val="54883D"/>
          <w:sz w:val="20"/>
          <w:szCs w:val="20"/>
        </w:rPr>
        <w:t>. Popis trgovačkih društva s naznačenim udjelom u vlasništvu Grada Buje - Buie</w:t>
      </w:r>
    </w:p>
    <w:tbl>
      <w:tblPr>
        <w:tblStyle w:val="TableGrid"/>
        <w:tblW w:w="6678" w:type="dxa"/>
        <w:jc w:val="center"/>
        <w:tblInd w:w="0" w:type="dxa"/>
        <w:tblCellMar>
          <w:top w:w="0" w:type="dxa"/>
          <w:left w:w="108" w:type="dxa"/>
          <w:bottom w:w="0" w:type="dxa"/>
          <w:right w:w="108" w:type="dxa"/>
        </w:tblCellMar>
        <w:tblLook w:firstRow="1" w:noVBand="1" w:lastRow="0" w:firstColumn="1" w:lastColumn="0" w:noHBand="0" w:val="04a0"/>
      </w:tblPr>
      <w:tblGrid>
        <w:gridCol w:w="4033"/>
        <w:gridCol w:w="2644"/>
      </w:tblGrid>
      <w:tr>
        <w:trPr>
          <w:tblHeader w:val="true"/>
          <w:trHeight w:val="296" w:hRule="atLeast"/>
        </w:trPr>
        <w:tc>
          <w:tcPr>
            <w:tcW w:w="4033"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160"/>
              <w:jc w:val="center"/>
              <w:rPr>
                <w:b/>
                <w:b/>
                <w:sz w:val="20"/>
                <w:szCs w:val="20"/>
                <w:lang w:eastAsia="en-US"/>
              </w:rPr>
            </w:pPr>
            <w:r>
              <w:rPr>
                <w:rFonts w:eastAsia="Times New Roman" w:cs="Times New Roman" w:ascii="Times New Roman" w:hAnsi="Times New Roman"/>
                <w:b/>
                <w:sz w:val="20"/>
                <w:szCs w:val="20"/>
                <w:lang w:eastAsia="en-US"/>
              </w:rPr>
              <w:t>Naziv tvrtke</w:t>
            </w:r>
          </w:p>
        </w:tc>
        <w:tc>
          <w:tcPr>
            <w:tcW w:w="2644"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160"/>
              <w:jc w:val="center"/>
              <w:rPr>
                <w:b/>
                <w:b/>
                <w:sz w:val="20"/>
                <w:szCs w:val="20"/>
                <w:lang w:eastAsia="en-US"/>
              </w:rPr>
            </w:pPr>
            <w:r>
              <w:rPr>
                <w:rFonts w:eastAsia="Times New Roman" w:cs="Times New Roman" w:ascii="Times New Roman" w:hAnsi="Times New Roman"/>
                <w:b/>
                <w:sz w:val="20"/>
                <w:szCs w:val="20"/>
                <w:lang w:eastAsia="en-US"/>
              </w:rPr>
              <w:t>Udio</w:t>
            </w:r>
          </w:p>
        </w:tc>
      </w:tr>
      <w:tr>
        <w:trPr>
          <w:trHeight w:val="296"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6.maj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12,35%</w:t>
            </w:r>
          </w:p>
        </w:tc>
      </w:tr>
      <w:tr>
        <w:trPr>
          <w:trHeight w:val="483"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IDA d.o. 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1,13%</w:t>
            </w:r>
          </w:p>
        </w:tc>
      </w:tr>
      <w:tr>
        <w:trPr>
          <w:trHeight w:val="468"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Istarska autocesta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1,58%</w:t>
            </w:r>
          </w:p>
        </w:tc>
      </w:tr>
      <w:tr>
        <w:trPr>
          <w:trHeight w:val="483"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IVS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6,06%</w:t>
            </w:r>
          </w:p>
        </w:tc>
      </w:tr>
      <w:tr>
        <w:trPr>
          <w:trHeight w:val="468"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TV nova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0,47%</w:t>
            </w:r>
          </w:p>
        </w:tc>
      </w:tr>
      <w:tr>
        <w:trPr>
          <w:trHeight w:val="483"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VSI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1,56%</w:t>
            </w:r>
          </w:p>
        </w:tc>
      </w:tr>
      <w:tr>
        <w:trPr>
          <w:trHeight w:val="468"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Zračna luka Pula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1,00%</w:t>
            </w:r>
          </w:p>
        </w:tc>
      </w:tr>
      <w:tr>
        <w:trPr>
          <w:trHeight w:val="483"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Istarski vodovod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2,26%</w:t>
            </w:r>
          </w:p>
        </w:tc>
      </w:tr>
      <w:tr>
        <w:trPr>
          <w:trHeight w:val="468"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Civitas Bullearum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100,00%</w:t>
            </w:r>
          </w:p>
        </w:tc>
      </w:tr>
      <w:tr>
        <w:trPr>
          <w:trHeight w:val="483" w:hRule="atLeast"/>
        </w:trPr>
        <w:tc>
          <w:tcPr>
            <w:tcW w:w="403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6.maj odvodnja d.o.o.</w:t>
            </w:r>
          </w:p>
        </w:tc>
        <w:tc>
          <w:tcPr>
            <w:tcW w:w="264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160"/>
              <w:jc w:val="left"/>
              <w:rPr>
                <w:sz w:val="20"/>
                <w:szCs w:val="20"/>
                <w:lang w:eastAsia="en-US"/>
              </w:rPr>
            </w:pPr>
            <w:r>
              <w:rPr>
                <w:rFonts w:eastAsia="Times New Roman" w:cs="Times New Roman" w:ascii="Times New Roman" w:hAnsi="Times New Roman"/>
                <w:sz w:val="20"/>
                <w:szCs w:val="20"/>
                <w:lang w:eastAsia="en-US"/>
              </w:rPr>
              <w:t>12,35%</w:t>
            </w:r>
          </w:p>
        </w:tc>
      </w:tr>
    </w:tbl>
    <w:p>
      <w:pPr>
        <w:pStyle w:val="Normal"/>
        <w:rPr>
          <w:rFonts w:ascii="Arial Narrow" w:hAnsi="Arial Narrow"/>
          <w:b/>
          <w:b/>
        </w:rPr>
      </w:pPr>
      <w:r>
        <w:rPr>
          <w:rFonts w:ascii="Arial Narrow" w:hAnsi="Arial Narrow"/>
          <w:b/>
        </w:rPr>
      </w:r>
    </w:p>
    <w:p>
      <w:pPr>
        <w:pStyle w:val="Normal"/>
        <w:rPr>
          <w:b/>
          <w:b/>
          <w:color w:val="54883D"/>
        </w:rPr>
      </w:pPr>
      <w:r>
        <w:rPr>
          <w:b/>
          <w:color w:val="54883D"/>
        </w:rPr>
        <w:t>Poduzetničke zone</w:t>
      </w:r>
    </w:p>
    <w:tbl>
      <w:tblPr>
        <w:tblStyle w:val="TableGrid"/>
        <w:tblW w:w="8340" w:type="dxa"/>
        <w:jc w:val="left"/>
        <w:tblInd w:w="720" w:type="dxa"/>
        <w:tblCellMar>
          <w:top w:w="0" w:type="dxa"/>
          <w:left w:w="108" w:type="dxa"/>
          <w:bottom w:w="0" w:type="dxa"/>
          <w:right w:w="108" w:type="dxa"/>
        </w:tblCellMar>
        <w:tblLook w:firstRow="1" w:noVBand="1" w:lastRow="0" w:firstColumn="1" w:lastColumn="0" w:noHBand="0" w:val="04a0"/>
      </w:tblPr>
      <w:tblGrid>
        <w:gridCol w:w="692"/>
        <w:gridCol w:w="3477"/>
        <w:gridCol w:w="2086"/>
        <w:gridCol w:w="2084"/>
      </w:tblGrid>
      <w:tr>
        <w:trPr/>
        <w:tc>
          <w:tcPr>
            <w:tcW w:w="692"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3477"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color w:val="auto"/>
                <w:sz w:val="20"/>
                <w:szCs w:val="20"/>
                <w:lang w:eastAsia="en-US"/>
              </w:rPr>
              <w:t>Lokacija (građevinska područja)</w:t>
            </w:r>
          </w:p>
        </w:tc>
        <w:tc>
          <w:tcPr>
            <w:tcW w:w="2086"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color w:val="auto"/>
                <w:sz w:val="20"/>
                <w:szCs w:val="20"/>
                <w:lang w:eastAsia="en-US"/>
              </w:rPr>
              <w:t>Kapacitet (radnih mjesta)</w:t>
            </w:r>
          </w:p>
        </w:tc>
        <w:tc>
          <w:tcPr>
            <w:tcW w:w="2084"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color w:val="auto"/>
                <w:sz w:val="20"/>
                <w:szCs w:val="20"/>
                <w:lang w:eastAsia="en-US"/>
              </w:rPr>
              <w:t>Površina (ha)</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7647" w:type="dxa"/>
            <w:gridSpan w:val="3"/>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sz w:val="20"/>
                <w:szCs w:val="20"/>
                <w:lang w:eastAsia="en-US"/>
              </w:rPr>
              <w:t>Proizvodna - pretežito industrijska namjena (I1)</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1</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Plovanija</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20</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3,59</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7647" w:type="dxa"/>
            <w:gridSpan w:val="3"/>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2565" w:leader="none"/>
              </w:tabs>
              <w:spacing w:lineRule="auto" w:line="276" w:before="80" w:after="0"/>
              <w:jc w:val="left"/>
              <w:rPr>
                <w:b/>
                <w:b/>
                <w:color w:val="auto"/>
                <w:sz w:val="20"/>
                <w:szCs w:val="20"/>
                <w:lang w:eastAsia="en-US"/>
              </w:rPr>
            </w:pPr>
            <w:r>
              <w:rPr>
                <w:rFonts w:eastAsia="Times New Roman" w:cs="Times New Roman" w:ascii="Times New Roman" w:hAnsi="Times New Roman"/>
                <w:b/>
                <w:sz w:val="20"/>
                <w:szCs w:val="20"/>
                <w:lang w:eastAsia="en-US"/>
              </w:rPr>
              <w:t>Mješovita gospodarska namjena - poslovna i proizvodna (K;I1)</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Stanica</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2.100</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66,99</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7647" w:type="dxa"/>
            <w:gridSpan w:val="3"/>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sz w:val="20"/>
                <w:szCs w:val="20"/>
                <w:lang w:eastAsia="en-US"/>
              </w:rPr>
              <w:t>Opća poslovna namjena (K)</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3</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Mazurija</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225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7,40</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4</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Plovanija -istok</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55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1,69</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5</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Triban</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55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1,74</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6</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Valenari - Buje</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245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8,05</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7647" w:type="dxa"/>
            <w:gridSpan w:val="3"/>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sz w:val="20"/>
                <w:szCs w:val="20"/>
                <w:lang w:eastAsia="en-US"/>
              </w:rPr>
              <w:t>Poslovna – pretežito trgovačka namjena (K2)</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7</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Kaldanija</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225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7,25</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8</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Plovanija</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20</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0,55</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7647" w:type="dxa"/>
            <w:gridSpan w:val="3"/>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sz w:val="20"/>
                <w:szCs w:val="20"/>
                <w:lang w:eastAsia="en-US"/>
              </w:rPr>
              <w:t>Poslovna – komunalno servisna (K3)</w:t>
            </w:r>
          </w:p>
        </w:tc>
      </w:tr>
      <w:tr>
        <w:trPr/>
        <w:tc>
          <w:tcPr>
            <w:tcW w:w="69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9</w:t>
            </w:r>
          </w:p>
        </w:tc>
        <w:tc>
          <w:tcPr>
            <w:tcW w:w="3477"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sz w:val="20"/>
                <w:szCs w:val="20"/>
                <w:lang w:eastAsia="en-US"/>
              </w:rPr>
              <w:t>Reciklažno dvorište Buje</w:t>
            </w:r>
          </w:p>
        </w:tc>
        <w:tc>
          <w:tcPr>
            <w:tcW w:w="2086"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25</w:t>
            </w:r>
          </w:p>
        </w:tc>
        <w:tc>
          <w:tcPr>
            <w:tcW w:w="208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1,47</w:t>
            </w:r>
          </w:p>
        </w:tc>
      </w:tr>
      <w:tr>
        <w:trPr/>
        <w:tc>
          <w:tcPr>
            <w:tcW w:w="692"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color w:val="auto"/>
                <w:sz w:val="20"/>
                <w:szCs w:val="20"/>
                <w:lang w:eastAsia="en-US"/>
              </w:rPr>
            </w:pPr>
            <w:r>
              <w:rPr>
                <w:color w:val="auto"/>
                <w:sz w:val="20"/>
                <w:szCs w:val="20"/>
                <w:lang w:eastAsia="en-US"/>
              </w:rPr>
            </w:r>
          </w:p>
        </w:tc>
        <w:tc>
          <w:tcPr>
            <w:tcW w:w="3477"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b/>
                <w:b/>
                <w:color w:val="auto"/>
                <w:sz w:val="20"/>
                <w:szCs w:val="20"/>
                <w:lang w:eastAsia="en-US"/>
              </w:rPr>
            </w:pPr>
            <w:r>
              <w:rPr>
                <w:rFonts w:eastAsia="Times New Roman" w:cs="Times New Roman" w:ascii="Times New Roman" w:hAnsi="Times New Roman"/>
                <w:b/>
                <w:color w:val="auto"/>
                <w:sz w:val="20"/>
                <w:szCs w:val="20"/>
                <w:lang w:eastAsia="en-US"/>
              </w:rPr>
              <w:t>SVEUKUPNO</w:t>
            </w:r>
          </w:p>
        </w:tc>
        <w:tc>
          <w:tcPr>
            <w:tcW w:w="2086"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2.970</w:t>
            </w:r>
          </w:p>
        </w:tc>
        <w:tc>
          <w:tcPr>
            <w:tcW w:w="2084"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80" w:after="0"/>
              <w:jc w:val="left"/>
              <w:rPr>
                <w:color w:val="auto"/>
                <w:sz w:val="20"/>
                <w:szCs w:val="20"/>
                <w:lang w:eastAsia="en-US"/>
              </w:rPr>
            </w:pPr>
            <w:r>
              <w:rPr>
                <w:rFonts w:eastAsia="Times New Roman" w:cs="Times New Roman" w:ascii="Times New Roman" w:hAnsi="Times New Roman"/>
                <w:color w:val="auto"/>
                <w:sz w:val="20"/>
                <w:szCs w:val="20"/>
                <w:lang w:eastAsia="en-US"/>
              </w:rPr>
              <w:t>98,74</w:t>
            </w:r>
          </w:p>
        </w:tc>
      </w:tr>
    </w:tbl>
    <w:p>
      <w:pPr>
        <w:pStyle w:val="Normal"/>
        <w:spacing w:before="80" w:after="0"/>
        <w:ind w:left="720" w:hanging="360"/>
        <w:rPr>
          <w:rFonts w:ascii="Arial Narrow" w:hAnsi="Arial Narrow"/>
        </w:rPr>
      </w:pPr>
      <w:r>
        <w:rPr>
          <w:rFonts w:ascii="Arial Narrow" w:hAnsi="Arial Narrow"/>
        </w:rPr>
      </w:r>
    </w:p>
    <w:p>
      <w:pPr>
        <w:pStyle w:val="Normal"/>
        <w:spacing w:before="120" w:after="120"/>
        <w:rPr/>
      </w:pPr>
      <w:r>
        <w:rPr/>
        <w:t>Prema podacima Istarske razvojne agencije, na području Grada Buje - Buie postoje dvije novoosnovane poduzetničke zone: Buje i Mazurija. U Bujama aktivno posluje 21 poduzetnik s 322 zaposlenika, dok je zona Mazurija u pripremi.</w:t>
      </w:r>
    </w:p>
    <w:p>
      <w:pPr>
        <w:pStyle w:val="Normal"/>
        <w:spacing w:before="0" w:after="0"/>
        <w:jc w:val="center"/>
        <w:rPr>
          <w:rFonts w:ascii="Arial Narrow" w:hAnsi="Arial Narrow"/>
          <w:b/>
          <w:b/>
          <w:bCs/>
          <w:color w:val="54883D"/>
          <w:sz w:val="20"/>
          <w:szCs w:val="20"/>
        </w:rPr>
      </w:pPr>
      <w:r>
        <w:rPr>
          <w:rFonts w:ascii="Arial Narrow" w:hAnsi="Arial Narrow"/>
          <w:b/>
          <w:bCs/>
          <w:color w:val="54883D"/>
          <w:sz w:val="20"/>
          <w:szCs w:val="20"/>
        </w:rPr>
      </w:r>
    </w:p>
    <w:p>
      <w:pPr>
        <w:pStyle w:val="Normal"/>
        <w:spacing w:before="0" w:after="0"/>
        <w:jc w:val="center"/>
        <w:rPr>
          <w:b/>
          <w:b/>
          <w:bCs/>
          <w:color w:val="54883D"/>
          <w:sz w:val="20"/>
          <w:szCs w:val="20"/>
        </w:rPr>
      </w:pPr>
      <w:r>
        <w:rPr>
          <w:b/>
          <w:bCs/>
          <w:color w:val="54883D"/>
          <w:sz w:val="20"/>
          <w:szCs w:val="20"/>
        </w:rPr>
        <w:t xml:space="preserve">Tablica </w:t>
      </w:r>
      <w:r>
        <w:rPr>
          <w:b/>
          <w:bCs/>
          <w:color w:val="54883D"/>
          <w:sz w:val="20"/>
          <w:szCs w:val="20"/>
        </w:rPr>
        <w:fldChar w:fldCharType="begin"/>
      </w:r>
      <w:r>
        <w:rPr>
          <w:sz w:val="20"/>
          <w:b/>
          <w:szCs w:val="20"/>
          <w:bCs/>
          <w:color w:val="54883D"/>
        </w:rPr>
        <w:instrText> SEQ Tablica \* ARABIC </w:instrText>
      </w:r>
      <w:r>
        <w:rPr>
          <w:sz w:val="20"/>
          <w:b/>
          <w:szCs w:val="20"/>
          <w:bCs/>
          <w:color w:val="54883D"/>
        </w:rPr>
        <w:fldChar w:fldCharType="separate"/>
      </w:r>
      <w:r>
        <w:rPr>
          <w:sz w:val="20"/>
          <w:b/>
          <w:szCs w:val="20"/>
          <w:bCs/>
          <w:color w:val="54883D"/>
        </w:rPr>
        <w:t>2</w:t>
      </w:r>
      <w:r>
        <w:rPr>
          <w:sz w:val="20"/>
          <w:b/>
          <w:szCs w:val="20"/>
          <w:bCs/>
          <w:color w:val="54883D"/>
        </w:rPr>
        <w:fldChar w:fldCharType="end"/>
      </w:r>
      <w:r>
        <w:rPr>
          <w:b/>
          <w:bCs/>
          <w:color w:val="54883D"/>
          <w:sz w:val="20"/>
          <w:szCs w:val="20"/>
        </w:rPr>
        <w:t>. Poduzetnici smješteni u poduzetničkim zonama Grada Buja - Buie</w:t>
      </w:r>
    </w:p>
    <w:tbl>
      <w:tblPr>
        <w:tblStyle w:val="TableGrid"/>
        <w:tblW w:w="8500" w:type="dxa"/>
        <w:jc w:val="center"/>
        <w:tblInd w:w="0" w:type="dxa"/>
        <w:tblCellMar>
          <w:top w:w="0" w:type="dxa"/>
          <w:left w:w="108" w:type="dxa"/>
          <w:bottom w:w="0" w:type="dxa"/>
          <w:right w:w="108" w:type="dxa"/>
        </w:tblCellMar>
        <w:tblLook w:firstRow="1" w:noVBand="1" w:lastRow="0" w:firstColumn="1" w:lastColumn="0" w:noHBand="0" w:val="04a0"/>
      </w:tblPr>
      <w:tblGrid>
        <w:gridCol w:w="3681"/>
        <w:gridCol w:w="4818"/>
      </w:tblGrid>
      <w:tr>
        <w:trPr>
          <w:trHeight w:val="20" w:hRule="atLeast"/>
        </w:trPr>
        <w:tc>
          <w:tcPr>
            <w:tcW w:w="3681"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Naziv zone</w:t>
            </w:r>
          </w:p>
        </w:tc>
        <w:tc>
          <w:tcPr>
            <w:tcW w:w="4818"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Naziv gospodarskog subjekta (poduzetnika)</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Plovanija (NA Plovanija)</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HOLCIM HRVATSKA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Stanica (Na Buje i NA Kaštel)</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DIGITRON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"ELENA" knjigovodstveni servis</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ELFIT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DEVEXA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DATACOL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MAS PLENUM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VENUS TRGOVINA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GOLDEN B&amp;B MARKETING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TECNPOPLAST ISTRA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ISTRA METAL FORME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FEROPLAST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TNT VAPE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VAPOUR INTERNATIONAL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BROLEX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HEP OPERATOR DISTRIBUCIJSKOG SUSTAVA ELEKTROISTRA POGON BUJE</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E. C. S.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ISTRA COLOR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AGRARIA SOL D.O.O. UMAG</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VETERINARSKA STANICA RIJEKA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ISTARSKE CESTE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MAZURIJA (NA Plovanija)</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PLOVANIJA-ISTOK (NA Plovanija)</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TRIBAN (NA Triban)</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ALTIN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VALENARI-BUJE (NA Buje)</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INA INDUSTRIJA NAFTE</w:t>
            </w:r>
          </w:p>
        </w:tc>
      </w:tr>
      <w:tr>
        <w:trPr>
          <w:trHeight w:val="288"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TERA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SILVY FRESH - OBRT</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AVIS AQUARIA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VALENARI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NOHY D.O.O.</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0"/>
                <w:lang w:eastAsia="en-US"/>
              </w:rPr>
            </w:pPr>
            <w:r>
              <w:rPr>
                <w:rFonts w:eastAsia="Times New Roman" w:cs="Times New Roman" w:ascii="Times New Roman" w:hAnsi="Times New Roman"/>
                <w:sz w:val="20"/>
                <w:szCs w:val="20"/>
                <w:lang w:eastAsia="en-US"/>
              </w:rPr>
              <w:t>"A &amp; D ALEKS"</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KALDANIJA (NA Kaldanija i NA Plovanija)</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color w:val="000000"/>
                <w:sz w:val="20"/>
                <w:szCs w:val="20"/>
                <w:lang w:eastAsia="en-US"/>
              </w:rPr>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PLOVANIJA (NA Plovanija)</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INA INDUSTRIJA NAFTE</w:t>
            </w:r>
          </w:p>
        </w:tc>
      </w:tr>
      <w:tr>
        <w:trPr>
          <w:trHeight w:val="198"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color w:val="000000"/>
                <w:sz w:val="20"/>
                <w:szCs w:val="20"/>
                <w:lang w:eastAsia="en-US"/>
              </w:rPr>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PODUZEĆE "SELCOM" D.O.O., CAFFE BAR CARPE DIEM</w:t>
            </w:r>
          </w:p>
        </w:tc>
      </w:tr>
      <w:tr>
        <w:trPr>
          <w:trHeight w:val="20" w:hRule="atLeast"/>
        </w:trPr>
        <w:tc>
          <w:tcPr>
            <w:tcW w:w="368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000000"/>
                <w:sz w:val="20"/>
                <w:szCs w:val="20"/>
                <w:lang w:eastAsia="en-US"/>
              </w:rPr>
            </w:pPr>
            <w:r>
              <w:rPr>
                <w:rFonts w:eastAsia="Times New Roman" w:cs="Times New Roman" w:ascii="Times New Roman" w:hAnsi="Times New Roman"/>
                <w:color w:val="000000"/>
                <w:sz w:val="20"/>
                <w:szCs w:val="20"/>
                <w:lang w:eastAsia="en-US"/>
              </w:rPr>
              <w:t>RECIKLAŽNO DVORIŠTE BUJE (NA Buje)</w:t>
            </w:r>
          </w:p>
        </w:tc>
        <w:tc>
          <w:tcPr>
            <w:tcW w:w="481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r>
    </w:tbl>
    <w:p>
      <w:pPr>
        <w:pStyle w:val="Normal"/>
        <w:spacing w:before="120" w:after="120"/>
        <w:rPr/>
      </w:pPr>
      <w:r>
        <w:rPr/>
        <w:t>Zona opće poslovne namjene Valenari djelomično je popunjena i infrastrukturno opremljena.</w:t>
      </w:r>
    </w:p>
    <w:p>
      <w:pPr>
        <w:pStyle w:val="Normal"/>
        <w:spacing w:before="120" w:after="120"/>
        <w:rPr>
          <w:b/>
          <w:b/>
          <w:color w:val="54883D"/>
        </w:rPr>
      </w:pPr>
      <w:r>
        <w:rPr>
          <w:b/>
          <w:color w:val="54883D"/>
        </w:rPr>
      </w:r>
    </w:p>
    <w:p>
      <w:pPr>
        <w:pStyle w:val="Normal"/>
        <w:spacing w:before="120" w:after="120"/>
        <w:rPr>
          <w:b/>
          <w:b/>
          <w:color w:val="54883D"/>
        </w:rPr>
      </w:pPr>
      <w:r>
        <w:rPr>
          <w:b/>
          <w:color w:val="54883D"/>
        </w:rPr>
        <w:t xml:space="preserve">Poljoprivreda </w:t>
      </w:r>
    </w:p>
    <w:p>
      <w:pPr>
        <w:pStyle w:val="Normal"/>
        <w:spacing w:before="120" w:after="120"/>
        <w:rPr/>
      </w:pPr>
      <w:r>
        <w:rPr/>
        <w:t>Poljoprivreda na području Grada Buje – Buie uglavnom se odnosi na uzgoj maslina i vinove loze. Značajan je izvor prihoda za veliki broj stanovnika i najzastupljenije je dopunsko zanimanje građana.</w:t>
      </w:r>
    </w:p>
    <w:p>
      <w:pPr>
        <w:pStyle w:val="Normal"/>
        <w:spacing w:before="0" w:after="0"/>
        <w:jc w:val="center"/>
        <w:rPr>
          <w:rFonts w:ascii="Arial Narrow" w:hAnsi="Arial Narrow"/>
          <w:b/>
          <w:b/>
          <w:bCs/>
          <w:color w:val="auto"/>
          <w:sz w:val="20"/>
          <w:szCs w:val="20"/>
        </w:rPr>
      </w:pPr>
      <w:r>
        <w:rPr>
          <w:rFonts w:ascii="Arial Narrow" w:hAnsi="Arial Narrow"/>
          <w:b/>
          <w:bCs/>
          <w:color w:val="auto"/>
          <w:sz w:val="20"/>
          <w:szCs w:val="20"/>
        </w:rPr>
      </w:r>
    </w:p>
    <w:p>
      <w:pPr>
        <w:pStyle w:val="Normal"/>
        <w:spacing w:before="0" w:after="0"/>
        <w:jc w:val="center"/>
        <w:rPr>
          <w:b/>
          <w:b/>
          <w:bCs/>
          <w:color w:val="54883D"/>
          <w:sz w:val="20"/>
          <w:szCs w:val="20"/>
        </w:rPr>
      </w:pPr>
      <w:r>
        <w:rPr>
          <w:b/>
          <w:bCs/>
          <w:color w:val="54883D"/>
          <w:sz w:val="20"/>
          <w:szCs w:val="20"/>
        </w:rPr>
        <w:t xml:space="preserve">Tablica </w:t>
      </w:r>
      <w:r>
        <w:rPr>
          <w:b/>
          <w:bCs/>
          <w:color w:val="54883D"/>
          <w:sz w:val="20"/>
          <w:szCs w:val="20"/>
        </w:rPr>
        <w:fldChar w:fldCharType="begin"/>
      </w:r>
      <w:r>
        <w:rPr>
          <w:sz w:val="20"/>
          <w:b/>
          <w:szCs w:val="20"/>
          <w:bCs/>
          <w:color w:val="54883D"/>
        </w:rPr>
        <w:instrText> SEQ Tablica \* ARABIC </w:instrText>
      </w:r>
      <w:r>
        <w:rPr>
          <w:sz w:val="20"/>
          <w:b/>
          <w:szCs w:val="20"/>
          <w:bCs/>
          <w:color w:val="54883D"/>
        </w:rPr>
        <w:fldChar w:fldCharType="separate"/>
      </w:r>
      <w:r>
        <w:rPr>
          <w:sz w:val="20"/>
          <w:b/>
          <w:szCs w:val="20"/>
          <w:bCs/>
          <w:color w:val="54883D"/>
        </w:rPr>
        <w:t>3</w:t>
      </w:r>
      <w:r>
        <w:rPr>
          <w:sz w:val="20"/>
          <w:b/>
          <w:szCs w:val="20"/>
          <w:bCs/>
          <w:color w:val="54883D"/>
        </w:rPr>
        <w:fldChar w:fldCharType="end"/>
      </w:r>
      <w:r>
        <w:rPr>
          <w:b/>
          <w:bCs/>
          <w:color w:val="54883D"/>
          <w:sz w:val="20"/>
          <w:szCs w:val="20"/>
        </w:rPr>
        <w:t xml:space="preserve">. Broj poljoprivrednih zona sa sjedištem na području Grada Buja </w:t>
      </w:r>
    </w:p>
    <w:tbl>
      <w:tblPr>
        <w:tblStyle w:val="TableGrid"/>
        <w:tblW w:w="9060" w:type="dxa"/>
        <w:jc w:val="left"/>
        <w:tblInd w:w="0" w:type="dxa"/>
        <w:tblCellMar>
          <w:top w:w="0" w:type="dxa"/>
          <w:left w:w="108" w:type="dxa"/>
          <w:bottom w:w="0" w:type="dxa"/>
          <w:right w:w="108" w:type="dxa"/>
        </w:tblCellMar>
        <w:tblLook w:firstRow="1" w:noVBand="1" w:lastRow="0" w:firstColumn="1" w:lastColumn="0" w:noHBand="0" w:val="04a0"/>
      </w:tblPr>
      <w:tblGrid>
        <w:gridCol w:w="1811"/>
        <w:gridCol w:w="2294"/>
        <w:gridCol w:w="849"/>
        <w:gridCol w:w="2293"/>
        <w:gridCol w:w="1813"/>
      </w:tblGrid>
      <w:tr>
        <w:trPr/>
        <w:tc>
          <w:tcPr>
            <w:tcW w:w="1811"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Naselje</w:t>
            </w:r>
          </w:p>
        </w:tc>
        <w:tc>
          <w:tcPr>
            <w:tcW w:w="2294"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Obiteljsko gospodarstvo</w:t>
            </w:r>
          </w:p>
        </w:tc>
        <w:tc>
          <w:tcPr>
            <w:tcW w:w="849"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Obrt</w:t>
            </w:r>
          </w:p>
        </w:tc>
        <w:tc>
          <w:tcPr>
            <w:tcW w:w="2293"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Trgovačko društvo</w:t>
            </w:r>
          </w:p>
        </w:tc>
        <w:tc>
          <w:tcPr>
            <w:tcW w:w="1813"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center"/>
              <w:rPr>
                <w:b/>
                <w:b/>
                <w:sz w:val="20"/>
                <w:szCs w:val="20"/>
                <w:lang w:eastAsia="en-US"/>
              </w:rPr>
            </w:pPr>
            <w:r>
              <w:rPr>
                <w:rFonts w:eastAsia="Times New Roman" w:cs="Times New Roman" w:ascii="Times New Roman" w:hAnsi="Times New Roman"/>
                <w:b/>
                <w:sz w:val="20"/>
                <w:szCs w:val="20"/>
                <w:lang w:eastAsia="en-US"/>
              </w:rPr>
              <w:t>Ukupno</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Baredine</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7</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8</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Bibali</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3</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3</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Brdo</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Brič</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Buje</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93</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95</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Buroli</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6</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6</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Gambocci</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Kaldanija</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5</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Kaštel</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15</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16</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Krasica</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16</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18</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Kršete</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Lozari</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5</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5</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Marušići</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6</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6</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Merišće</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5</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5</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Momjan</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20</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1</w:t>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25</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Oskoruš</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Plovanija</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9</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Triban</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sz w:val="20"/>
                <w:szCs w:val="20"/>
                <w:lang w:eastAsia="en-US"/>
              </w:rPr>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w:t>
            </w:r>
          </w:p>
        </w:tc>
      </w:tr>
      <w:tr>
        <w:trPr/>
        <w:tc>
          <w:tcPr>
            <w:tcW w:w="1811"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UKUPNO</w:t>
            </w:r>
          </w:p>
        </w:tc>
        <w:tc>
          <w:tcPr>
            <w:tcW w:w="2294"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210</w:t>
            </w:r>
          </w:p>
        </w:tc>
        <w:tc>
          <w:tcPr>
            <w:tcW w:w="849"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8</w:t>
            </w:r>
          </w:p>
        </w:tc>
        <w:tc>
          <w:tcPr>
            <w:tcW w:w="229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4</w:t>
            </w:r>
          </w:p>
        </w:tc>
        <w:tc>
          <w:tcPr>
            <w:tcW w:w="181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lang w:eastAsia="en-US"/>
              </w:rPr>
            </w:pPr>
            <w:r>
              <w:rPr>
                <w:rFonts w:eastAsia="Times New Roman" w:cs="Times New Roman" w:ascii="Times New Roman" w:hAnsi="Times New Roman"/>
                <w:sz w:val="20"/>
                <w:szCs w:val="20"/>
                <w:lang w:eastAsia="en-US"/>
              </w:rPr>
              <w:t>222</w:t>
            </w:r>
          </w:p>
        </w:tc>
      </w:tr>
    </w:tbl>
    <w:p>
      <w:pPr>
        <w:pStyle w:val="Normal"/>
        <w:spacing w:before="120" w:after="120"/>
        <w:rPr/>
      </w:pPr>
      <w:r>
        <w:rPr/>
        <w:t>Najvažnije grane poljoprivrede u Bujama su: vinarstvo, maslinarstvo i uljarstvo.</w:t>
      </w:r>
    </w:p>
    <w:p>
      <w:pPr>
        <w:pStyle w:val="Normal"/>
        <w:spacing w:before="120" w:after="120"/>
        <w:rPr>
          <w:b/>
          <w:b/>
          <w:color w:val="54883D"/>
        </w:rPr>
      </w:pPr>
      <w:r>
        <w:rPr>
          <w:b/>
          <w:color w:val="54883D"/>
        </w:rPr>
      </w:r>
    </w:p>
    <w:p>
      <w:pPr>
        <w:pStyle w:val="Normal"/>
        <w:spacing w:before="120" w:after="120"/>
        <w:rPr>
          <w:b/>
          <w:b/>
          <w:color w:val="54883D"/>
        </w:rPr>
      </w:pPr>
      <w:r>
        <w:rPr>
          <w:b/>
          <w:color w:val="54883D"/>
        </w:rPr>
        <w:t>Turizam</w:t>
      </w:r>
    </w:p>
    <w:p>
      <w:pPr>
        <w:pStyle w:val="Normal"/>
        <w:spacing w:before="120" w:after="120"/>
        <w:rPr/>
      </w:pPr>
      <w:r>
        <w:rPr/>
        <w:t xml:space="preserve">Pogodan prometni položaj, blizina regionalnih centara te raznovrsna turistička ponuda u priobalju (turističko naselje Kanegra) i unutrašnjosti teritorija čine temeljni potencijal za razvoj turizma na području Grada Buje – Buie. </w:t>
      </w:r>
    </w:p>
    <w:p>
      <w:pPr>
        <w:pStyle w:val="Normal"/>
        <w:spacing w:before="120" w:after="120"/>
        <w:rPr/>
      </w:pPr>
      <w:r>
        <w:rPr/>
        <w:t>Ukupni planirani maksimalni smještajni kapacitet područja Grada Buje – Buie iznosi 5.000 postelja.</w:t>
      </w:r>
    </w:p>
    <w:p>
      <w:pPr>
        <w:pStyle w:val="Normal"/>
        <w:spacing w:before="120" w:after="120"/>
        <w:rPr/>
      </w:pPr>
      <w:r>
        <w:rPr/>
        <w:t>Prema podacima turističke zajednice Grada Buje - Buie na području Grada Buje – Buie u 2021. godini evidentirano je 164.049 noćenja stranih turista, 13.262 noćenja domaćih turista, odnosno ukupno 177.311 noćenja.</w:t>
      </w:r>
    </w:p>
    <w:p>
      <w:pPr>
        <w:pStyle w:val="Normal"/>
        <w:rPr>
          <w:highlight w:val="yellow"/>
          <w:lang w:bidi="en-US"/>
        </w:rPr>
      </w:pPr>
      <w:r>
        <w:rPr>
          <w:highlight w:val="yellow"/>
          <w:lang w:bidi="en-US"/>
        </w:rPr>
      </w:r>
    </w:p>
    <w:p>
      <w:pPr>
        <w:pStyle w:val="Stilnaslova3"/>
        <w:numPr>
          <w:ilvl w:val="2"/>
          <w:numId w:val="2"/>
        </w:numPr>
        <w:ind w:left="709" w:hanging="721"/>
        <w:rPr/>
      </w:pPr>
      <w:bookmarkStart w:id="46" w:name="_Toc99955664"/>
      <w:bookmarkStart w:id="47" w:name="_Toc116990112"/>
      <w:r>
        <w:rPr/>
        <w:t>Velike gospodarske tvrtke</w:t>
      </w:r>
      <w:bookmarkEnd w:id="46"/>
      <w:bookmarkEnd w:id="47"/>
    </w:p>
    <w:p>
      <w:pPr>
        <w:pStyle w:val="Normal"/>
        <w:rPr/>
      </w:pPr>
      <w:r>
        <w:rPr/>
        <w:t xml:space="preserve">Na području Grada Buja nema velikih gospodarskih tvrtki. </w:t>
      </w:r>
    </w:p>
    <w:p>
      <w:pPr>
        <w:pStyle w:val="Normal"/>
        <w:rPr/>
      </w:pPr>
      <w:r>
        <w:rPr/>
      </w:r>
    </w:p>
    <w:p>
      <w:pPr>
        <w:pStyle w:val="Stilnaslova3"/>
        <w:numPr>
          <w:ilvl w:val="2"/>
          <w:numId w:val="2"/>
        </w:numPr>
        <w:ind w:left="709" w:hanging="721"/>
        <w:rPr/>
      </w:pPr>
      <w:bookmarkStart w:id="48" w:name="_Toc99955665"/>
      <w:bookmarkStart w:id="49" w:name="_Toc116990113"/>
      <w:r>
        <w:rPr/>
        <w:t>Objekti kritične infrastrukture</w:t>
      </w:r>
      <w:bookmarkEnd w:id="48"/>
      <w:bookmarkEnd w:id="49"/>
    </w:p>
    <w:p>
      <w:pPr>
        <w:pStyle w:val="Normal"/>
        <w:rPr>
          <w:i/>
          <w:i/>
          <w:color w:val="54883D"/>
          <w:szCs w:val="22"/>
        </w:rPr>
      </w:pPr>
      <w:r>
        <w:rPr>
          <w:i/>
          <w:color w:val="54883D"/>
          <w:szCs w:val="22"/>
        </w:rPr>
        <w:t>Vodoopskrbni sustav</w:t>
      </w:r>
    </w:p>
    <w:p>
      <w:pPr>
        <w:pStyle w:val="Normal"/>
        <w:spacing w:before="120" w:after="120"/>
        <w:rPr/>
      </w:pPr>
      <w:r>
        <w:rPr/>
        <w:t>Vodoopskrbni sustav Grada Buja - Buie opskrbljuje se vodom iz magistralnog cjevovoda, odnosno iz sustava Sv. Ivan – Buzet preko kojeg se vodom snabdijeva čitavo pripadajuće područje Grada Buja - Buie. Uslijed eventualnih poteškoća u opskrbi pitkom vodom, tj. smanjene izdašnosti izvora Sv. Ivan, područje Grada može se prihranjivati vodom iz izvora Bulaž kod Istarskih Toplica. Jedan mali dio područja Grada (Kršete, Kukov Vrh, Buroli) snabdijeva se i iz izvora Gradole u dolini Rijeke Mirne.</w:t>
      </w:r>
    </w:p>
    <w:p>
      <w:pPr>
        <w:pStyle w:val="Normal"/>
        <w:spacing w:before="120" w:after="120"/>
        <w:rPr/>
      </w:pPr>
      <w:r>
        <w:rPr/>
        <w:t xml:space="preserve">Princip opskrbe područja Grada uglavnom je gravitacijski, odnosno voda iz rubno postavljenih vodosprema na višim kotama gravitacijski teče prema potrošačima. </w:t>
      </w:r>
    </w:p>
    <w:p>
      <w:pPr>
        <w:pStyle w:val="Normal"/>
        <w:spacing w:before="120" w:after="120"/>
        <w:rPr/>
      </w:pPr>
      <w:r>
        <w:rPr/>
        <w:t>Za područje Grada glavne vodospreme su: Triban kapaciteta 500m</w:t>
      </w:r>
      <w:r>
        <w:rPr>
          <w:vertAlign w:val="superscript"/>
        </w:rPr>
        <w:t>3</w:t>
      </w:r>
      <w:r>
        <w:rPr/>
        <w:t>, Bibali 1.300m</w:t>
      </w:r>
      <w:r>
        <w:rPr>
          <w:vertAlign w:val="superscript"/>
        </w:rPr>
        <w:t>3</w:t>
      </w:r>
      <w:r>
        <w:rPr/>
        <w:t xml:space="preserve"> i Slušnica 650m</w:t>
      </w:r>
      <w:r>
        <w:rPr>
          <w:vertAlign w:val="superscript"/>
        </w:rPr>
        <w:t>3</w:t>
      </w:r>
      <w:r>
        <w:rPr/>
        <w:t xml:space="preserve"> te manje vodospreme Kaštanjari 250m</w:t>
      </w:r>
      <w:r>
        <w:rPr>
          <w:vertAlign w:val="superscript"/>
        </w:rPr>
        <w:t>3</w:t>
      </w:r>
      <w:r>
        <w:rPr/>
        <w:t>, Grožnjan 250m</w:t>
      </w:r>
      <w:r>
        <w:rPr>
          <w:vertAlign w:val="superscript"/>
        </w:rPr>
        <w:t>3</w:t>
      </w:r>
      <w:r>
        <w:rPr/>
        <w:t>, i Sv. Juraj 200m</w:t>
      </w:r>
      <w:r>
        <w:rPr>
          <w:vertAlign w:val="superscript"/>
        </w:rPr>
        <w:t>3</w:t>
      </w:r>
      <w:r>
        <w:rPr/>
        <w:t>.</w:t>
      </w:r>
    </w:p>
    <w:p>
      <w:pPr>
        <w:pStyle w:val="Normal"/>
        <w:spacing w:before="120" w:after="120"/>
        <w:rPr/>
      </w:pPr>
      <w:r>
        <w:rPr/>
        <w:t>Vodospreme Triban i Bibali nalaze se u istoimenim selima i iz njih se snabdijeva gotovo čitavo donje područje Grada Buja, dok se gornji dio snabdijeva preko rezervoara Slušnica (na granici prema Republici Sloveniji), a manji dio područja direktno je spojen na magistralni cjevovod koji dolazi iz područja Sv. Ivan – Buzet preko rezervoara Medici i razdjelnika Laganiši, gdje se preuzima voda za područje bivše Općine Buje.</w:t>
      </w:r>
    </w:p>
    <w:p>
      <w:pPr>
        <w:pStyle w:val="Normal"/>
        <w:rPr>
          <w:szCs w:val="22"/>
        </w:rPr>
      </w:pPr>
      <w:r>
        <w:rPr>
          <w:szCs w:val="22"/>
        </w:rPr>
      </w:r>
    </w:p>
    <w:p>
      <w:pPr>
        <w:pStyle w:val="Normal"/>
        <w:rPr>
          <w:i/>
          <w:i/>
          <w:color w:val="54883D"/>
          <w:szCs w:val="22"/>
        </w:rPr>
      </w:pPr>
      <w:r>
        <w:rPr>
          <w:i/>
          <w:color w:val="54883D"/>
          <w:szCs w:val="22"/>
        </w:rPr>
        <w:t>Sustav odvodnje otpadnih voda</w:t>
      </w:r>
    </w:p>
    <w:p>
      <w:pPr>
        <w:pStyle w:val="Normal"/>
        <w:spacing w:before="120" w:after="120"/>
        <w:rPr/>
      </w:pPr>
      <w:r>
        <w:rPr/>
        <w:t>Djelatnost javne odvodnje, izvođenja priključaka na komunalne vodne građevine te uzorkovanje i ispitivanje vlastitih otpadnih voda na području Grada Buje – Buie, provodi trgovačko društvo 6. maj odvodnja d.o.o. za odvodnju i pročišćavanje otpadnih voda.</w:t>
      </w:r>
    </w:p>
    <w:p>
      <w:pPr>
        <w:pStyle w:val="Normal"/>
        <w:spacing w:before="120" w:after="120"/>
        <w:rPr/>
      </w:pPr>
      <w:r>
        <w:rPr/>
        <w:t>U manjim naseljima u unutrašnjosti i izdvojenim zonama, zbrinjavanje otpadnih voda izvodi se putem manjih lokalnih podsustava s odgovarajućim uređajima manjeg kapaciteta i ispuštanjem otpadnih voda u podzemlje (obaveza u II. i III. zoni sanitarne zaštite podzemnih voda, uz uvjet ispuštanja otpadnih voda izvan II. i III. zone). Alternativno rješenje koje se također primjenjuje je tretiranje otpadnih voda u septičkim ili sabirnim jamama (izvan II. i III. zone sanitarne zaštite podzemnih voda, isključivo kao prelazna faza do izgradnje sustava odvodnje). Fekalne otpadne vode tretiraju se na uređaju za pročišćavanje koji se sastojati od potrebnog stupnja pročišćavanja (obavezno biološki, a po potrebi i tercijarni stupanj). Nakon pročišćavanja, voda se upušta u teren preko upojnog bunara.</w:t>
      </w:r>
    </w:p>
    <w:p>
      <w:pPr>
        <w:pStyle w:val="Normal"/>
        <w:rPr>
          <w:szCs w:val="22"/>
        </w:rPr>
      </w:pPr>
      <w:r>
        <w:rPr>
          <w:szCs w:val="22"/>
        </w:rPr>
      </w:r>
    </w:p>
    <w:p>
      <w:pPr>
        <w:pStyle w:val="Normal"/>
        <w:rPr>
          <w:i/>
          <w:i/>
          <w:color w:val="54883D"/>
          <w:szCs w:val="22"/>
        </w:rPr>
      </w:pPr>
      <w:r>
        <w:rPr>
          <w:i/>
          <w:color w:val="54883D"/>
          <w:szCs w:val="22"/>
        </w:rPr>
        <w:t>Gospodarenje otpadom</w:t>
      </w:r>
    </w:p>
    <w:p>
      <w:pPr>
        <w:pStyle w:val="Normal"/>
        <w:rPr/>
      </w:pPr>
      <w:r>
        <w:rPr/>
        <w:t>Na području Grada Buja poslove vezane uz gospodarenje komunalnim i neopasnim otpadom obavlja komunalno poduzeće „6.Maj“ d.o.o. Umag za komunalne usluge. Komunalno poduzeće vrši sakupljanje, odvoz i odlaganje komunalnog otpada iz domaćinstva koja se nalaze na području Bujštine, sjeverno od rijeke Mirne pa sve do rijeke Dragonje, odnosno do granice s Republikom Slovenijom. Vlasnici komunalnog poduzeća i korisnici usluga komunalnog poduzeća su gradovi Umag, Novigrad i Buje, te općine Brtonigla, Grožnjan i Oprtalj.</w:t>
      </w:r>
    </w:p>
    <w:p>
      <w:pPr>
        <w:pStyle w:val="Normal"/>
        <w:rPr/>
      </w:pPr>
      <w:r>
        <w:rPr/>
        <w:t>Prikupljeni otpad odlaže se u pretovarnoj stanici i sortirnici otpada Donji Picudo na cesti Umag - Buje. Odvojeno prikupljanje otpada vrši se kroz eko otoke ( papir i karton , staklena ambalaža, plastična i metalna ambalaža)  i reciklažna dvorišta.</w:t>
      </w:r>
    </w:p>
    <w:p>
      <w:pPr>
        <w:pStyle w:val="Normal"/>
        <w:rPr/>
      </w:pPr>
      <w:r>
        <w:rPr/>
        <w:t xml:space="preserve">Trenutno, komunalno poduzeće 6.Maj d.o.o. ima otvoreno jedno reciklažno dvorište </w:t>
      </w:r>
      <w:r>
        <w:rPr>
          <w:rFonts w:eastAsia="Times New Roman" w:cs="Arial"/>
          <w:color w:val="000000" w:themeColor="text1"/>
          <w:kern w:val="0"/>
          <w:sz w:val="22"/>
          <w:szCs w:val="24"/>
          <w:lang w:val="hr-HR" w:eastAsia="en-US" w:bidi="ar-SA"/>
        </w:rPr>
        <w:t>na području Grada Buja. Reciklažno dvorište je nadzirani ograđeni prostor namijenjen odvojenom prikupljanju i privremenom skladištenju manjih količina posebnih vrsta otpada. RD je prvenstveno namijenjen građanima kojima je predaja otpada besplatna. U RD se nalazi djelatnik koji vrši evidenciju te nadgleda i usmjerava korisnike gdje pravilno odložiti dovezeni otpad.</w:t>
      </w:r>
    </w:p>
    <w:p>
      <w:pPr>
        <w:pStyle w:val="Normal"/>
        <w:rPr>
          <w:i/>
          <w:i/>
          <w:color w:val="54883D"/>
          <w:szCs w:val="22"/>
        </w:rPr>
      </w:pPr>
      <w:r>
        <w:rPr>
          <w:i/>
          <w:color w:val="54883D"/>
          <w:szCs w:val="22"/>
        </w:rPr>
        <w:t>Elektroenergetska mreža</w:t>
      </w:r>
    </w:p>
    <w:p>
      <w:pPr>
        <w:pStyle w:val="Normal"/>
        <w:spacing w:before="120" w:after="120"/>
        <w:rPr/>
      </w:pPr>
      <w:r>
        <w:rPr/>
        <w:t xml:space="preserve">Na teritoriju Grada Buje – Buie nalaze se elektroenergetske građevine s pripadajućim objektima od državnog i županijskog značaja, a to su:  </w:t>
      </w:r>
    </w:p>
    <w:p>
      <w:pPr>
        <w:pStyle w:val="Normal"/>
        <w:numPr>
          <w:ilvl w:val="0"/>
          <w:numId w:val="35"/>
        </w:numPr>
        <w:tabs>
          <w:tab w:val="clear" w:pos="708"/>
        </w:tabs>
        <w:spacing w:before="120" w:after="120"/>
        <w:ind w:left="709" w:hanging="360"/>
        <w:rPr/>
      </w:pPr>
      <w:r>
        <w:rPr/>
        <w:t>prijenosni dalekovod Pazin – Savudrija napona 400kV i</w:t>
      </w:r>
    </w:p>
    <w:p>
      <w:pPr>
        <w:pStyle w:val="Normal"/>
        <w:numPr>
          <w:ilvl w:val="0"/>
          <w:numId w:val="35"/>
        </w:numPr>
        <w:tabs>
          <w:tab w:val="clear" w:pos="708"/>
        </w:tabs>
        <w:spacing w:before="120" w:after="120"/>
        <w:ind w:left="709" w:hanging="360"/>
        <w:rPr/>
      </w:pPr>
      <w:r>
        <w:rPr/>
        <w:t>dalekovodi, transformatorska i rasklopna postrojenja napona 110kV.</w:t>
      </w:r>
    </w:p>
    <w:p>
      <w:pPr>
        <w:pStyle w:val="Normal"/>
        <w:numPr>
          <w:ilvl w:val="0"/>
          <w:numId w:val="35"/>
        </w:numPr>
        <w:tabs>
          <w:tab w:val="clear" w:pos="708"/>
        </w:tabs>
        <w:spacing w:before="120" w:after="120"/>
        <w:ind w:left="709" w:hanging="360"/>
        <w:rPr/>
      </w:pPr>
      <w:r>
        <w:rPr/>
        <w:t>transformacijske stanice napona 110/20kV (Buje)</w:t>
      </w:r>
    </w:p>
    <w:p>
      <w:pPr>
        <w:pStyle w:val="Normal"/>
        <w:numPr>
          <w:ilvl w:val="0"/>
          <w:numId w:val="35"/>
        </w:numPr>
        <w:tabs>
          <w:tab w:val="clear" w:pos="708"/>
        </w:tabs>
        <w:spacing w:before="120" w:after="120"/>
        <w:ind w:left="709" w:hanging="360"/>
        <w:rPr/>
      </w:pPr>
      <w:r>
        <w:rPr/>
        <w:t>distribucijski dalekovod 110kV (Rovinj – Poreč - Buje)</w:t>
      </w:r>
    </w:p>
    <w:p>
      <w:pPr>
        <w:pStyle w:val="Normal"/>
        <w:numPr>
          <w:ilvl w:val="0"/>
          <w:numId w:val="35"/>
        </w:numPr>
        <w:tabs>
          <w:tab w:val="clear" w:pos="708"/>
        </w:tabs>
        <w:spacing w:before="120" w:after="120"/>
        <w:ind w:left="709" w:hanging="360"/>
        <w:rPr/>
      </w:pPr>
      <w:r>
        <w:rPr/>
        <w:t>distribucijski dalekovod 110kV (Buje – Republika Slovenija)</w:t>
      </w:r>
    </w:p>
    <w:p>
      <w:pPr>
        <w:pStyle w:val="Normal"/>
        <w:numPr>
          <w:ilvl w:val="0"/>
          <w:numId w:val="35"/>
        </w:numPr>
        <w:tabs>
          <w:tab w:val="clear" w:pos="708"/>
        </w:tabs>
        <w:spacing w:before="120" w:after="120"/>
        <w:ind w:left="709" w:hanging="360"/>
        <w:rPr/>
      </w:pPr>
      <w:r>
        <w:rPr/>
        <w:t>distribucijski dalekovod 110kV (Buzet - Katoro)</w:t>
      </w:r>
    </w:p>
    <w:p>
      <w:pPr>
        <w:pStyle w:val="Normal"/>
        <w:spacing w:before="120" w:after="120"/>
        <w:rPr/>
      </w:pPr>
      <w:r>
        <w:rPr>
          <w:color w:val="auto"/>
        </w:rPr>
        <w:t xml:space="preserve">Područje Grada Buja - Buie napaja se električnom energijom iz TS 110/35kV BUJE (Elektoprijenos 2x20MVA) koja napaja TS 35/10kV BUJE </w:t>
      </w:r>
      <w:r>
        <w:rPr/>
        <w:t>2x4MVA.</w:t>
      </w:r>
    </w:p>
    <w:p>
      <w:pPr>
        <w:pStyle w:val="Normal"/>
        <w:spacing w:before="120" w:after="120"/>
        <w:rPr/>
      </w:pPr>
      <w:r>
        <w:rPr/>
        <w:t>Iz TS 35/10kV BUJE razvedena je 10kV pretežito zračna mreža.</w:t>
      </w:r>
    </w:p>
    <w:p>
      <w:pPr>
        <w:pStyle w:val="Normal"/>
        <w:spacing w:before="120" w:after="120"/>
        <w:rPr/>
      </w:pPr>
      <w:r>
        <w:rPr/>
        <w:t>Na području samog mjesta Buje 10kV mreža je izvedena kabelski pretežito kabelima EHP 48A 3 x (1 x 150 mm</w:t>
      </w:r>
      <w:r>
        <w:rPr>
          <w:vertAlign w:val="superscript"/>
        </w:rPr>
        <w:t>2</w:t>
      </w:r>
      <w:r>
        <w:rPr/>
        <w:t>).</w:t>
      </w:r>
    </w:p>
    <w:p>
      <w:pPr>
        <w:pStyle w:val="Normal"/>
        <w:spacing w:before="120" w:after="120"/>
        <w:rPr/>
      </w:pPr>
      <w:r>
        <w:rPr/>
        <w:t xml:space="preserve">Područjem Grada Buje-Buie prolazi županijski dalekovod 110kV, ukupno 19m. Trenutni kapaciteti zadovoljavaju opskrbu svih naselja. </w:t>
      </w:r>
    </w:p>
    <w:p>
      <w:pPr>
        <w:pStyle w:val="Normal"/>
        <w:spacing w:before="120" w:after="120"/>
        <w:jc w:val="left"/>
        <w:rPr/>
      </w:pPr>
      <w:r>
        <w:rPr/>
        <w:t>Gustoća telefonskih priključaka iznosi oko 39 priključaka na 100 stanovnika. Na telekomunikacijsku mrežu priključeni su turistički kompleksi i ostali gospodarski subjekti s okvirno550internihpriključaka.</w:t>
        <w:br/>
        <w:t xml:space="preserve">Područje </w:t>
      </w:r>
      <w:r>
        <w:rPr>
          <w:color w:val="auto"/>
        </w:rPr>
        <w:t xml:space="preserve">Grada Buja - Buie pokriveno </w:t>
      </w:r>
      <w:r>
        <w:rPr/>
        <w:t>je nepokretnom i pokretnim telekomunikacijskim (TK) mrežama, odnosno EKI (elektroničkom komunikacijskom infrastrukturom).</w:t>
      </w:r>
    </w:p>
    <w:p>
      <w:pPr>
        <w:pStyle w:val="Normal"/>
        <w:rPr>
          <w:szCs w:val="22"/>
          <w:u w:val="single"/>
        </w:rPr>
      </w:pPr>
      <w:r>
        <w:rPr>
          <w:szCs w:val="22"/>
          <w:u w:val="single"/>
        </w:rPr>
      </w:r>
    </w:p>
    <w:p>
      <w:pPr>
        <w:pStyle w:val="Normal"/>
        <w:rPr>
          <w:i/>
          <w:i/>
          <w:color w:val="54883D"/>
          <w:szCs w:val="22"/>
        </w:rPr>
      </w:pPr>
      <w:r>
        <w:rPr>
          <w:i/>
          <w:color w:val="54883D"/>
          <w:szCs w:val="22"/>
        </w:rPr>
        <w:t>Prometna infrastruktura</w:t>
      </w:r>
    </w:p>
    <w:p>
      <w:pPr>
        <w:pStyle w:val="Normal"/>
        <w:spacing w:before="120" w:after="120"/>
        <w:rPr>
          <w:szCs w:val="22"/>
        </w:rPr>
      </w:pPr>
      <w:r>
        <w:rPr/>
        <w:t>Prometni sustav na području Grada Buje – Citta di Buie opisan je u poglavlju Prometna povezanost.</w:t>
      </w:r>
    </w:p>
    <w:p>
      <w:pPr>
        <w:pStyle w:val="Normal"/>
        <w:rPr>
          <w:szCs w:val="22"/>
        </w:rPr>
      </w:pPr>
      <w:r>
        <w:rPr>
          <w:szCs w:val="22"/>
        </w:rPr>
      </w:r>
    </w:p>
    <w:p>
      <w:pPr>
        <w:pStyle w:val="Stilnaslova2"/>
        <w:numPr>
          <w:ilvl w:val="1"/>
          <w:numId w:val="2"/>
        </w:numPr>
        <w:rPr/>
      </w:pPr>
      <w:bookmarkStart w:id="50" w:name="_Toc99955666"/>
      <w:bookmarkStart w:id="51" w:name="_Toc116990114"/>
      <w:r>
        <w:rPr/>
        <w:t>Prirodno – kulturni pokazatelji</w:t>
      </w:r>
      <w:bookmarkEnd w:id="50"/>
      <w:bookmarkEnd w:id="51"/>
    </w:p>
    <w:p>
      <w:pPr>
        <w:pStyle w:val="Stilnaslova3"/>
        <w:numPr>
          <w:ilvl w:val="2"/>
          <w:numId w:val="2"/>
        </w:numPr>
        <w:ind w:left="709" w:hanging="721"/>
        <w:rPr/>
      </w:pPr>
      <w:bookmarkStart w:id="52" w:name="_Toc99955667"/>
      <w:bookmarkStart w:id="53" w:name="_Toc116990115"/>
      <w:r>
        <w:rPr/>
        <w:t>Prirodna baština</w:t>
      </w:r>
      <w:bookmarkEnd w:id="52"/>
      <w:bookmarkEnd w:id="53"/>
    </w:p>
    <w:p>
      <w:pPr>
        <w:pStyle w:val="Normal"/>
        <w:spacing w:before="120" w:after="0"/>
        <w:rPr/>
      </w:pPr>
      <w:r>
        <w:rPr/>
        <w:t>Na području Grada Buje – Buie nema zaštićenih dijelova prirodne baštine (nacionalni parkovi, parkovi prirode i sl.).</w:t>
      </w:r>
    </w:p>
    <w:p>
      <w:pPr>
        <w:pStyle w:val="Normal"/>
        <w:spacing w:before="80" w:after="0"/>
        <w:rPr/>
      </w:pPr>
      <w:r>
        <w:rPr/>
      </w:r>
    </w:p>
    <w:p>
      <w:pPr>
        <w:pStyle w:val="Normal"/>
        <w:spacing w:before="80" w:after="0"/>
        <w:rPr/>
      </w:pPr>
      <w:r>
        <w:rPr/>
        <w:t>Područje Grada Buje – Buie ima očuvanu ambijentalnu vrijednost. Zabilježene su prirodne vrijednosti županijskog značaja:</w:t>
      </w:r>
    </w:p>
    <w:p>
      <w:pPr>
        <w:pStyle w:val="Normal"/>
        <w:numPr>
          <w:ilvl w:val="0"/>
          <w:numId w:val="36"/>
        </w:numPr>
        <w:tabs>
          <w:tab w:val="clear" w:pos="708"/>
          <w:tab w:val="left" w:pos="2445" w:leader="none"/>
        </w:tabs>
        <w:spacing w:before="120" w:after="120"/>
        <w:contextualSpacing/>
        <w:rPr>
          <w:color w:val="auto"/>
          <w:szCs w:val="20"/>
        </w:rPr>
      </w:pPr>
      <w:r>
        <w:rPr>
          <w:color w:val="auto"/>
          <w:szCs w:val="20"/>
          <w:u w:val="single"/>
        </w:rPr>
        <w:t>Posebni rezervati</w:t>
      </w:r>
      <w:r>
        <w:rPr>
          <w:color w:val="auto"/>
          <w:szCs w:val="20"/>
        </w:rPr>
        <w:t>: botanički rezervati: značajnije površine prirodnih travnjaka na području Buja, Bibala, Kremenja i Volpije;</w:t>
      </w:r>
    </w:p>
    <w:p>
      <w:pPr>
        <w:pStyle w:val="Normal"/>
        <w:numPr>
          <w:ilvl w:val="0"/>
          <w:numId w:val="36"/>
        </w:numPr>
        <w:tabs>
          <w:tab w:val="clear" w:pos="708"/>
          <w:tab w:val="left" w:pos="2445" w:leader="none"/>
        </w:tabs>
        <w:spacing w:before="120" w:after="120"/>
        <w:contextualSpacing/>
        <w:rPr>
          <w:color w:val="auto"/>
          <w:szCs w:val="20"/>
        </w:rPr>
      </w:pPr>
      <w:r>
        <w:rPr>
          <w:color w:val="auto"/>
          <w:szCs w:val="20"/>
          <w:u w:val="single"/>
        </w:rPr>
        <w:t>Spomenik prirode</w:t>
      </w:r>
      <w:r>
        <w:rPr>
          <w:color w:val="auto"/>
          <w:szCs w:val="20"/>
        </w:rPr>
        <w:t xml:space="preserve">: botanički - zeleni hrast kod Markovca i geomorfološki – ponor „V.Potleca“; </w:t>
      </w:r>
    </w:p>
    <w:p>
      <w:pPr>
        <w:pStyle w:val="Normal"/>
        <w:numPr>
          <w:ilvl w:val="0"/>
          <w:numId w:val="36"/>
        </w:numPr>
        <w:tabs>
          <w:tab w:val="clear" w:pos="708"/>
          <w:tab w:val="left" w:pos="2445" w:leader="none"/>
        </w:tabs>
        <w:spacing w:before="120" w:after="120"/>
        <w:contextualSpacing/>
        <w:rPr>
          <w:color w:val="auto"/>
          <w:szCs w:val="20"/>
        </w:rPr>
      </w:pPr>
      <w:r>
        <w:rPr>
          <w:color w:val="auto"/>
          <w:szCs w:val="20"/>
          <w:u w:val="single"/>
        </w:rPr>
        <w:t>Značajni krajobraz:</w:t>
      </w:r>
      <w:r>
        <w:rPr>
          <w:color w:val="auto"/>
          <w:szCs w:val="20"/>
        </w:rPr>
        <w:t xml:space="preserve"> flišni dio od Kaštela do Ćepića (Bujski Kras) i okoliš povijesnih cjelina Buje, Kaštel, Momjan;</w:t>
      </w:r>
    </w:p>
    <w:p>
      <w:pPr>
        <w:pStyle w:val="Normal"/>
        <w:numPr>
          <w:ilvl w:val="0"/>
          <w:numId w:val="36"/>
        </w:numPr>
        <w:tabs>
          <w:tab w:val="clear" w:pos="708"/>
          <w:tab w:val="left" w:pos="2445" w:leader="none"/>
        </w:tabs>
        <w:spacing w:before="120" w:after="120"/>
        <w:contextualSpacing/>
        <w:rPr>
          <w:color w:val="auto"/>
          <w:szCs w:val="20"/>
        </w:rPr>
      </w:pPr>
      <w:r>
        <w:rPr>
          <w:color w:val="auto"/>
          <w:szCs w:val="20"/>
          <w:u w:val="single"/>
        </w:rPr>
        <w:t>Park šuma:</w:t>
      </w:r>
      <w:r>
        <w:rPr>
          <w:color w:val="auto"/>
          <w:szCs w:val="20"/>
        </w:rPr>
        <w:t xml:space="preserve"> Kanedo kod Markovca</w:t>
      </w:r>
    </w:p>
    <w:p>
      <w:pPr>
        <w:pStyle w:val="Normal"/>
        <w:spacing w:before="80" w:after="0"/>
        <w:rPr/>
      </w:pPr>
      <w:r>
        <w:rPr/>
      </w:r>
    </w:p>
    <w:p>
      <w:pPr>
        <w:pStyle w:val="Normal"/>
        <w:spacing w:before="80" w:after="0"/>
        <w:rPr/>
      </w:pPr>
      <w:r>
        <w:rPr/>
        <w:t>Šire područje Grada Buje - Buie je stvarno ili potencijalno područje rasprostranjenosti većeg broja ugroženih i/ili zaštićenih vrsta sisavaca (planinska voluharica, sivi puh, europski zec, dugokrili pršnjak, riđi šišmiš, južni potkovnjak, veliki potkovnjak, mali potkovnjak, vjeverica i dobri dupin), ugroženih i/ili zaštićenih ptica (crnoprugasti trstenjak, primorska trepetljika, zmijar, eja livadarka, vrtna strnadica, sivi svračak, seva krunica, mala šljuka, prugasti pozviždač, škanjac osaš), vodozemaca i gmazova (gatalinka, lombardijska žaba, barska kornjača, ribarica, poskok) te nekoliko zaštićenih vrsta leptira (mala preljevalica, velika preljevalica, sedefast debeloglavac, Rottenburgov debeloglavac, močvarni okaš). Prema Crvenoj knjizi podzemne faune, na području Grada Buje-Buie nalaze se staništa spiljskog cjevaša.</w:t>
      </w:r>
    </w:p>
    <w:p>
      <w:pPr>
        <w:pStyle w:val="Normal"/>
        <w:spacing w:before="80" w:after="0"/>
        <w:rPr>
          <w:color w:val="FF0000"/>
        </w:rPr>
      </w:pPr>
      <w:r>
        <w:rPr/>
        <w:t>Evidentirana su slijedeća područja ekološke mreže značajna za  vrste i stanišne tipove (POVS): HR 2000545 „Vlažne livade kod Marušića“.</w:t>
      </w:r>
    </w:p>
    <w:p>
      <w:pPr>
        <w:pStyle w:val="Normal"/>
        <w:spacing w:before="80" w:after="0"/>
        <w:rPr>
          <w:rFonts w:ascii="Arial Narrow" w:hAnsi="Arial Narrow"/>
        </w:rPr>
      </w:pPr>
      <w:r>
        <w:rPr>
          <w:rFonts w:ascii="Arial Narrow" w:hAnsi="Arial Narrow"/>
        </w:rPr>
      </w:r>
    </w:p>
    <w:p>
      <w:pPr>
        <w:pStyle w:val="Normal"/>
        <w:spacing w:before="80" w:after="0"/>
        <w:jc w:val="center"/>
        <w:rPr>
          <w:rFonts w:ascii="Arial Narrow" w:hAnsi="Arial Narrow"/>
        </w:rPr>
      </w:pPr>
      <w:r>
        <w:rPr/>
        <w:drawing>
          <wp:inline distT="0" distB="0" distL="0" distR="0">
            <wp:extent cx="5760720" cy="3636645"/>
            <wp:effectExtent l="0" t="0" r="0" b="0"/>
            <wp:docPr id="28" name="Slika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lika 4" descr=""/>
                    <pic:cNvPicPr>
                      <a:picLocks noChangeAspect="1" noChangeArrowheads="1"/>
                    </pic:cNvPicPr>
                  </pic:nvPicPr>
                  <pic:blipFill>
                    <a:blip r:embed="rId22"/>
                    <a:stretch>
                      <a:fillRect/>
                    </a:stretch>
                  </pic:blipFill>
                  <pic:spPr bwMode="auto">
                    <a:xfrm>
                      <a:off x="0" y="0"/>
                      <a:ext cx="5760720" cy="3636645"/>
                    </a:xfrm>
                    <a:prstGeom prst="rect">
                      <a:avLst/>
                    </a:prstGeom>
                  </pic:spPr>
                </pic:pic>
              </a:graphicData>
            </a:graphic>
          </wp:inline>
        </w:drawing>
        <mc:AlternateContent>
          <mc:Choice Requires="wps">
            <w:drawing>
              <wp:anchor behindDoc="0" distT="0" distB="0" distL="0" distR="0" simplePos="0" locked="0" layoutInCell="1" allowOverlap="1" relativeHeight="54" wp14:anchorId="2BAECACC">
                <wp:simplePos x="0" y="0"/>
                <wp:positionH relativeFrom="column">
                  <wp:posOffset>4224655</wp:posOffset>
                </wp:positionH>
                <wp:positionV relativeFrom="paragraph">
                  <wp:posOffset>1976120</wp:posOffset>
                </wp:positionV>
                <wp:extent cx="1287145" cy="496570"/>
                <wp:effectExtent l="0" t="0" r="0" b="0"/>
                <wp:wrapNone/>
                <wp:docPr id="26" name="Tekstni okvir 15"/>
                <a:graphic xmlns:a="http://schemas.openxmlformats.org/drawingml/2006/main">
                  <a:graphicData uri="http://schemas.microsoft.com/office/word/2010/wordprocessingShape">
                    <wps:wsp>
                      <wps:cNvSpPr/>
                      <wps:spPr>
                        <a:xfrm>
                          <a:off x="0" y="0"/>
                          <a:ext cx="1286640" cy="496080"/>
                        </a:xfrm>
                        <a:prstGeom prst="rect">
                          <a:avLst/>
                        </a:prstGeom>
                        <a:noFill/>
                        <a:ln w="6480">
                          <a:noFill/>
                        </a:ln>
                      </wps:spPr>
                      <wps:style>
                        <a:lnRef idx="0"/>
                        <a:fillRef idx="0"/>
                        <a:effectRef idx="0"/>
                        <a:fontRef idx="minor"/>
                      </wps:style>
                      <wps:txbx>
                        <w:txbxContent>
                          <w:p>
                            <w:pPr>
                              <w:pStyle w:val="Sadrajokvira"/>
                              <w:spacing w:before="0" w:after="0"/>
                              <w:jc w:val="left"/>
                              <w:rPr>
                                <w:b/>
                                <w:b/>
                                <w:color w:val="FFFFFF" w:themeColor="background1"/>
                                <w:sz w:val="20"/>
                                <w:szCs w:val="20"/>
                              </w:rPr>
                            </w:pPr>
                            <w:r>
                              <w:rPr>
                                <w:rFonts w:ascii="Arial Narrow" w:hAnsi="Arial Narrow"/>
                                <w:b/>
                                <w:color w:val="FFFFFF" w:themeColor="background1"/>
                                <w:sz w:val="20"/>
                                <w:szCs w:val="20"/>
                              </w:rPr>
                              <w:t>Vlažne livade kod Marušića</w:t>
                            </w:r>
                          </w:p>
                        </w:txbxContent>
                      </wps:txbx>
                      <wps:bodyPr>
                        <a:noAutofit/>
                      </wps:bodyPr>
                    </wps:wsp>
                  </a:graphicData>
                </a:graphic>
              </wp:anchor>
            </w:drawing>
          </mc:Choice>
          <mc:Fallback>
            <w:pict>
              <v:rect id="shape_0" ID="Tekstni okvir 15" stroked="f" style="position:absolute;margin-left:332.65pt;margin-top:155.6pt;width:101.25pt;height:39pt" wp14:anchorId="2BAECACC">
                <w10:wrap type="square"/>
                <v:fill o:detectmouseclick="t" on="false"/>
                <v:stroke color="#3465a4" weight="6480" joinstyle="round" endcap="flat"/>
                <v:textbox>
                  <w:txbxContent>
                    <w:p>
                      <w:pPr>
                        <w:pStyle w:val="Sadrajokvira"/>
                        <w:spacing w:before="0" w:after="0"/>
                        <w:jc w:val="left"/>
                        <w:rPr>
                          <w:b/>
                          <w:b/>
                          <w:color w:val="FFFFFF" w:themeColor="background1"/>
                          <w:sz w:val="20"/>
                          <w:szCs w:val="20"/>
                        </w:rPr>
                      </w:pPr>
                      <w:r>
                        <w:rPr>
                          <w:rFonts w:ascii="Arial Narrow" w:hAnsi="Arial Narrow"/>
                          <w:b/>
                          <w:color w:val="FFFFFF" w:themeColor="background1"/>
                          <w:sz w:val="20"/>
                          <w:szCs w:val="20"/>
                        </w:rPr>
                        <w:t>Vlažne livade kod Marušića</w:t>
                      </w:r>
                    </w:p>
                  </w:txbxContent>
                </v:textbox>
              </v:rect>
            </w:pict>
          </mc:Fallback>
        </mc:AlternateContent>
      </w:r>
    </w:p>
    <w:p>
      <w:pPr>
        <w:pStyle w:val="Normal"/>
        <w:tabs>
          <w:tab w:val="clear" w:pos="708"/>
          <w:tab w:val="left" w:pos="1155" w:leader="none"/>
        </w:tabs>
        <w:spacing w:before="120" w:after="120"/>
        <w:jc w:val="center"/>
        <w:rPr>
          <w:sz w:val="20"/>
          <w:szCs w:val="20"/>
        </w:rPr>
      </w:pPr>
      <w:r>
        <mc:AlternateContent>
          <mc:Choice Requires="wps">
            <w:drawing>
              <wp:anchor behindDoc="0" distT="0" distB="0" distL="0" distR="0" simplePos="0" locked="0" layoutInCell="1" allowOverlap="1" relativeHeight="53" wp14:anchorId="449C8080">
                <wp:simplePos x="0" y="0"/>
                <wp:positionH relativeFrom="column">
                  <wp:posOffset>120650</wp:posOffset>
                </wp:positionH>
                <wp:positionV relativeFrom="paragraph">
                  <wp:posOffset>74930</wp:posOffset>
                </wp:positionV>
                <wp:extent cx="391795" cy="191770"/>
                <wp:effectExtent l="0" t="0" r="28575" b="19050"/>
                <wp:wrapNone/>
                <wp:docPr id="29" name="Pravokutnik 6"/>
                <a:graphic xmlns:a="http://schemas.openxmlformats.org/drawingml/2006/main">
                  <a:graphicData uri="http://schemas.microsoft.com/office/word/2010/wordprocessingShape">
                    <wps:wsp>
                      <wps:cNvSpPr/>
                      <wps:spPr>
                        <a:xfrm>
                          <a:off x="0" y="0"/>
                          <a:ext cx="391320" cy="191160"/>
                        </a:xfrm>
                        <a:prstGeom prst="rect">
                          <a:avLst/>
                        </a:prstGeom>
                        <a:solidFill>
                          <a:srgbClr val="00cc00"/>
                        </a:solidFill>
                        <a:ln w="9360">
                          <a:solidFill>
                            <a:srgbClr val="3a5f8b"/>
                          </a:solidFill>
                          <a:round/>
                        </a:ln>
                      </wps:spPr>
                      <wps:style>
                        <a:lnRef idx="0"/>
                        <a:fillRef idx="0"/>
                        <a:effectRef idx="0"/>
                        <a:fontRef idx="minor"/>
                      </wps:style>
                      <wps:bodyPr/>
                    </wps:wsp>
                  </a:graphicData>
                </a:graphic>
              </wp:anchor>
            </w:drawing>
          </mc:Choice>
          <mc:Fallback>
            <w:pict>
              <v:rect id="shape_0" ID="Pravokutnik 6" fillcolor="#00cc00" stroked="t" style="position:absolute;margin-left:9.5pt;margin-top:5.9pt;width:30.75pt;height:15pt" wp14:anchorId="449C8080">
                <w10:wrap type="none"/>
                <v:fill o:detectmouseclick="t" type="solid" color2="#ff33ff"/>
                <v:stroke color="#3a5f8b" weight="9360" joinstyle="round" endcap="flat"/>
              </v:rect>
            </w:pict>
          </mc:Fallback>
        </mc:AlternateContent>
      </w:r>
      <w:r>
        <w:rPr>
          <w:sz w:val="20"/>
          <w:szCs w:val="20"/>
        </w:rPr>
        <w:t>područje očuvanja značajno za vrste i stanišne tipove –Vlažne livade kod Marušića</w:t>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4</w:t>
      </w:r>
      <w:r>
        <w:rPr>
          <w:sz w:val="20"/>
          <w:b/>
          <w:szCs w:val="20"/>
          <w:bCs/>
          <w:color w:val="auto"/>
        </w:rPr>
        <w:fldChar w:fldCharType="end"/>
      </w:r>
      <w:r>
        <w:rPr>
          <w:b/>
          <w:bCs/>
          <w:color w:val="auto"/>
          <w:sz w:val="20"/>
          <w:szCs w:val="20"/>
        </w:rPr>
        <w:t>. Izvod iz karte ekološke mreže na području Grada Buje – Buie</w:t>
      </w:r>
    </w:p>
    <w:p>
      <w:pPr>
        <w:pStyle w:val="Normal"/>
        <w:rPr>
          <w:lang w:bidi="en-US"/>
        </w:rPr>
      </w:pPr>
      <w:r>
        <w:rPr>
          <w:lang w:bidi="en-US"/>
        </w:rPr>
      </w:r>
    </w:p>
    <w:p>
      <w:pPr>
        <w:pStyle w:val="Stilnaslova3"/>
        <w:numPr>
          <w:ilvl w:val="2"/>
          <w:numId w:val="2"/>
        </w:numPr>
        <w:ind w:left="709" w:hanging="721"/>
        <w:rPr/>
      </w:pPr>
      <w:bookmarkStart w:id="54" w:name="_Toc99955668"/>
      <w:bookmarkStart w:id="55" w:name="_Toc116990116"/>
      <w:r>
        <w:rPr/>
        <w:t>Kulturno – povijesna baština</w:t>
      </w:r>
      <w:bookmarkEnd w:id="54"/>
      <w:bookmarkEnd w:id="55"/>
    </w:p>
    <w:p>
      <w:pPr>
        <w:pStyle w:val="Normal"/>
        <w:spacing w:before="120" w:after="120"/>
        <w:rPr/>
      </w:pPr>
      <w:r>
        <w:rPr/>
        <w:t xml:space="preserve">Teritorij Grada Buja – Buie ulazi u kategoriju onih s najvećom gustoćom spomenika na području Republike Hrvatske. </w:t>
      </w:r>
    </w:p>
    <w:p>
      <w:pPr>
        <w:pStyle w:val="Normal"/>
        <w:spacing w:before="120" w:after="120"/>
        <w:rPr/>
      </w:pPr>
      <w:r>
        <w:rPr/>
        <w:t>U nastavku su prikazana kulturna dobra na području Grada Buje – Buie.</w:t>
      </w:r>
    </w:p>
    <w:p>
      <w:pPr>
        <w:pStyle w:val="Normal"/>
        <w:spacing w:before="80" w:after="0"/>
        <w:rPr>
          <w:rFonts w:ascii="Arial Narrow" w:hAnsi="Arial Narrow"/>
        </w:rPr>
      </w:pPr>
      <w:r>
        <w:rPr>
          <w:rFonts w:ascii="Arial Narrow" w:hAnsi="Arial Narrow"/>
        </w:rPr>
      </w:r>
    </w:p>
    <w:p>
      <w:pPr>
        <w:pStyle w:val="Normal"/>
        <w:spacing w:before="0" w:after="0"/>
        <w:jc w:val="center"/>
        <w:rPr>
          <w:b/>
          <w:b/>
          <w:bCs/>
          <w:color w:val="54883D"/>
          <w:sz w:val="20"/>
          <w:szCs w:val="20"/>
        </w:rPr>
      </w:pPr>
      <w:r>
        <w:rPr>
          <w:b/>
          <w:bCs/>
          <w:color w:val="54883D"/>
          <w:sz w:val="20"/>
          <w:szCs w:val="20"/>
        </w:rPr>
        <w:t xml:space="preserve">Tablica </w:t>
      </w:r>
      <w:r>
        <w:rPr>
          <w:b/>
          <w:bCs/>
          <w:color w:val="54883D"/>
          <w:sz w:val="20"/>
          <w:szCs w:val="20"/>
        </w:rPr>
        <w:fldChar w:fldCharType="begin"/>
      </w:r>
      <w:r>
        <w:rPr>
          <w:sz w:val="20"/>
          <w:b/>
          <w:szCs w:val="20"/>
          <w:bCs/>
          <w:color w:val="54883D"/>
        </w:rPr>
        <w:instrText> SEQ Tablica \* ARABIC </w:instrText>
      </w:r>
      <w:r>
        <w:rPr>
          <w:sz w:val="20"/>
          <w:b/>
          <w:szCs w:val="20"/>
          <w:bCs/>
          <w:color w:val="54883D"/>
        </w:rPr>
        <w:fldChar w:fldCharType="separate"/>
      </w:r>
      <w:r>
        <w:rPr>
          <w:sz w:val="20"/>
          <w:b/>
          <w:szCs w:val="20"/>
          <w:bCs/>
          <w:color w:val="54883D"/>
        </w:rPr>
        <w:t>4</w:t>
      </w:r>
      <w:r>
        <w:rPr>
          <w:sz w:val="20"/>
          <w:b/>
          <w:szCs w:val="20"/>
          <w:bCs/>
          <w:color w:val="54883D"/>
        </w:rPr>
        <w:fldChar w:fldCharType="end"/>
      </w:r>
      <w:r>
        <w:rPr>
          <w:b/>
          <w:bCs/>
          <w:color w:val="54883D"/>
          <w:sz w:val="20"/>
          <w:szCs w:val="20"/>
        </w:rPr>
        <w:t>. Popis zaštićenih kulturnih dobara na području Grada Buje –Buie</w:t>
      </w:r>
    </w:p>
    <w:tbl>
      <w:tblPr>
        <w:tblStyle w:val="TableGrid"/>
        <w:tblW w:w="7153" w:type="dxa"/>
        <w:jc w:val="center"/>
        <w:tblInd w:w="0" w:type="dxa"/>
        <w:tblCellMar>
          <w:top w:w="0" w:type="dxa"/>
          <w:left w:w="108" w:type="dxa"/>
          <w:bottom w:w="0" w:type="dxa"/>
          <w:right w:w="108" w:type="dxa"/>
        </w:tblCellMar>
        <w:tblLook w:firstRow="1" w:noVBand="1" w:lastRow="0" w:firstColumn="1" w:lastColumn="0" w:noHBand="0" w:val="04a0"/>
      </w:tblPr>
      <w:tblGrid>
        <w:gridCol w:w="2502"/>
        <w:gridCol w:w="2643"/>
        <w:gridCol w:w="2008"/>
      </w:tblGrid>
      <w:tr>
        <w:trPr>
          <w:tblHeader w:val="true"/>
        </w:trPr>
        <w:tc>
          <w:tcPr>
            <w:tcW w:w="2502"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40" w:before="80" w:after="160"/>
              <w:jc w:val="center"/>
              <w:rPr>
                <w:b/>
                <w:b/>
                <w:sz w:val="20"/>
                <w:szCs w:val="20"/>
              </w:rPr>
            </w:pPr>
            <w:r>
              <w:rPr>
                <w:rFonts w:eastAsia="Times New Roman" w:cs="Times New Roman" w:ascii="Times New Roman" w:hAnsi="Times New Roman"/>
                <w:b/>
                <w:sz w:val="20"/>
                <w:szCs w:val="20"/>
                <w:lang w:eastAsia="hr-HR"/>
              </w:rPr>
              <w:t>Mjesto</w:t>
            </w:r>
          </w:p>
        </w:tc>
        <w:tc>
          <w:tcPr>
            <w:tcW w:w="2643"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40" w:before="80" w:after="160"/>
              <w:jc w:val="center"/>
              <w:rPr>
                <w:b/>
                <w:b/>
                <w:sz w:val="20"/>
                <w:szCs w:val="20"/>
              </w:rPr>
            </w:pPr>
            <w:r>
              <w:rPr>
                <w:rFonts w:eastAsia="Times New Roman" w:cs="Times New Roman" w:ascii="Times New Roman" w:hAnsi="Times New Roman"/>
                <w:b/>
                <w:sz w:val="20"/>
                <w:szCs w:val="20"/>
                <w:lang w:eastAsia="hr-HR"/>
              </w:rPr>
              <w:t>Naziv kulturnog dobra</w:t>
            </w:r>
          </w:p>
        </w:tc>
        <w:tc>
          <w:tcPr>
            <w:tcW w:w="2008"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40" w:before="80" w:after="160"/>
              <w:jc w:val="center"/>
              <w:rPr>
                <w:b/>
                <w:b/>
                <w:sz w:val="20"/>
                <w:szCs w:val="20"/>
              </w:rPr>
            </w:pPr>
            <w:r>
              <w:rPr>
                <w:rFonts w:eastAsia="Times New Roman" w:cs="Times New Roman" w:ascii="Times New Roman" w:hAnsi="Times New Roman"/>
                <w:b/>
                <w:sz w:val="20"/>
                <w:szCs w:val="20"/>
                <w:lang w:eastAsia="hr-HR"/>
              </w:rPr>
              <w:t>Vrsta kulturnog dobra</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Buje</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2"/>
              </w:rPr>
            </w:pPr>
            <w:hyperlink r:id="rId23">
              <w:r>
                <w:rPr>
                  <w:rFonts w:eastAsia="Times New Roman" w:cs="Times New Roman" w:ascii="Times New Roman" w:hAnsi="Times New Roman"/>
                  <w:color w:val="auto"/>
                  <w:sz w:val="24"/>
                  <w:szCs w:val="24"/>
                  <w:lang w:eastAsia="hr-HR"/>
                </w:rPr>
                <w:t>Arheološko nalazište uz zgradu Gimnazije</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Buje</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color w:val="auto"/>
                <w:sz w:val="20"/>
                <w:szCs w:val="22"/>
              </w:rPr>
            </w:pPr>
            <w:hyperlink r:id="rId24">
              <w:r>
                <w:rPr>
                  <w:rFonts w:eastAsia="Times New Roman" w:cs="Times New Roman" w:ascii="Times New Roman" w:hAnsi="Times New Roman"/>
                  <w:color w:val="auto"/>
                  <w:sz w:val="24"/>
                  <w:szCs w:val="24"/>
                  <w:lang w:eastAsia="hr-HR"/>
                </w:rPr>
                <w:t>Kompleks uljare</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76"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Buje</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color w:val="auto"/>
                <w:sz w:val="20"/>
                <w:szCs w:val="22"/>
              </w:rPr>
            </w:pPr>
            <w:hyperlink r:id="rId25">
              <w:r>
                <w:rPr>
                  <w:rFonts w:eastAsia="Times New Roman" w:cs="Times New Roman" w:ascii="Times New Roman" w:hAnsi="Times New Roman"/>
                  <w:color w:val="auto"/>
                  <w:sz w:val="24"/>
                  <w:szCs w:val="24"/>
                  <w:lang w:eastAsia="hr-HR"/>
                </w:rPr>
                <w:t>Kulturno - povijesna cjelina grada Buja</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Buje</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color w:val="auto"/>
                <w:sz w:val="20"/>
                <w:szCs w:val="22"/>
              </w:rPr>
            </w:pPr>
            <w:hyperlink r:id="rId26">
              <w:r>
                <w:rPr>
                  <w:rFonts w:eastAsia="Times New Roman" w:cs="Times New Roman" w:ascii="Times New Roman" w:hAnsi="Times New Roman"/>
                  <w:color w:val="auto"/>
                  <w:sz w:val="24"/>
                  <w:szCs w:val="24"/>
                  <w:lang w:eastAsia="hr-HR"/>
                </w:rPr>
                <w:t>Ostaci renesansne kuće, Ulica Strada Longa br. 12</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Kaštel</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80" w:after="160"/>
              <w:jc w:val="center"/>
              <w:rPr>
                <w:color w:val="auto"/>
                <w:sz w:val="20"/>
                <w:szCs w:val="22"/>
              </w:rPr>
            </w:pPr>
            <w:hyperlink r:id="rId27">
              <w:r>
                <w:rPr>
                  <w:rFonts w:eastAsia="Times New Roman" w:cs="Times New Roman" w:ascii="Times New Roman" w:hAnsi="Times New Roman"/>
                  <w:color w:val="auto"/>
                  <w:sz w:val="24"/>
                  <w:szCs w:val="24"/>
                  <w:lang w:eastAsia="hr-HR"/>
                </w:rPr>
                <w:t>Utvrđeno naselje Kaštel</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Krasica</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color w:val="auto"/>
                <w:sz w:val="20"/>
                <w:szCs w:val="22"/>
              </w:rPr>
            </w:pPr>
            <w:hyperlink r:id="rId28">
              <w:r>
                <w:rPr>
                  <w:rFonts w:eastAsia="Times New Roman" w:cs="Times New Roman" w:ascii="Times New Roman" w:hAnsi="Times New Roman"/>
                  <w:color w:val="auto"/>
                  <w:sz w:val="24"/>
                  <w:szCs w:val="24"/>
                  <w:lang w:eastAsia="hr-HR"/>
                </w:rPr>
                <w:t>Arheološko nalazište Kastion</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Nepokretno kulturno dobro</w:t>
            </w:r>
          </w:p>
        </w:tc>
      </w:tr>
      <w:tr>
        <w:trPr>
          <w:trHeight w:val="589" w:hRule="atLeast"/>
        </w:trPr>
        <w:tc>
          <w:tcPr>
            <w:tcW w:w="2502"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Momjan</w:t>
            </w:r>
          </w:p>
        </w:tc>
        <w:tc>
          <w:tcPr>
            <w:tcW w:w="2643"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color w:val="auto"/>
                <w:sz w:val="20"/>
                <w:szCs w:val="22"/>
              </w:rPr>
            </w:pPr>
            <w:hyperlink r:id="rId29">
              <w:r>
                <w:rPr>
                  <w:rFonts w:eastAsia="Times New Roman" w:cs="Times New Roman" w:ascii="Times New Roman" w:hAnsi="Times New Roman"/>
                  <w:color w:val="auto"/>
                  <w:sz w:val="24"/>
                  <w:szCs w:val="24"/>
                  <w:lang w:eastAsia="hr-HR"/>
                </w:rPr>
                <w:t>Arheološki lokalitet sa ostacima kaštela Momjan (Rota)</w:t>
              </w:r>
            </w:hyperlink>
          </w:p>
        </w:tc>
        <w:tc>
          <w:tcPr>
            <w:tcW w:w="2008" w:type="dxa"/>
            <w:tcBorders>
              <w:top w:val="single" w:sz="4" w:space="0" w:color="76923C"/>
              <w:left w:val="single" w:sz="4" w:space="0" w:color="76923C"/>
              <w:bottom w:val="single" w:sz="4" w:space="0" w:color="76923C"/>
              <w:right w:val="single" w:sz="4" w:space="0" w:color="76923C"/>
            </w:tcBorders>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Nepokretno kulturno dobro</w:t>
            </w:r>
          </w:p>
        </w:tc>
      </w:tr>
    </w:tbl>
    <w:p>
      <w:pPr>
        <w:pStyle w:val="Normal"/>
        <w:tabs>
          <w:tab w:val="clear" w:pos="708"/>
          <w:tab w:val="left" w:pos="3660" w:leader="none"/>
        </w:tabs>
        <w:rPr>
          <w:rFonts w:ascii="Arial Narrow" w:hAnsi="Arial Narrow"/>
          <w:sz w:val="20"/>
        </w:rPr>
      </w:pPr>
      <w:r>
        <w:rPr>
          <w:rFonts w:ascii="Arial Narrow" w:hAnsi="Arial Narrow"/>
        </w:rPr>
        <w:tab/>
      </w:r>
      <w:r>
        <w:rPr>
          <w:rFonts w:ascii="Arial Narrow" w:hAnsi="Arial Narrow"/>
          <w:color w:val="54883D"/>
          <w:sz w:val="20"/>
        </w:rPr>
        <w:t xml:space="preserve">Izvor: </w:t>
      </w:r>
      <w:hyperlink r:id="rId30">
        <w:r>
          <w:rPr>
            <w:rFonts w:ascii="Arial Narrow" w:hAnsi="Arial Narrow"/>
            <w:color w:val="54883D"/>
            <w:sz w:val="20"/>
          </w:rPr>
          <w:t>http://www.min-kulture.hr/</w:t>
        </w:r>
      </w:hyperlink>
    </w:p>
    <w:p>
      <w:pPr>
        <w:pStyle w:val="Normal"/>
        <w:tabs>
          <w:tab w:val="clear" w:pos="708"/>
          <w:tab w:val="left" w:pos="0" w:leader="none"/>
        </w:tabs>
        <w:spacing w:before="120" w:after="120"/>
        <w:rPr>
          <w:i/>
          <w:i/>
          <w:color w:val="54883D"/>
          <w:u w:val="single"/>
        </w:rPr>
      </w:pPr>
      <w:r>
        <w:rPr>
          <w:i/>
          <w:color w:val="54883D"/>
          <w:u w:val="single"/>
        </w:rPr>
        <w:t>Spomenici kulture</w:t>
      </w:r>
    </w:p>
    <w:p>
      <w:pPr>
        <w:pStyle w:val="Normal"/>
        <w:spacing w:before="120" w:after="120"/>
        <w:rPr>
          <w:u w:val="single"/>
        </w:rPr>
      </w:pPr>
      <w:r>
        <w:rPr>
          <w:color w:val="auto"/>
          <w:lang w:eastAsia="hr-HR"/>
        </w:rPr>
        <w:t>Arheološki lokalitet sa ostacima kaštela Momjan (Rota), Momjanski zvonik, Parenzana, Park šuma Kanedo, Stara uljara Buje, Ulica Belvedere u starogradskoj jezgri Buja, Trg Sv. Servula u centru starogradske jezgre Buja, Kuća s biforom, Kula Sv. Martina, Vinarski podrum, Gradske zidine, Staro groblje Sv. Martina, Zvonik Buje, Gradski zvonik Buje i sat, Trg uz kulu ili groblje, Kula – vidikovac, Zidine na Trgu slobode, Ulaz ispod muzeja, Romanička bifora, Reljefi, Kamena baza za zastavu, nekada stup srama iz 17. stoljeća, Potok Argilla, mlinovi, kanali za dovod vode, Potok Bazuje, mlinovi za brašno, Spilja Cingarella, arheološko nalazište, Crkva Sv. Antuna opata u Lozarima, Crkva Sv. Ivana Krstitelja (na groblju) Merišće, Crkva Sv. Jakova u Brdima, Crkva Sv. Jurja u Oskurušu, Crkva Sv. Jurja u Tribanu, Crkva Sv. Justine u Kućibregu, Crkva Sv. Katarine na groblju u Oskurušu, Crkva Sv. Lucije (Sorbar pokraj Marušića, groblje), Crkva Sv. Marije Magdalene, Brič groblje,</w:t>
      </w:r>
    </w:p>
    <w:p>
      <w:pPr>
        <w:pStyle w:val="Normal"/>
        <w:spacing w:before="120" w:after="120"/>
        <w:rPr>
          <w:color w:val="auto"/>
          <w:lang w:eastAsia="hr-HR"/>
        </w:rPr>
      </w:pPr>
      <w:r>
        <w:rPr>
          <w:color w:val="auto"/>
          <w:lang w:eastAsia="hr-HR"/>
        </w:rPr>
        <w:t>Crkva Sv. Marije (Fabijančići, desno od ceste Momjan-Kremenje), Crkva Sv. Martina u Momjanu, Crkva Sv. Mihovila arhanđela nadomak Vižinade, pokraj Kaštela, Crkva Sv. Maura ili majka Božja od Zdravlja u Sv. Mavru, Crkva Sv. Petra i Pavla u Kršetama, Crkva Sv. Petra u Momjanu, Crkva Sv. Petra na području Sorbara, Crkva Sv. Roka na momjanskom groblju, Crkva Sv. Roka u Burolima, Crkva Sv. Sabe, podno Kaštela, Crkva Sv. Stjepana u Krasici, Momjanski izvor: uređeno pojilište i posude za pranje rublja ispod žive stijene.</w:t>
      </w:r>
    </w:p>
    <w:p>
      <w:pPr>
        <w:pStyle w:val="Normal"/>
        <w:shd w:val="clear" w:color="auto" w:fill="FFFFFF"/>
        <w:spacing w:before="120" w:after="120"/>
        <w:textAlignment w:val="baseline"/>
        <w:rPr/>
      </w:pPr>
      <w:r>
        <w:rPr/>
        <w:t>Posebno značajni spomenici grada su: Dvorac Rotta u Momjanu, Crkva Sv. Servula u Bujama, Crkva Majke Milosrđa u Bujama, kula Sv. Martina te niz manjih crkvica lokalnog značaja.</w:t>
      </w:r>
    </w:p>
    <w:p>
      <w:pPr>
        <w:pStyle w:val="Normal"/>
        <w:ind w:left="720" w:hanging="0"/>
        <w:rPr/>
      </w:pPr>
      <w:r>
        <w:rPr/>
      </w:r>
    </w:p>
    <w:p>
      <w:pPr>
        <w:pStyle w:val="Stilnaslova2"/>
        <w:numPr>
          <w:ilvl w:val="1"/>
          <w:numId w:val="2"/>
        </w:numPr>
        <w:rPr/>
      </w:pPr>
      <w:bookmarkStart w:id="56" w:name="_Toc99955669"/>
      <w:bookmarkStart w:id="57" w:name="_Toc116990117"/>
      <w:r>
        <w:rPr/>
        <w:t>Povijesni pokazatelji</w:t>
      </w:r>
      <w:bookmarkEnd w:id="56"/>
      <w:bookmarkEnd w:id="57"/>
    </w:p>
    <w:p>
      <w:pPr>
        <w:pStyle w:val="Stilnaslova3"/>
        <w:numPr>
          <w:ilvl w:val="2"/>
          <w:numId w:val="2"/>
        </w:numPr>
        <w:ind w:left="709" w:hanging="721"/>
        <w:rPr/>
      </w:pPr>
      <w:bookmarkStart w:id="58" w:name="_Toc99955670"/>
      <w:bookmarkStart w:id="59" w:name="_Toc116990118"/>
      <w:r>
        <w:rPr/>
        <w:t>Prijašnji događaji i štete uslijed prijašnjih događaja</w:t>
      </w:r>
      <w:bookmarkEnd w:id="58"/>
      <w:bookmarkEnd w:id="59"/>
    </w:p>
    <w:p>
      <w:pPr>
        <w:pStyle w:val="Normal"/>
        <w:tabs>
          <w:tab w:val="clear" w:pos="708"/>
          <w:tab w:val="left" w:pos="2445" w:leader="none"/>
        </w:tabs>
        <w:rPr>
          <w:color w:val="auto"/>
        </w:rPr>
      </w:pPr>
      <w:r>
        <w:rPr>
          <w:color w:val="auto"/>
        </w:rPr>
        <w:t>Prijašnji događaji na području Grada Buja zajedno s materijalnom štetom koja je nastala prikazani su u slijedećoj tablici:</w:t>
      </w:r>
    </w:p>
    <w:p>
      <w:pPr>
        <w:pStyle w:val="Normal"/>
        <w:tabs>
          <w:tab w:val="clear" w:pos="708"/>
          <w:tab w:val="left" w:pos="2445" w:leader="none"/>
        </w:tabs>
        <w:rPr>
          <w:color w:val="auto"/>
        </w:rPr>
      </w:pPr>
      <w:r>
        <w:rPr>
          <w:color w:val="auto"/>
        </w:rPr>
      </w:r>
    </w:p>
    <w:p>
      <w:pPr>
        <w:pStyle w:val="Normal"/>
        <w:spacing w:before="0" w:after="16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5</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Prijašnji događaji i štete uslijed prijašnjih događaja</w:t>
      </w:r>
    </w:p>
    <w:tbl>
      <w:tblPr>
        <w:tblStyle w:val="GridTable6Colorful-Accent3"/>
        <w:tblW w:w="9634" w:type="dxa"/>
        <w:jc w:val="left"/>
        <w:tblInd w:w="0" w:type="dxa"/>
        <w:tblCellMar>
          <w:top w:w="0" w:type="dxa"/>
          <w:left w:w="108" w:type="dxa"/>
          <w:bottom w:w="0" w:type="dxa"/>
          <w:right w:w="108" w:type="dxa"/>
        </w:tblCellMar>
        <w:tblLook w:firstRow="1" w:noVBand="1" w:lastRow="0" w:firstColumn="1" w:lastColumn="0" w:noHBand="0" w:val="04a0"/>
      </w:tblPr>
      <w:tblGrid>
        <w:gridCol w:w="1673"/>
        <w:gridCol w:w="1584"/>
        <w:gridCol w:w="1790"/>
        <w:gridCol w:w="4586"/>
      </w:tblGrid>
      <w:tr>
        <w:trPr>
          <w:cnfStyle w:val="100000000000" w:firstRow="1" w:lastRow="0" w:firstColumn="0" w:lastColumn="0" w:oddVBand="0" w:evenVBand="0" w:oddHBand="0" w:evenHBand="0" w:firstRowFirstColumn="0" w:firstRowLastColumn="0" w:lastRowFirstColumn="0" w:lastRowLastColumn="0"/>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left"/>
              <w:rPr>
                <w:sz w:val="20"/>
                <w:szCs w:val="20"/>
              </w:rPr>
            </w:pPr>
            <w:r>
              <w:rPr>
                <w:b/>
                <w:bCs/>
                <w:color w:val="76923C" w:themeColor="accent3" w:themeShade="bf"/>
                <w:sz w:val="20"/>
                <w:szCs w:val="20"/>
              </w:rPr>
              <w:t>Elementarna nepogoda</w:t>
            </w:r>
          </w:p>
        </w:tc>
        <w:tc>
          <w:tcPr>
            <w:tcW w:w="1584"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left"/>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Datum</w:t>
            </w:r>
          </w:p>
        </w:tc>
        <w:tc>
          <w:tcPr>
            <w:tcW w:w="1790"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left"/>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Lokacija</w:t>
            </w:r>
          </w:p>
        </w:tc>
        <w:tc>
          <w:tcPr>
            <w:tcW w:w="4586"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spacing w:lineRule="auto" w:line="276" w:before="0" w:after="0"/>
              <w:jc w:val="left"/>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Materijalna šteta</w:t>
            </w:r>
          </w:p>
        </w:tc>
      </w:tr>
      <w:tr>
        <w:trPr>
          <w:cnfStyle w:val="000000100000" w:firstRow="0" w:lastRow="0" w:firstColumn="0" w:lastColumn="0" w:oddVBand="0" w:evenVBand="0" w:oddHBand="1" w:evenHBand="0" w:firstRowFirstColumn="0" w:firstRowLastColumn="0" w:lastRowFirstColumn="0" w:lastRowLastColumn="0"/>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b w:val="false"/>
                <w:b w:val="false"/>
                <w:sz w:val="20"/>
                <w:szCs w:val="20"/>
              </w:rPr>
            </w:pPr>
            <w:r>
              <w:rPr>
                <w:b w:val="false"/>
                <w:bCs/>
                <w:color w:val="76923C" w:themeColor="accent3" w:themeShade="bf"/>
                <w:sz w:val="20"/>
                <w:szCs w:val="20"/>
              </w:rPr>
              <w:t>Suša, tuča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30.8.2007.</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Cijelo područje Istarske županije</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Ukupna procijenjena šteta 244.990.628,89 kn</w:t>
            </w:r>
          </w:p>
        </w:tc>
      </w:tr>
      <w:tr>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b w:val="false"/>
                <w:b w:val="false"/>
                <w:sz w:val="20"/>
                <w:szCs w:val="20"/>
              </w:rPr>
            </w:pPr>
            <w:r>
              <w:rPr>
                <w:b w:val="false"/>
                <w:bCs/>
                <w:color w:val="76923C" w:themeColor="accent3" w:themeShade="bf"/>
                <w:sz w:val="20"/>
                <w:szCs w:val="20"/>
              </w:rPr>
              <w:t>Tuča, pijavica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8.8.2008.</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lang w:val="it-IT"/>
              </w:rPr>
              <w:t>Poreština, Bujština</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Ukupna procijenjena šteta 58.704.086,18</w:t>
            </w:r>
          </w:p>
        </w:tc>
      </w:tr>
      <w:tr>
        <w:trPr>
          <w:cnfStyle w:val="000000100000" w:firstRow="0" w:lastRow="0" w:firstColumn="0" w:lastColumn="0" w:oddVBand="0" w:evenVBand="0" w:oddHBand="1" w:evenHBand="0" w:firstRowFirstColumn="0" w:firstRowLastColumn="0" w:lastRowFirstColumn="0" w:lastRowLastColumn="0"/>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b w:val="false"/>
                <w:b w:val="false"/>
                <w:sz w:val="20"/>
                <w:szCs w:val="20"/>
              </w:rPr>
            </w:pPr>
            <w:r>
              <w:rPr>
                <w:b w:val="false"/>
                <w:bCs/>
                <w:color w:val="76923C" w:themeColor="accent3" w:themeShade="bf"/>
                <w:sz w:val="20"/>
                <w:szCs w:val="20"/>
              </w:rPr>
              <w:t>Ekstremne kišne oborine (150-200 mm/m</w:t>
            </w:r>
            <w:r>
              <w:rPr>
                <w:b w:val="false"/>
                <w:bCs/>
                <w:color w:val="76923C" w:themeColor="accent3" w:themeShade="bf"/>
                <w:sz w:val="20"/>
                <w:szCs w:val="20"/>
                <w:vertAlign w:val="superscript"/>
              </w:rPr>
              <w:t>2</w:t>
            </w:r>
            <w:r>
              <w:rPr>
                <w:b w:val="false"/>
                <w:bCs/>
                <w:color w:val="76923C" w:themeColor="accent3" w:themeShade="bf"/>
                <w:sz w:val="20"/>
                <w:szCs w:val="20"/>
              </w:rPr>
              <w:t>) - poplava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17/19. rujna 2010.g.</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Grad Buje</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Štetne posljedice po poljoprivredne kulture i dugogodišnje nasade, obiteljske kuće,  gospodarske i infrastrukturne objekte, motorna vozila i dr.</w:t>
            </w:r>
          </w:p>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b/>
                <w:b/>
                <w:sz w:val="20"/>
                <w:szCs w:val="20"/>
              </w:rPr>
            </w:pPr>
            <w:r>
              <w:rPr>
                <w:color w:val="76923C" w:themeColor="accent3" w:themeShade="bf"/>
                <w:sz w:val="20"/>
                <w:szCs w:val="20"/>
              </w:rPr>
              <w:t>Proglašena je i elementarna nepogoda sa procijenjenom štetom od 8,8 mil. kn.</w:t>
            </w:r>
          </w:p>
        </w:tc>
      </w:tr>
      <w:tr>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b w:val="false"/>
                <w:b w:val="false"/>
                <w:sz w:val="20"/>
                <w:szCs w:val="20"/>
              </w:rPr>
            </w:pPr>
            <w:r>
              <w:rPr>
                <w:b w:val="false"/>
                <w:bCs/>
                <w:color w:val="76923C" w:themeColor="accent3" w:themeShade="bf"/>
                <w:sz w:val="20"/>
                <w:szCs w:val="20"/>
              </w:rPr>
              <w:t>Suša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Travanj/studeni 2011.</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Cijelo područje Istarske županije</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Ukupna procijenjena šteta 66.871.869.10 kn odnosno 53.300.333,32 kn za štete preko 60%.</w:t>
            </w:r>
          </w:p>
        </w:tc>
      </w:tr>
      <w:tr>
        <w:trPr>
          <w:cnfStyle w:val="000000100000" w:firstRow="0" w:lastRow="0" w:firstColumn="0" w:lastColumn="0" w:oddVBand="0" w:evenVBand="0" w:oddHBand="1" w:evenHBand="0" w:firstRowFirstColumn="0" w:firstRowLastColumn="0" w:lastRowFirstColumn="0" w:lastRowLastColumn="0"/>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sz w:val="20"/>
                <w:szCs w:val="20"/>
              </w:rPr>
            </w:pPr>
            <w:r>
              <w:rPr>
                <w:b w:val="false"/>
                <w:bCs/>
                <w:color w:val="76923C" w:themeColor="accent3" w:themeShade="bf"/>
                <w:sz w:val="20"/>
                <w:szCs w:val="20"/>
              </w:rPr>
              <w:t>Suša, požar i tuča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Travanj, 2012. g.</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Cijelo područje Istarske županije</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Tabletext"/>
              <w:spacing w:lineRule="auto" w:line="276"/>
              <w:jc w:val="left"/>
              <w:cnfStyle w:val="000000100000" w:firstRow="0" w:lastRow="0" w:firstColumn="0" w:lastColumn="0" w:oddVBand="0" w:evenVBand="0" w:oddHBand="1" w:evenHBand="0" w:firstRowFirstColumn="0" w:firstRowLastColumn="0" w:lastRowFirstColumn="0" w:lastRowLastColumn="0"/>
              <w:rPr>
                <w:rFonts w:cs="Arial"/>
                <w:color w:val="000000" w:themeColor="text1"/>
                <w:lang w:val="hr-HR"/>
              </w:rPr>
            </w:pPr>
            <w:r>
              <w:rPr>
                <w:rFonts w:cs="Arial"/>
                <w:color w:val="000000" w:themeColor="text1" w:themeShade="bf"/>
                <w:lang w:val="hr-HR"/>
              </w:rPr>
              <w:t>Ukupna procijenjena šteta od suše na poljoprivrednim usjevima 193.235.411,58 kn, požari 1.312.072,00 kn</w:t>
            </w:r>
          </w:p>
          <w:p>
            <w:pPr>
              <w:pStyle w:val="Normal"/>
              <w:tabs>
                <w:tab w:val="clear" w:pos="708"/>
                <w:tab w:val="left" w:pos="2445" w:leader="none"/>
              </w:tabs>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 tuča 15.188.773,25 kn</w:t>
            </w:r>
          </w:p>
        </w:tc>
      </w:tr>
      <w:tr>
        <w:trPr/>
        <w:tc>
          <w:tcPr>
            <w:tcW w:w="1673"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rPr>
                <w:b w:val="false"/>
                <w:b w:val="false"/>
                <w:sz w:val="20"/>
                <w:szCs w:val="20"/>
              </w:rPr>
            </w:pPr>
            <w:r>
              <w:rPr>
                <w:b w:val="false"/>
                <w:bCs/>
                <w:color w:val="76923C" w:themeColor="accent3" w:themeShade="bf"/>
                <w:sz w:val="20"/>
                <w:szCs w:val="20"/>
              </w:rPr>
              <w:t>Poplava</w:t>
            </w:r>
          </w:p>
        </w:tc>
        <w:tc>
          <w:tcPr>
            <w:tcW w:w="158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27.10.-16.11.2012.</w:t>
            </w:r>
          </w:p>
        </w:tc>
        <w:tc>
          <w:tcPr>
            <w:tcW w:w="179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tabs>
                <w:tab w:val="clear" w:pos="708"/>
                <w:tab w:val="left" w:pos="2445" w:leader="none"/>
              </w:tabs>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Cijelo područje Istarske županije</w:t>
            </w:r>
          </w:p>
        </w:tc>
        <w:tc>
          <w:tcPr>
            <w:tcW w:w="4586"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Tabletext"/>
              <w:spacing w:lineRule="auto" w:line="276"/>
              <w:jc w:val="left"/>
              <w:cnfStyle w:val="000000000000" w:firstRow="0" w:lastRow="0" w:firstColumn="0" w:lastColumn="0" w:oddVBand="0" w:evenVBand="0" w:oddHBand="0" w:evenHBand="0" w:firstRowFirstColumn="0" w:firstRowLastColumn="0" w:lastRowFirstColumn="0" w:lastRowLastColumn="0"/>
              <w:rPr>
                <w:rFonts w:cs="Arial"/>
                <w:color w:val="000000" w:themeColor="text1"/>
                <w:lang w:val="hr-HR"/>
              </w:rPr>
            </w:pPr>
            <w:r>
              <w:rPr>
                <w:rFonts w:cs="Arial"/>
                <w:color w:val="000000" w:themeColor="text1" w:themeShade="bf"/>
                <w:lang w:val="hr-HR"/>
              </w:rPr>
              <w:t>Ukupno procijenjena šteta na poljoprivrednim kulturama i dr. uz vodotoke je 2.612.075,27 kn</w:t>
            </w:r>
          </w:p>
        </w:tc>
      </w:tr>
    </w:tbl>
    <w:p>
      <w:pPr>
        <w:pStyle w:val="Normal"/>
        <w:rPr>
          <w:lang w:bidi="en-US"/>
        </w:rPr>
      </w:pPr>
      <w:r>
        <w:rPr>
          <w:lang w:bidi="en-US"/>
        </w:rPr>
      </w:r>
    </w:p>
    <w:p>
      <w:pPr>
        <w:pStyle w:val="Stilnaslova3"/>
        <w:numPr>
          <w:ilvl w:val="2"/>
          <w:numId w:val="2"/>
        </w:numPr>
        <w:ind w:left="709" w:hanging="721"/>
        <w:rPr/>
      </w:pPr>
      <w:bookmarkStart w:id="60" w:name="_Toc99955671"/>
      <w:bookmarkStart w:id="61" w:name="_Toc116990119"/>
      <w:r>
        <w:rPr/>
        <w:t>Uvedene mjere nakon događaja koji su uzrokovali štetu</w:t>
      </w:r>
      <w:bookmarkEnd w:id="60"/>
      <w:bookmarkEnd w:id="61"/>
    </w:p>
    <w:p>
      <w:pPr>
        <w:pStyle w:val="Normal"/>
        <w:rPr>
          <w:color w:val="54883D"/>
        </w:rPr>
      </w:pPr>
      <w:r>
        <w:rPr>
          <w:i/>
          <w:color w:val="54883D"/>
        </w:rPr>
        <w:t>Mjere</w:t>
      </w:r>
      <w:r>
        <w:rPr>
          <w:color w:val="54883D"/>
        </w:rPr>
        <w:t xml:space="preserve"> zaštite u urbanističkim planovima i građenju od poplava i štetnog djelovanja voda</w:t>
      </w:r>
    </w:p>
    <w:p>
      <w:pPr>
        <w:pStyle w:val="ListParagraph"/>
        <w:numPr>
          <w:ilvl w:val="0"/>
          <w:numId w:val="14"/>
        </w:numPr>
        <w:rPr/>
      </w:pPr>
      <w:r>
        <w:rPr/>
        <w:t xml:space="preserve">Unutar obuhvata Plana potrebno je izraditi katastar postojećeg stanja oborinskih kanala i bujičnih tokova. </w:t>
      </w:r>
    </w:p>
    <w:p>
      <w:pPr>
        <w:pStyle w:val="ListParagraph"/>
        <w:numPr>
          <w:ilvl w:val="0"/>
          <w:numId w:val="14"/>
        </w:numPr>
        <w:rPr/>
      </w:pPr>
      <w:r>
        <w:rPr/>
        <w:t>Pri rekonstrukciji i izgradnji prometnica, otvorenih javnih prostora, treba ugraditi u projektna rješenja regulaciju sustava odvodnje.</w:t>
      </w:r>
    </w:p>
    <w:p>
      <w:pPr>
        <w:pStyle w:val="ListParagraph"/>
        <w:numPr>
          <w:ilvl w:val="0"/>
          <w:numId w:val="14"/>
        </w:numPr>
        <w:rPr/>
      </w:pPr>
      <w:r>
        <w:rPr/>
        <w:t>Zaštita od poplava provodi se temeljem Plana obrane od poplava na vodama II. reda (lokalne vode) Istarske županije.</w:t>
      </w:r>
    </w:p>
    <w:p>
      <w:pPr>
        <w:pStyle w:val="Normal"/>
        <w:ind w:left="360" w:hanging="0"/>
        <w:rPr/>
      </w:pPr>
      <w:r>
        <w:rPr/>
      </w:r>
    </w:p>
    <w:p>
      <w:pPr>
        <w:pStyle w:val="Normal"/>
        <w:rPr>
          <w:i/>
          <w:i/>
          <w:color w:val="54883D"/>
        </w:rPr>
      </w:pPr>
      <w:r>
        <w:rPr>
          <w:i/>
          <w:color w:val="54883D"/>
        </w:rPr>
        <w:t>Mjere zaštite od potresa u urbanističkim planovima i građenju</w:t>
      </w:r>
    </w:p>
    <w:p>
      <w:pPr>
        <w:pStyle w:val="ListParagraph"/>
        <w:numPr>
          <w:ilvl w:val="0"/>
          <w:numId w:val="15"/>
        </w:numPr>
        <w:rPr/>
      </w:pPr>
      <w:r>
        <w:rPr/>
        <w:t>Smještaj, projektiranje i građenje građevina treba provoditi sukladno seizmičkim kartama i propisima koji reguliraju zaštitu od potresa.</w:t>
      </w:r>
    </w:p>
    <w:p>
      <w:pPr>
        <w:pStyle w:val="ListParagraph"/>
        <w:numPr>
          <w:ilvl w:val="0"/>
          <w:numId w:val="15"/>
        </w:numPr>
        <w:rPr/>
      </w:pPr>
      <w:r>
        <w:rPr/>
        <w:t>Zaštita od potresa provodi se protupotresnim projektiranjem građevina primjenom kriterija za 7</w:t>
      </w:r>
      <w:r>
        <w:rPr>
          <w:vertAlign w:val="superscript"/>
        </w:rPr>
        <w:t>o</w:t>
      </w:r>
      <w:r>
        <w:rPr/>
        <w:t xml:space="preserve"> MCS (MSK 64).</w:t>
      </w:r>
    </w:p>
    <w:p>
      <w:pPr>
        <w:pStyle w:val="ListParagraph"/>
        <w:numPr>
          <w:ilvl w:val="0"/>
          <w:numId w:val="15"/>
        </w:numPr>
        <w:rPr/>
      </w:pPr>
      <w:r>
        <w:rPr/>
        <w:t>Protupotresno projektiranje građevina kao i građenje treba provoditi sukladno Zakonu prostornom uređenju te postojećim tehničkim propisima.</w:t>
      </w:r>
    </w:p>
    <w:p>
      <w:pPr>
        <w:pStyle w:val="ListParagraph"/>
        <w:numPr>
          <w:ilvl w:val="0"/>
          <w:numId w:val="15"/>
        </w:numPr>
        <w:rPr/>
      </w:pPr>
      <w:r>
        <w:rPr/>
        <w:t>Prilikom utvrđivanja uvjeta uređenja prostora za rekonstrukcije starijih građevina koje nisu projektirane u skladu s propisima za protupotresno projektiranje i građenje, potrebno je uvjetovati analizu otpornosti na rušilačko djelovanje potresa, a izdavanje dozvole za građenje treba uvjetovati ojačavanjem konstruktivnih elemenata na djelovanje potresa.</w:t>
      </w:r>
    </w:p>
    <w:p>
      <w:pPr>
        <w:pStyle w:val="ListParagraph"/>
        <w:numPr>
          <w:ilvl w:val="0"/>
          <w:numId w:val="15"/>
        </w:numPr>
        <w:rPr/>
      </w:pPr>
      <w:r>
        <w:rPr/>
        <w:t>Ulice unutar novih dijelova područja moraju se projektirati na taj način da razmak građevina od ulice omogućuje da eventualne ruševine građevina ne zaprječivanju ulice radi omogućavanja evakuacije ljudi i pristupa interventnim vozilima.</w:t>
      </w:r>
    </w:p>
    <w:p>
      <w:pPr>
        <w:pStyle w:val="Normal"/>
        <w:ind w:left="1440" w:hanging="0"/>
        <w:rPr/>
      </w:pPr>
      <w:r>
        <w:rPr/>
      </w:r>
    </w:p>
    <w:p>
      <w:pPr>
        <w:pStyle w:val="Normal"/>
        <w:jc w:val="left"/>
        <w:rPr>
          <w:i/>
          <w:i/>
          <w:color w:val="54883D"/>
        </w:rPr>
      </w:pPr>
      <w:r>
        <w:rPr>
          <w:i/>
          <w:color w:val="54883D"/>
        </w:rPr>
        <w:t>Mjere zaštite u urbanističkim planovima i građenju od požara</w:t>
      </w:r>
    </w:p>
    <w:p>
      <w:pPr>
        <w:pStyle w:val="ListParagraph"/>
        <w:numPr>
          <w:ilvl w:val="0"/>
          <w:numId w:val="50"/>
        </w:numPr>
        <w:rPr>
          <w:i/>
          <w:i/>
        </w:rPr>
      </w:pPr>
      <w:r>
        <w:rPr/>
        <w:t xml:space="preserve">Zaštita od požara provodi se sukladno zakonima, propisima i normama iz područja zaštite od požara. </w:t>
      </w:r>
    </w:p>
    <w:p>
      <w:pPr>
        <w:pStyle w:val="ListParagraph"/>
        <w:numPr>
          <w:ilvl w:val="0"/>
          <w:numId w:val="50"/>
        </w:numPr>
        <w:rPr>
          <w:i/>
          <w:i/>
        </w:rPr>
      </w:pPr>
      <w:r>
        <w:rPr/>
        <w:t xml:space="preserve">U cilju zaštite od požara potrebno je: </w:t>
      </w:r>
    </w:p>
    <w:p>
      <w:pPr>
        <w:pStyle w:val="ListParagraph"/>
        <w:numPr>
          <w:ilvl w:val="0"/>
          <w:numId w:val="16"/>
        </w:numPr>
        <w:rPr>
          <w:i/>
          <w:i/>
        </w:rPr>
      </w:pPr>
      <w:r>
        <w:rPr/>
        <w:t>unapređivati vatrodojavni sustav,</w:t>
      </w:r>
    </w:p>
    <w:p>
      <w:pPr>
        <w:pStyle w:val="ListParagraph"/>
        <w:numPr>
          <w:ilvl w:val="0"/>
          <w:numId w:val="16"/>
        </w:numPr>
        <w:rPr/>
      </w:pPr>
      <w:r>
        <w:rPr/>
        <w:t>regulirati parkiranje uz infrastrukturne i javne objekte i omogućiti im nesmetan pristup,</w:t>
      </w:r>
    </w:p>
    <w:p>
      <w:pPr>
        <w:pStyle w:val="ListParagraph"/>
        <w:numPr>
          <w:ilvl w:val="0"/>
          <w:numId w:val="16"/>
        </w:numPr>
        <w:rPr/>
      </w:pPr>
      <w:r>
        <w:rPr/>
        <w:t xml:space="preserve">kod izgradnje i rekonstrukcije građevina predvidjeti odgovarajuće preventivne mjere, - provoditi održavanje zelenih površina, </w:t>
      </w:r>
    </w:p>
    <w:p>
      <w:pPr>
        <w:pStyle w:val="ListParagraph"/>
        <w:numPr>
          <w:ilvl w:val="0"/>
          <w:numId w:val="16"/>
        </w:numPr>
        <w:rPr/>
      </w:pPr>
      <w:r>
        <w:rPr/>
        <w:t xml:space="preserve">održavati i sanirati postojeće cisterne </w:t>
      </w:r>
    </w:p>
    <w:p>
      <w:pPr>
        <w:pStyle w:val="ListParagraph"/>
        <w:numPr>
          <w:ilvl w:val="0"/>
          <w:numId w:val="16"/>
        </w:numPr>
        <w:rPr/>
      </w:pPr>
      <w:r>
        <w:rPr/>
        <w:t xml:space="preserve">prilikom gradnje ili rekonstrukcije vodoopskrbnih mreža obavezno predvidjeti vanjsku hidrantsku mrežu. </w:t>
      </w:r>
    </w:p>
    <w:p>
      <w:pPr>
        <w:pStyle w:val="ListParagraph"/>
        <w:numPr>
          <w:ilvl w:val="0"/>
          <w:numId w:val="50"/>
        </w:numPr>
        <w:rPr>
          <w:i/>
          <w:i/>
        </w:rPr>
      </w:pPr>
      <w:r>
        <w:rPr/>
        <w:t xml:space="preserve">Radi omogućavanja spašavanja osoba iz građevina i gašenja požara na građevini ili otvorenom prostoru treba u idejnim i glavnim projektima planirati odgovarajuće vatrogasne pristupe, prilaze i površine za operativni rad vatrogasnih vozila. </w:t>
      </w:r>
    </w:p>
    <w:p>
      <w:pPr>
        <w:pStyle w:val="ListParagraph"/>
        <w:numPr>
          <w:ilvl w:val="0"/>
          <w:numId w:val="50"/>
        </w:numPr>
        <w:rPr/>
      </w:pPr>
      <w:r>
        <w:rPr/>
        <w:t xml:space="preserve"> </w:t>
      </w:r>
      <w:r>
        <w:rPr/>
        <w:t xml:space="preserve">Tijekom gradnje građevina treba primjenjivati zakone, pravilnike i ostale propise koji osiguravaju: </w:t>
      </w:r>
    </w:p>
    <w:p>
      <w:pPr>
        <w:pStyle w:val="ListParagraph"/>
        <w:numPr>
          <w:ilvl w:val="0"/>
          <w:numId w:val="17"/>
        </w:numPr>
        <w:rPr>
          <w:i/>
          <w:i/>
        </w:rPr>
      </w:pPr>
      <w:r>
        <w:rPr/>
        <w:t xml:space="preserve">racionalnu vatrootpornost građevine, </w:t>
      </w:r>
    </w:p>
    <w:p>
      <w:pPr>
        <w:pStyle w:val="ListParagraph"/>
        <w:numPr>
          <w:ilvl w:val="0"/>
          <w:numId w:val="17"/>
        </w:numPr>
        <w:rPr>
          <w:i/>
          <w:i/>
        </w:rPr>
      </w:pPr>
      <w:r>
        <w:rPr/>
        <w:t>brzo napuštanje ugrožene građevine, dijela građevine ili otvorenog prostora,</w:t>
      </w:r>
    </w:p>
    <w:p>
      <w:pPr>
        <w:pStyle w:val="ListParagraph"/>
        <w:numPr>
          <w:ilvl w:val="0"/>
          <w:numId w:val="17"/>
        </w:numPr>
        <w:rPr>
          <w:i/>
          <w:i/>
        </w:rPr>
      </w:pPr>
      <w:r>
        <w:rPr/>
        <w:t xml:space="preserve">sigurnost susjednih građevina u odnosu na zapaljenu, srušenu ili na drugi način ugroženu građevinu, </w:t>
      </w:r>
    </w:p>
    <w:p>
      <w:pPr>
        <w:pStyle w:val="ListParagraph"/>
        <w:numPr>
          <w:ilvl w:val="0"/>
          <w:numId w:val="17"/>
        </w:numPr>
        <w:rPr>
          <w:i/>
          <w:i/>
        </w:rPr>
      </w:pPr>
      <w:r>
        <w:rPr/>
        <w:t xml:space="preserve">pristupačnost građevini ili području za potrebe vatrogasne intervencije ili pomoći. </w:t>
      </w:r>
    </w:p>
    <w:p>
      <w:pPr>
        <w:pStyle w:val="ListParagraph"/>
        <w:numPr>
          <w:ilvl w:val="0"/>
          <w:numId w:val="17"/>
        </w:numPr>
        <w:rPr>
          <w:i/>
          <w:i/>
        </w:rPr>
      </w:pPr>
      <w:r>
        <w:rPr/>
        <w:t>Propisanim uvjetima za izgradnju građevina osigurava se optimalna zaštita od požara.</w:t>
      </w:r>
    </w:p>
    <w:p>
      <w:pPr>
        <w:pStyle w:val="Normal"/>
        <w:rPr>
          <w:i/>
          <w:i/>
        </w:rPr>
      </w:pPr>
      <w:r>
        <w:rPr>
          <w:i/>
        </w:rPr>
      </w:r>
    </w:p>
    <w:p>
      <w:pPr>
        <w:pStyle w:val="Normal"/>
        <w:rPr>
          <w:i/>
          <w:i/>
          <w:color w:val="54883D"/>
        </w:rPr>
      </w:pPr>
      <w:r>
        <w:rPr>
          <w:i/>
          <w:color w:val="54883D"/>
        </w:rPr>
        <w:t>Mjere zaštite u urbanističkim planovima i građenju od ostalih prirodnih uzoraka</w:t>
      </w:r>
    </w:p>
    <w:p>
      <w:pPr>
        <w:pStyle w:val="Normal"/>
        <w:rPr>
          <w:color w:val="auto"/>
        </w:rPr>
      </w:pPr>
      <w:r>
        <w:rPr>
          <w:color w:val="auto"/>
        </w:rPr>
        <w:t xml:space="preserve">Zaštita od oborinskog režima provedi se u vezi s posljedicama do kojih može doći, i u vezi je sa zaštitom od poplava, bujica, klizišta i erozije, izgradnjom zaštitnih vodnih građevina i drugim građevinskim mjerama. </w:t>
      </w:r>
    </w:p>
    <w:p>
      <w:pPr>
        <w:pStyle w:val="Normal"/>
        <w:rPr>
          <w:color w:val="auto"/>
        </w:rPr>
      </w:pPr>
      <w:r>
        <w:rPr>
          <w:color w:val="auto"/>
        </w:rPr>
        <w:t>Najuspješnija i najpouzdanija metoda protiv suše je navodnjavanje. Učinak navodnjavanja u značajnoj mjeri ovisi o pravilnom određivanju rokova i normi navodnjavanja u odnosu na potrebe određene kulture za vodom.</w:t>
      </w:r>
    </w:p>
    <w:p>
      <w:pPr>
        <w:pStyle w:val="Normal"/>
        <w:rPr>
          <w:color w:val="auto"/>
        </w:rPr>
      </w:pPr>
      <w:r>
        <w:rPr>
          <w:color w:val="auto"/>
        </w:rPr>
        <w:t>Mjere zaštite od snježnih zapuha odnose se na planiranje i izgradnju umjetnih prepreka (snjegobrana i šumskih pojaseva). Snježne oborine mogu prouzročiti velike štete na građevinama, a najvećim dijelom to se odnosi na krovne konstrukcije, koje trebaju biti projektirane prema normama za opterećenje snijegom karakteristično za različita područja, a određeno na temelju meteoroloških podataka iz višegodišnjeg razdoblja motrenja.</w:t>
      </w:r>
    </w:p>
    <w:p>
      <w:pPr>
        <w:pStyle w:val="Normal"/>
        <w:rPr>
          <w:color w:val="auto"/>
        </w:rPr>
      </w:pPr>
      <w:r>
        <w:rPr>
          <w:color w:val="auto"/>
        </w:rPr>
        <w:t>Preventivne mjere obrane od poledice uključuju prognozu za tu pojavu te izvješćivanje o tome odgovarajućih službi, koje u svojoj redovnoj djelatnosti vode računa o sigurnosti prometne infrastrukture.</w:t>
      </w:r>
    </w:p>
    <w:p>
      <w:pPr>
        <w:pStyle w:val="Normal"/>
        <w:rPr>
          <w:color w:val="auto"/>
        </w:rPr>
      </w:pPr>
      <w:r>
        <w:rPr>
          <w:color w:val="auto"/>
        </w:rPr>
        <w:t>Zaštita od vjetra, olujnog ili orkanskog nevremena moguće je ostvariti provođenjem preventivnih mjera pri planiranju naselja te gradnji stambenih i poslovnih građevina. Odabirom pojačanih konstrukcija posebno krovišta i adekvatnog pokrova moguće je znatno umanjiti štete od olujnog nevremena.</w:t>
      </w:r>
    </w:p>
    <w:p>
      <w:pPr>
        <w:pStyle w:val="Normal"/>
        <w:rPr>
          <w:color w:val="auto"/>
        </w:rPr>
      </w:pPr>
      <w:r>
        <w:rPr>
          <w:color w:val="auto"/>
        </w:rPr>
        <w:t>Sanacija klizišta je dugotrajan posao i treba ga provoditi u dijelovima na način da se dijelovi klizišta uklone ili sidre za čvrstu podlogu. Najprije se saniraju dijelovi klizišta koji prijete stambenim objektima i prometnicama.</w:t>
      </w:r>
    </w:p>
    <w:p>
      <w:pPr>
        <w:pStyle w:val="Normal"/>
        <w:rPr>
          <w:color w:val="auto"/>
        </w:rPr>
      </w:pPr>
      <w:r>
        <w:rPr>
          <w:color w:val="auto"/>
        </w:rPr>
        <w:t>Mjere obrane od tuče provodi Državni hidrometeorološki zavod na ukupnoj površini od 24.100 km</w:t>
      </w:r>
      <w:r>
        <w:rPr>
          <w:color w:val="auto"/>
          <w:vertAlign w:val="superscript"/>
        </w:rPr>
        <w:t>2</w:t>
      </w:r>
      <w:r>
        <w:rPr>
          <w:color w:val="auto"/>
        </w:rPr>
        <w:t>. Sezona obrane od tuče traje od 1. svibnja do 30. rujna kada tuča može prouzročiti velike štete na poljoprivrednim kulturama i ostaloj imovini. Operativna obrana provodi se pomoću raketa, a od 1995. i prizemnim generatorima na osam Radarskih centara (RC). Svaki centar odgovoran je za svoj dio branjenog područja.</w:t>
      </w:r>
    </w:p>
    <w:p>
      <w:pPr>
        <w:pStyle w:val="Normal"/>
        <w:rPr>
          <w:color w:val="auto"/>
        </w:rPr>
      </w:pPr>
      <w:r>
        <w:rPr>
          <w:color w:val="auto"/>
        </w:rPr>
      </w:r>
    </w:p>
    <w:p>
      <w:pPr>
        <w:pStyle w:val="Normal"/>
        <w:rPr>
          <w:i/>
          <w:i/>
          <w:color w:val="54883D"/>
        </w:rPr>
      </w:pPr>
      <w:r>
        <w:rPr>
          <w:i/>
          <w:color w:val="54883D"/>
        </w:rPr>
        <w:t>Mjere zaštite u urbanističkim planovima i građenju od tehničko tehnoloških nesreća</w:t>
      </w:r>
    </w:p>
    <w:p>
      <w:pPr>
        <w:pStyle w:val="Normal"/>
        <w:rPr>
          <w:color w:val="auto"/>
        </w:rPr>
      </w:pPr>
      <w:r>
        <w:rPr>
          <w:color w:val="auto"/>
        </w:rPr>
        <w:t xml:space="preserve">Mjere zaštite provode se kroz temeljne i posebne uvjete zaštite, uređenja i korištenja prostora. Temeljni uvjeti zaštite obuhvaćeni su načelima i općim uvjetima prostornog planiranja i zaštite prostora. Primjenjuju se kroz prostornu organizaciju u kojoj se primjenjuje načelo policentričnosti naselja, izgradnju naselja na zaštićenim položajima te izbjegavanju građenja gospodarskih sadržaja potencijalno opasnih za stanovništvo u gusto naseljenim područjima, planiranje i građenje infrastrukturnih koridora i prometnica na zaštićenim prostorima, racionalno korištenje tla i očuvanje šuma i vodotoka te građenje građevine za zaštitu od visokih voda, ograničenja u građenju u seizmički aktivnijim područjima te omogućavanje korištenja alternativnih prometnih koridora za potrebe evakuacije stanovništva. </w:t>
      </w:r>
    </w:p>
    <w:p>
      <w:pPr>
        <w:pStyle w:val="Normal"/>
        <w:rPr>
          <w:color w:val="auto"/>
        </w:rPr>
      </w:pPr>
      <w:r>
        <w:rPr>
          <w:color w:val="auto"/>
        </w:rPr>
      </w:r>
    </w:p>
    <w:p>
      <w:pPr>
        <w:pStyle w:val="Stilnaslova2"/>
        <w:numPr>
          <w:ilvl w:val="1"/>
          <w:numId w:val="2"/>
        </w:numPr>
        <w:rPr/>
      </w:pPr>
      <w:bookmarkStart w:id="62" w:name="_Toc99955672"/>
      <w:bookmarkStart w:id="63" w:name="_Toc116990120"/>
      <w:r>
        <w:rPr/>
        <w:t>Pokazatelji operativne sposobnosti</w:t>
      </w:r>
      <w:bookmarkEnd w:id="62"/>
      <w:bookmarkEnd w:id="63"/>
    </w:p>
    <w:p>
      <w:pPr>
        <w:pStyle w:val="Stilnaslova3"/>
        <w:numPr>
          <w:ilvl w:val="2"/>
          <w:numId w:val="2"/>
        </w:numPr>
        <w:ind w:left="709" w:hanging="721"/>
        <w:rPr/>
      </w:pPr>
      <w:bookmarkStart w:id="64" w:name="_Toc99955673"/>
      <w:bookmarkStart w:id="65" w:name="_Toc116990121"/>
      <w:r>
        <w:rPr/>
        <w:t>Popis operativnih snaga</w:t>
      </w:r>
      <w:bookmarkEnd w:id="64"/>
      <w:bookmarkEnd w:id="65"/>
    </w:p>
    <w:p>
      <w:pPr>
        <w:pStyle w:val="Normal"/>
        <w:rPr>
          <w:szCs w:val="22"/>
          <w:u w:val="single"/>
        </w:rPr>
      </w:pPr>
      <w:r>
        <w:rPr>
          <w:bCs/>
          <w:szCs w:val="22"/>
        </w:rPr>
        <w:t>Gradsko vijeće Grada Buja dana 30. srpnja 2020. godine donosi Odluku o određivanju pravnih osoba od interesa za sustav civilne zaštite na području Grada Buja (KLASA: 810-01/18-01/01 URBROJ: 2105/01-02-20-14).</w:t>
      </w:r>
    </w:p>
    <w:p>
      <w:pPr>
        <w:pStyle w:val="Normal"/>
        <w:rPr>
          <w:sz w:val="20"/>
        </w:rPr>
      </w:pPr>
      <w:r>
        <w:rPr>
          <w:u w:val="single"/>
        </w:rPr>
        <w:t>Operativne snage civilne zaštite</w:t>
      </w:r>
    </w:p>
    <w:p>
      <w:pPr>
        <w:pStyle w:val="Normal"/>
        <w:numPr>
          <w:ilvl w:val="0"/>
          <w:numId w:val="34"/>
        </w:numPr>
        <w:tabs>
          <w:tab w:val="clear" w:pos="708"/>
          <w:tab w:val="left" w:pos="2445" w:leader="none"/>
        </w:tabs>
        <w:spacing w:before="120" w:after="120"/>
        <w:contextualSpacing/>
        <w:rPr>
          <w:color w:val="auto"/>
          <w:szCs w:val="20"/>
          <w:lang w:bidi="en-US"/>
        </w:rPr>
      </w:pPr>
      <w:r>
        <w:rPr>
          <w:color w:val="auto"/>
          <w:szCs w:val="20"/>
          <w:lang w:bidi="en-US"/>
        </w:rPr>
        <w:t>Stožer civilne zaštite Grada Buje – Buie (12 članova),</w:t>
      </w:r>
    </w:p>
    <w:p>
      <w:pPr>
        <w:pStyle w:val="Normal"/>
        <w:numPr>
          <w:ilvl w:val="0"/>
          <w:numId w:val="34"/>
        </w:numPr>
        <w:tabs>
          <w:tab w:val="clear" w:pos="708"/>
          <w:tab w:val="left" w:pos="2445" w:leader="none"/>
        </w:tabs>
        <w:spacing w:before="120" w:after="120"/>
        <w:contextualSpacing/>
        <w:rPr>
          <w:color w:val="auto"/>
          <w:szCs w:val="20"/>
          <w:lang w:bidi="en-US"/>
        </w:rPr>
      </w:pPr>
      <w:r>
        <w:rPr>
          <w:color w:val="auto"/>
          <w:szCs w:val="20"/>
        </w:rPr>
        <w:t>Operativne snage vatrogastva (JVP Umag, DVD Buje, Služba civilne zaštite vatrogasne zajednice Istarske županije),</w:t>
      </w:r>
    </w:p>
    <w:p>
      <w:pPr>
        <w:pStyle w:val="Normal"/>
        <w:numPr>
          <w:ilvl w:val="0"/>
          <w:numId w:val="34"/>
        </w:numPr>
        <w:tabs>
          <w:tab w:val="clear" w:pos="708"/>
          <w:tab w:val="left" w:pos="2445" w:leader="none"/>
        </w:tabs>
        <w:spacing w:before="120" w:after="120"/>
        <w:contextualSpacing/>
        <w:rPr>
          <w:b/>
          <w:b/>
          <w:color w:val="auto"/>
          <w:sz w:val="18"/>
          <w:szCs w:val="18"/>
        </w:rPr>
      </w:pPr>
      <w:r>
        <w:rPr>
          <w:color w:val="auto"/>
          <w:szCs w:val="20"/>
        </w:rPr>
        <w:t>Operativne snage Hrvatskog Crvenog križa (Gradsko društvo crvenog križa Buje),</w:t>
      </w:r>
    </w:p>
    <w:p>
      <w:pPr>
        <w:pStyle w:val="Normal"/>
        <w:numPr>
          <w:ilvl w:val="0"/>
          <w:numId w:val="34"/>
        </w:numPr>
        <w:tabs>
          <w:tab w:val="clear" w:pos="708"/>
          <w:tab w:val="left" w:pos="2445" w:leader="none"/>
        </w:tabs>
        <w:spacing w:before="120" w:after="120"/>
        <w:contextualSpacing/>
        <w:rPr>
          <w:b/>
          <w:b/>
          <w:color w:val="auto"/>
          <w:sz w:val="18"/>
          <w:szCs w:val="18"/>
        </w:rPr>
      </w:pPr>
      <w:r>
        <w:rPr>
          <w:b/>
          <w:color w:val="auto"/>
          <w:sz w:val="18"/>
          <w:szCs w:val="20"/>
          <w:u w:val="single"/>
        </w:rPr>
        <w:t>Operativne snage Hrvatske gorske službe spašavanja, Stanica Pula</w:t>
      </w:r>
    </w:p>
    <w:p>
      <w:pPr>
        <w:pStyle w:val="Normal"/>
        <w:rPr>
          <w:szCs w:val="22"/>
          <w:u w:val="single"/>
        </w:rPr>
      </w:pPr>
      <w:r>
        <w:rPr>
          <w:szCs w:val="22"/>
          <w:u w:val="single"/>
        </w:rPr>
      </w:r>
    </w:p>
    <w:p>
      <w:pPr>
        <w:pStyle w:val="Normal"/>
        <w:rPr>
          <w:szCs w:val="22"/>
          <w:u w:val="single"/>
        </w:rPr>
      </w:pPr>
      <w:r>
        <w:rPr>
          <w:szCs w:val="22"/>
          <w:u w:val="single"/>
        </w:rPr>
        <w:t>Pravne osobe od interesa za sustav civilne zaštite Grada:</w:t>
      </w:r>
    </w:p>
    <w:p>
      <w:pPr>
        <w:pStyle w:val="ListParagraph"/>
        <w:numPr>
          <w:ilvl w:val="0"/>
          <w:numId w:val="50"/>
        </w:numPr>
        <w:rPr/>
      </w:pPr>
      <w:r>
        <w:rPr/>
        <w:t xml:space="preserve">ISTARSKI VODOVOD d.o.o. </w:t>
      </w:r>
    </w:p>
    <w:p>
      <w:pPr>
        <w:pStyle w:val="ListParagraph"/>
        <w:numPr>
          <w:ilvl w:val="0"/>
          <w:numId w:val="50"/>
        </w:numPr>
        <w:rPr/>
      </w:pPr>
      <w:r>
        <w:rPr/>
        <w:t>6. MAJ d.o.o.</w:t>
      </w:r>
    </w:p>
    <w:p>
      <w:pPr>
        <w:pStyle w:val="ListParagraph"/>
        <w:numPr>
          <w:ilvl w:val="0"/>
          <w:numId w:val="50"/>
        </w:numPr>
        <w:rPr/>
      </w:pPr>
      <w:r>
        <w:rPr/>
        <w:t>CIVITAS BULLEARUM d.o.o.</w:t>
      </w:r>
    </w:p>
    <w:p>
      <w:pPr>
        <w:pStyle w:val="ListParagraph"/>
        <w:numPr>
          <w:ilvl w:val="0"/>
          <w:numId w:val="50"/>
        </w:numPr>
        <w:rPr/>
      </w:pPr>
      <w:r>
        <w:rPr/>
        <w:t>VETERINARSKA STANICA RIJEKA d.o.o.</w:t>
      </w:r>
    </w:p>
    <w:p>
      <w:pPr>
        <w:pStyle w:val="ListParagraph"/>
        <w:numPr>
          <w:ilvl w:val="0"/>
          <w:numId w:val="50"/>
        </w:numPr>
        <w:rPr/>
      </w:pPr>
      <w:r>
        <w:rPr/>
        <w:t>SAECULO d.o.o.</w:t>
      </w:r>
    </w:p>
    <w:p>
      <w:pPr>
        <w:pStyle w:val="ListParagraph"/>
        <w:numPr>
          <w:ilvl w:val="0"/>
          <w:numId w:val="50"/>
        </w:numPr>
        <w:rPr/>
      </w:pPr>
      <w:r>
        <w:rPr/>
        <w:t>METIOR GRADNJA d.o.o.</w:t>
      </w:r>
    </w:p>
    <w:p>
      <w:pPr>
        <w:pStyle w:val="ListParagraph"/>
        <w:numPr>
          <w:ilvl w:val="0"/>
          <w:numId w:val="50"/>
        </w:numPr>
        <w:rPr/>
      </w:pPr>
      <w:r>
        <w:rPr/>
        <w:t>Goting d.o.o.</w:t>
      </w:r>
    </w:p>
    <w:p>
      <w:pPr>
        <w:pStyle w:val="ListParagraph"/>
        <w:numPr>
          <w:ilvl w:val="0"/>
          <w:numId w:val="50"/>
        </w:numPr>
        <w:rPr/>
      </w:pPr>
      <w:r>
        <w:rPr/>
        <w:t>Tesar – zidar Miro Jergović</w:t>
      </w:r>
    </w:p>
    <w:p>
      <w:pPr>
        <w:pStyle w:val="ListParagraph"/>
        <w:numPr>
          <w:ilvl w:val="0"/>
          <w:numId w:val="50"/>
        </w:numPr>
        <w:rPr/>
      </w:pPr>
      <w:r>
        <w:rPr/>
        <w:t>KONZUM plus d.o.o.</w:t>
      </w:r>
    </w:p>
    <w:p>
      <w:pPr>
        <w:pStyle w:val="ListParagraph"/>
        <w:numPr>
          <w:ilvl w:val="0"/>
          <w:numId w:val="50"/>
        </w:numPr>
        <w:rPr/>
      </w:pPr>
      <w:r>
        <w:rPr/>
        <w:t>AUTOTRANS d.d.</w:t>
      </w:r>
    </w:p>
    <w:p>
      <w:pPr>
        <w:pStyle w:val="Stilnaslova1"/>
        <w:numPr>
          <w:ilvl w:val="0"/>
          <w:numId w:val="2"/>
        </w:numPr>
        <w:rPr/>
      </w:pPr>
      <w:bookmarkStart w:id="66" w:name="_Toc496179670"/>
      <w:bookmarkStart w:id="67" w:name="_Toc99955674"/>
      <w:bookmarkStart w:id="68" w:name="_Toc116990122"/>
      <w:r>
        <w:rPr/>
        <w:t>Identifikacija prijetnji i rizika</w:t>
      </w:r>
      <w:bookmarkEnd w:id="66"/>
      <w:bookmarkEnd w:id="67"/>
      <w:bookmarkEnd w:id="68"/>
    </w:p>
    <w:p>
      <w:pPr>
        <w:pStyle w:val="Stilnaslova2"/>
        <w:numPr>
          <w:ilvl w:val="1"/>
          <w:numId w:val="2"/>
        </w:numPr>
        <w:rPr/>
      </w:pPr>
      <w:bookmarkStart w:id="69" w:name="_Toc496179671"/>
      <w:bookmarkStart w:id="70" w:name="_Toc99955675"/>
      <w:bookmarkStart w:id="71" w:name="_Toc116990123"/>
      <w:r>
        <w:rPr/>
        <w:t>Popis identificiranih prijetnji i rizika</w:t>
      </w:r>
      <w:bookmarkEnd w:id="69"/>
      <w:bookmarkEnd w:id="70"/>
      <w:bookmarkEnd w:id="71"/>
    </w:p>
    <w:p>
      <w:pPr>
        <w:pStyle w:val="Normal"/>
        <w:rPr/>
      </w:pPr>
      <w:r>
        <w:rPr/>
        <w:t xml:space="preserve">Na području Grada Buje identificirano je </w:t>
      </w:r>
      <w:r>
        <w:rPr>
          <w:color w:val="auto"/>
        </w:rPr>
        <w:t>8</w:t>
      </w:r>
      <w:r>
        <w:rPr/>
        <w:t xml:space="preserve"> rizika </w:t>
      </w:r>
      <w:r>
        <w:rPr>
          <w:color w:val="auto"/>
        </w:rPr>
        <w:t xml:space="preserve">koji predstavljaju potencijalnu ugrozu za stanovništvo, materijalna i kulturna dobra te okoliš. U sljedećoj tablici (Tablica 15.) dan je popis identificiranih prijetnji na području Grada Buja.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sectPr>
          <w:headerReference w:type="default" r:id="rId31"/>
          <w:headerReference w:type="first" r:id="rId32"/>
          <w:footerReference w:type="default" r:id="rId33"/>
          <w:footerReference w:type="first" r:id="rId34"/>
          <w:type w:val="nextPage"/>
          <w:pgSz w:w="11906" w:h="16838"/>
          <w:pgMar w:left="1418" w:right="1418" w:header="567" w:top="1418" w:footer="0" w:bottom="1418" w:gutter="0"/>
          <w:pgNumType w:fmt="decimal"/>
          <w:formProt w:val="false"/>
          <w:titlePg/>
          <w:textDirection w:val="lrTb"/>
          <w:docGrid w:type="default" w:linePitch="360" w:charSpace="4096"/>
        </w:sectPr>
        <w:pStyle w:val="Normal"/>
        <w:rPr/>
      </w:pPr>
      <w:r>
        <w:rPr/>
      </w:r>
    </w:p>
    <w:p>
      <w:pPr>
        <w:pStyle w:val="Normal"/>
        <w:spacing w:before="0" w:after="24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6</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 xml:space="preserve"> Identifikacija prijetnji</w:t>
      </w:r>
    </w:p>
    <w:tbl>
      <w:tblPr>
        <w:tblStyle w:val="GridTable6Colorful-Accent31"/>
        <w:tblW w:w="16064" w:type="dxa"/>
        <w:jc w:val="center"/>
        <w:tblInd w:w="0" w:type="dxa"/>
        <w:tblCellMar>
          <w:top w:w="0" w:type="dxa"/>
          <w:left w:w="108" w:type="dxa"/>
          <w:bottom w:w="0" w:type="dxa"/>
          <w:right w:w="108" w:type="dxa"/>
        </w:tblCellMar>
        <w:tblLook w:firstRow="1" w:noVBand="1" w:lastRow="0" w:firstColumn="1" w:lastColumn="0" w:noHBand="0" w:val="04a0"/>
      </w:tblPr>
      <w:tblGrid>
        <w:gridCol w:w="761"/>
        <w:gridCol w:w="1547"/>
        <w:gridCol w:w="4207"/>
        <w:gridCol w:w="3094"/>
        <w:gridCol w:w="3568"/>
        <w:gridCol w:w="2886"/>
      </w:tblGrid>
      <w:tr>
        <w:trPr>
          <w:trHeight w:val="360" w:hRule="atLeast"/>
          <w:cnfStyle w:val="100000000000" w:firstRow="1" w:lastRow="0" w:firstColumn="0" w:lastColumn="0" w:oddVBand="0" w:evenVBand="0" w:oddHBand="0" w:evenHBand="0" w:firstRowFirstColumn="0" w:firstRowLastColumn="0" w:lastRowFirstColumn="0" w:lastRowLastColumn="0"/>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rPr>
                <w:color w:val="auto"/>
                <w:sz w:val="20"/>
                <w:szCs w:val="20"/>
              </w:rPr>
            </w:pPr>
            <w:r>
              <w:rPr>
                <w:b/>
                <w:bCs/>
                <w:color w:val="auto" w:themeColor="accent3" w:themeShade="bf"/>
                <w:sz w:val="20"/>
                <w:szCs w:val="20"/>
              </w:rPr>
              <w:t>R.BR.</w:t>
            </w:r>
          </w:p>
        </w:tc>
        <w:tc>
          <w:tcPr>
            <w:tcW w:w="154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PRIJETNJA</w:t>
            </w:r>
          </w:p>
        </w:tc>
        <w:tc>
          <w:tcPr>
            <w:tcW w:w="420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KRATAK OPIS SCENARIJA</w:t>
            </w:r>
          </w:p>
        </w:tc>
        <w:tc>
          <w:tcPr>
            <w:tcW w:w="3094"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UTJECAJ NA DRUŠTVENE VRIJEDNOSTI</w:t>
            </w:r>
          </w:p>
        </w:tc>
        <w:tc>
          <w:tcPr>
            <w:tcW w:w="35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PREVENTIVNE MJERE</w:t>
            </w:r>
          </w:p>
        </w:tc>
        <w:tc>
          <w:tcPr>
            <w:tcW w:w="288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MJERE ODGOVORA</w:t>
            </w:r>
          </w:p>
        </w:tc>
      </w:tr>
      <w:tr>
        <w:trPr>
          <w:cnfStyle w:val="000000100000" w:firstRow="0" w:lastRow="0" w:firstColumn="0" w:lastColumn="0" w:oddVBand="0" w:evenVBand="0" w:oddHBand="1" w:evenHBand="0" w:firstRowFirstColumn="0" w:firstRowLastColumn="0" w:lastRowFirstColumn="0" w:lastRowLastColumn="0"/>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1.</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100000" w:firstRow="0" w:lastRow="0" w:firstColumn="0" w:lastColumn="0" w:oddVBand="0" w:evenVBand="0" w:oddHBand="1"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Požar otvorenog prostor</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ind w:left="8" w:hanging="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 xml:space="preserve">Požar otvorenog prostora, pri čemu se prije svega misli na požare raslinja, složena su pojava u kojoj se isprepliću različita termodinamička i aerodinamična događanja. </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ListParagraph"/>
              <w:numPr>
                <w:ilvl w:val="0"/>
                <w:numId w:val="9"/>
              </w:numPr>
              <w:spacing w:lineRule="auto" w:line="240" w:before="72" w:after="72"/>
              <w:contextualSpacing/>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Život i zdravlje ljudi</w:t>
            </w:r>
          </w:p>
          <w:p>
            <w:pPr>
              <w:pStyle w:val="ListParagraph"/>
              <w:numPr>
                <w:ilvl w:val="0"/>
                <w:numId w:val="9"/>
              </w:numPr>
              <w:spacing w:lineRule="auto" w:line="240"/>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Gospodarstvo</w:t>
            </w:r>
          </w:p>
          <w:p>
            <w:pPr>
              <w:pStyle w:val="ListParagraph"/>
              <w:numPr>
                <w:ilvl w:val="0"/>
                <w:numId w:val="9"/>
              </w:numPr>
              <w:spacing w:lineRule="auto" w:line="240" w:before="72" w:after="72"/>
              <w:contextualSpacing/>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Društvena stabilnost i politika</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 xml:space="preserve">Osposobljavanje, opremanje i uvježbavanje vatrogasnih snaga. Edukacija i informiranje građana Grada Buja, održavanje  protupožarnih prosjeka. </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Uzbunjivanje i obavješćivanje i aktiviranje snaga za zaštitu od požara. Sklanjanje, evakuacija i zbrinjavanje stanovništva i materijalnih dobara. Obnova opožarenih prostora.</w:t>
            </w:r>
          </w:p>
        </w:tc>
      </w:tr>
      <w:tr>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2.</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000000" w:firstRow="0" w:lastRow="0" w:firstColumn="0" w:lastColumn="0" w:oddVBand="0" w:evenVBand="0" w:oddHBand="0"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Epidemije i pandemije</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Pandemija SARS-CoV-2 virusa.</w:t>
            </w:r>
          </w:p>
          <w:p>
            <w:pPr>
              <w:pStyle w:val="TableParagraph"/>
              <w:ind w:left="102" w:right="116"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Najgori slučaj je širenje SARS-CoV-2 virusa i poprimanje pandemije.</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1. Život i zdravlje ljudi</w:t>
            </w:r>
          </w:p>
          <w:p>
            <w:pPr>
              <w:pStyle w:val="TableParagraph"/>
              <w:ind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z w:val="20"/>
                <w:szCs w:val="20"/>
                <w:lang w:val="hr-HR"/>
              </w:rPr>
              <w:t>2. Gospodarstvo</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Održavanje fizičke distance, nošenje maski, cijepljenje stanovništva</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Provedba zdravstvene zaštite, ograničavanje kretanja u zdravstvenim ustanovama</w:t>
            </w:r>
          </w:p>
        </w:tc>
      </w:tr>
      <w:tr>
        <w:trPr>
          <w:cnfStyle w:val="000000100000" w:firstRow="0" w:lastRow="0" w:firstColumn="0" w:lastColumn="0" w:oddVBand="0" w:evenVBand="0" w:oddHBand="1" w:evenHBand="0" w:firstRowFirstColumn="0" w:firstRowLastColumn="0" w:lastRowFirstColumn="0" w:lastRowLastColumn="0"/>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color w:val="auto"/>
                <w:sz w:val="20"/>
                <w:szCs w:val="20"/>
              </w:rPr>
            </w:pPr>
            <w:r>
              <w:rPr>
                <w:b/>
                <w:bCs/>
                <w:color w:val="76923C" w:themeColor="accent3" w:themeShade="bf"/>
                <w:sz w:val="20"/>
                <w:szCs w:val="20"/>
              </w:rPr>
              <w:t xml:space="preserve">3. </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100000" w:firstRow="0" w:lastRow="0" w:firstColumn="0" w:lastColumn="0" w:oddVBand="0" w:evenVBand="0" w:oddHBand="1"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Industrijske nesreće</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Istjecanje eurosupera iz autocisterne i nastanak eksplozije plinovite faze.</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4" w:right="151" w:hanging="0"/>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1. Život i zdravlje ljudi</w:t>
            </w:r>
          </w:p>
          <w:p>
            <w:pPr>
              <w:pStyle w:val="TableParagraph"/>
              <w:ind w:left="104" w:right="151" w:hanging="0"/>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2. Gospodarstvo</w:t>
            </w:r>
          </w:p>
          <w:p>
            <w:pPr>
              <w:pStyle w:val="TableParagraph"/>
              <w:ind w:left="104" w:right="151"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pacing w:val="-1"/>
                <w:sz w:val="20"/>
                <w:szCs w:val="20"/>
                <w:lang w:val="hr-HR"/>
              </w:rPr>
              <w:t>3. Društvena stabilnost i politika</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Provedba mjera kontrole i inspekcijskog nadzora, modernizacija tehnološkog procesa i opreme za zaštitu i spašavanje</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Evakuacija i provedba zdravstvene skrbi, obnova</w:t>
            </w:r>
          </w:p>
        </w:tc>
      </w:tr>
      <w:tr>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4.</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000000" w:firstRow="0" w:lastRow="0" w:firstColumn="0" w:lastColumn="0" w:oddVBand="0" w:evenVBand="0" w:oddHBand="0"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Potres</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Rušenje stambenih i poslovnih zgrada sa većim brojem ozlijeđenih osoba.</w:t>
            </w:r>
          </w:p>
          <w:p>
            <w:pPr>
              <w:pStyle w:val="TableParagraph"/>
              <w:ind w:left="102" w:right="116"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Najgori slučaj je pojava potresa  7 stupnja MCS ljestvice.</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1. Život i zdravlje ljudi</w:t>
            </w:r>
          </w:p>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2. Gospodarstvo</w:t>
            </w:r>
          </w:p>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3. Društvena stabilnost i politika</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Prostorno planiranje i gradnja sa maksimalnom otpornošću građevina na potres</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Zbrinjavanje stanovništva i provedba zdravstvene skrbi, sanacija i asanacija</w:t>
            </w:r>
          </w:p>
        </w:tc>
      </w:tr>
      <w:tr>
        <w:trPr>
          <w:cnfStyle w:val="000000100000" w:firstRow="0" w:lastRow="0" w:firstColumn="0" w:lastColumn="0" w:oddVBand="0" w:evenVBand="0" w:oddHBand="1" w:evenHBand="0" w:firstRowFirstColumn="0" w:firstRowLastColumn="0" w:lastRowFirstColumn="0" w:lastRowLastColumn="0"/>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5.</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100000" w:firstRow="0" w:lastRow="0" w:firstColumn="0" w:lastColumn="0" w:oddVBand="0" w:evenVBand="0" w:oddHBand="1"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Poplave</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100000" w:firstRow="0" w:lastRow="0" w:firstColumn="0" w:lastColumn="0" w:oddVBand="0" w:evenVBand="0" w:oddHBand="1" w:evenHBand="0" w:firstRowFirstColumn="0" w:firstRowLastColumn="0" w:lastRowFirstColumn="0" w:lastRowLastColumn="0"/>
              <w:rPr>
                <w:rFonts w:ascii="Arial" w:hAnsi="Arial" w:cs="Arial"/>
                <w:color w:val="FF0000"/>
                <w:sz w:val="20"/>
                <w:szCs w:val="20"/>
                <w:lang w:val="hr-HR"/>
              </w:rPr>
            </w:pPr>
            <w:r>
              <w:rPr>
                <w:rFonts w:cs="Arial" w:ascii="Arial" w:hAnsi="Arial"/>
                <w:sz w:val="20"/>
                <w:szCs w:val="20"/>
                <w:lang w:val="hr-HR"/>
              </w:rPr>
              <w:t>Izlijevanje vodotoka i ugrožavanje stambenih i gospodarskih zgrada, te prometnica.</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4" w:right="151" w:hanging="0"/>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1. Život i zdravlje ljudi</w:t>
            </w:r>
          </w:p>
          <w:p>
            <w:pPr>
              <w:pStyle w:val="TableParagraph"/>
              <w:ind w:left="104" w:right="151" w:hanging="0"/>
              <w:jc w:val="both"/>
              <w:cnfStyle w:val="000000100000" w:firstRow="0" w:lastRow="0" w:firstColumn="0" w:lastColumn="0" w:oddVBand="0" w:evenVBand="0" w:oddHBand="1"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2. Gospodarstvo</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Zaštita prirodnih prostornih cjelina, pošumljavanje i komasacija</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Sanacija vodotoka, izrada nasipa ili akumulacija</w:t>
            </w:r>
          </w:p>
        </w:tc>
      </w:tr>
      <w:tr>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6.</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000000" w:firstRow="0" w:lastRow="0" w:firstColumn="0" w:lastColumn="0" w:oddVBand="0" w:evenVBand="0" w:oddHBand="0"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Ekstremne temperature</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000000" w:firstRow="0" w:lastRow="0" w:firstColumn="0" w:lastColumn="0" w:oddVBand="0" w:evenVBand="0" w:oddHBand="0" w:evenHBand="0" w:firstRowFirstColumn="0" w:firstRowLastColumn="0" w:lastRowFirstColumn="0" w:lastRowLastColumn="0"/>
              <w:rPr>
                <w:rFonts w:ascii="Arial" w:hAnsi="Arial" w:eastAsia="Times New Roman" w:cs="Arial"/>
                <w:sz w:val="20"/>
                <w:szCs w:val="20"/>
                <w:lang w:val="hr-HR"/>
              </w:rPr>
            </w:pPr>
            <w:r>
              <w:rPr>
                <w:rFonts w:cs="Arial" w:ascii="Arial" w:hAnsi="Arial"/>
                <w:sz w:val="20"/>
                <w:szCs w:val="20"/>
                <w:lang w:val="hr-HR"/>
              </w:rPr>
              <w:t xml:space="preserve">Pojava toplinskog vala. </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pacing w:val="-1"/>
                <w:sz w:val="20"/>
                <w:szCs w:val="20"/>
                <w:lang w:val="hr-HR"/>
              </w:rPr>
              <w:t>1. Život i zdravlje ljudi</w:t>
            </w:r>
          </w:p>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eastAsia="Times New Roman" w:cs="Arial"/>
                <w:sz w:val="20"/>
                <w:szCs w:val="20"/>
                <w:lang w:val="hr-HR"/>
              </w:rPr>
            </w:pPr>
            <w:r>
              <w:rPr>
                <w:rFonts w:cs="Arial" w:ascii="Arial" w:hAnsi="Arial"/>
                <w:spacing w:val="-1"/>
                <w:sz w:val="20"/>
                <w:szCs w:val="20"/>
                <w:lang w:val="hr-HR"/>
              </w:rPr>
              <w:t>2. Gospodarstvo</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000000" w:firstRow="0" w:lastRow="0" w:firstColumn="0" w:lastColumn="0" w:oddVBand="0" w:evenVBand="0" w:oddHBand="0" w:evenHBand="0" w:firstRowFirstColumn="0" w:firstRowLastColumn="0" w:lastRowFirstColumn="0" w:lastRowLastColumn="0"/>
              <w:rPr>
                <w:rFonts w:ascii="Arial" w:hAnsi="Arial" w:eastAsia="Times New Roman" w:cs="Arial"/>
                <w:sz w:val="20"/>
                <w:szCs w:val="20"/>
                <w:lang w:val="hr-HR"/>
              </w:rPr>
            </w:pPr>
            <w:r>
              <w:rPr>
                <w:rFonts w:cs="Arial" w:ascii="Arial" w:hAnsi="Arial"/>
                <w:sz w:val="20"/>
                <w:szCs w:val="20"/>
                <w:lang w:val="hr-HR"/>
              </w:rPr>
              <w:t>Osiguranje optimalnih uvjeta za rad i boravak ljudi u javnim objektima</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000000" w:firstRow="0" w:lastRow="0" w:firstColumn="0" w:lastColumn="0" w:oddVBand="0" w:evenVBand="0" w:oddHBand="0" w:evenHBand="0" w:firstRowFirstColumn="0" w:firstRowLastColumn="0" w:lastRowFirstColumn="0" w:lastRowLastColumn="0"/>
              <w:rPr>
                <w:rFonts w:ascii="Arial" w:hAnsi="Arial" w:eastAsia="Times New Roman" w:cs="Arial"/>
                <w:sz w:val="20"/>
                <w:szCs w:val="20"/>
                <w:lang w:val="hr-HR"/>
              </w:rPr>
            </w:pPr>
            <w:r>
              <w:rPr>
                <w:rFonts w:cs="Arial" w:ascii="Arial" w:hAnsi="Arial"/>
                <w:sz w:val="20"/>
                <w:szCs w:val="20"/>
                <w:lang w:val="hr-HR"/>
              </w:rPr>
              <w:t>Provedba zdravstvene skrbi, prilagodba objekata ekstremnim toplinskim uvjetima</w:t>
            </w:r>
          </w:p>
        </w:tc>
      </w:tr>
      <w:tr>
        <w:trPr>
          <w:cnfStyle w:val="000000100000" w:firstRow="0" w:lastRow="0" w:firstColumn="0" w:lastColumn="0" w:oddVBand="0" w:evenVBand="0" w:oddHBand="1" w:evenHBand="0" w:firstRowFirstColumn="0" w:firstRowLastColumn="0" w:lastRowFirstColumn="0" w:lastRowLastColumn="0"/>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 xml:space="preserve">7. </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100000" w:firstRow="0" w:lastRow="0" w:firstColumn="0" w:lastColumn="0" w:oddVBand="0" w:evenVBand="0" w:oddHBand="1"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Suša</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16"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Pojava hidrološke suše uzrokovana izostankom oborina.</w:t>
            </w:r>
          </w:p>
        </w:tc>
        <w:tc>
          <w:tcPr>
            <w:tcW w:w="309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numPr>
                <w:ilvl w:val="0"/>
                <w:numId w:val="8"/>
              </w:numPr>
              <w:ind w:left="464" w:right="151" w:hanging="36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color w:val="76923C" w:themeColor="accent3" w:themeShade="bf"/>
                <w:sz w:val="20"/>
                <w:szCs w:val="20"/>
                <w:lang w:val="hr-HR"/>
              </w:rPr>
              <w:t>Gospodarstvo</w:t>
            </w:r>
          </w:p>
        </w:tc>
        <w:tc>
          <w:tcPr>
            <w:tcW w:w="35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37"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Navodnjavanje</w:t>
            </w:r>
          </w:p>
        </w:tc>
        <w:tc>
          <w:tcPr>
            <w:tcW w:w="28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265" w:hanging="0"/>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Opskrba vodom</w:t>
            </w:r>
          </w:p>
        </w:tc>
      </w:tr>
      <w:tr>
        <w:trPr/>
        <w:tc>
          <w:tcPr>
            <w:tcW w:w="76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160"/>
              <w:rPr>
                <w:sz w:val="20"/>
                <w:szCs w:val="20"/>
              </w:rPr>
            </w:pPr>
            <w:r>
              <w:rPr>
                <w:b/>
                <w:bCs/>
                <w:color w:val="76923C" w:themeColor="accent3" w:themeShade="bf"/>
                <w:sz w:val="20"/>
                <w:szCs w:val="20"/>
              </w:rPr>
              <w:t>8.</w:t>
            </w:r>
          </w:p>
        </w:tc>
        <w:tc>
          <w:tcPr>
            <w:tcW w:w="154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TableParagraph"/>
              <w:ind w:left="102" w:right="162" w:hanging="0"/>
              <w:cnfStyle w:val="000000000000" w:firstRow="0" w:lastRow="0" w:firstColumn="0" w:lastColumn="0" w:oddVBand="0" w:evenVBand="0" w:oddHBand="0" w:evenHBand="0" w:firstRowFirstColumn="0" w:firstRowLastColumn="0" w:lastRowFirstColumn="0" w:lastRowLastColumn="0"/>
              <w:rPr>
                <w:rFonts w:ascii="Arial" w:hAnsi="Arial" w:eastAsia="Times New Roman" w:cs="Arial"/>
                <w:spacing w:val="-1"/>
                <w:sz w:val="20"/>
                <w:szCs w:val="20"/>
                <w:lang w:val="hr-HR"/>
              </w:rPr>
            </w:pPr>
            <w:r>
              <w:rPr>
                <w:rFonts w:eastAsia="Times New Roman" w:cs="Arial" w:ascii="Arial" w:hAnsi="Arial"/>
                <w:spacing w:val="-1"/>
                <w:sz w:val="20"/>
                <w:szCs w:val="20"/>
                <w:lang w:val="hr-HR"/>
              </w:rPr>
              <w:t>Tuča</w:t>
            </w:r>
          </w:p>
        </w:tc>
        <w:tc>
          <w:tcPr>
            <w:tcW w:w="42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120" w:after="120"/>
              <w:ind w:right="116" w:hanging="0"/>
              <w:cnfStyle w:val="000000000000" w:firstRow="0" w:lastRow="0" w:firstColumn="0" w:lastColumn="0" w:oddVBand="0" w:evenVBand="0" w:oddHBand="0" w:evenHBand="0" w:firstRowFirstColumn="0" w:firstRowLastColumn="0" w:lastRowFirstColumn="0" w:lastRowLastColumn="0"/>
              <w:rPr>
                <w:rFonts w:ascii="Arial Narrow" w:hAnsi="Arial Narrow" w:eastAsia="Calibri" w:eastAsiaTheme="minorHAnsi"/>
                <w:color w:val="auto"/>
                <w:sz w:val="20"/>
                <w:szCs w:val="20"/>
              </w:rPr>
            </w:pPr>
            <w:r>
              <w:rPr>
                <w:color w:val="76923C" w:themeColor="accent3" w:themeShade="bf"/>
                <w:sz w:val="20"/>
                <w:szCs w:val="20"/>
              </w:rPr>
              <w:t xml:space="preserve">U umjerenim geografskim širinama pojava tuče i sugradice relativno je česta i javlja se u toplom dijelu </w:t>
            </w:r>
            <w:r>
              <w:rPr>
                <w:rFonts w:eastAsia="Calibri" w:ascii="Arial Narrow" w:hAnsi="Arial Narrow" w:eastAsiaTheme="minorHAnsi"/>
                <w:color w:val="auto" w:themeColor="accent3" w:themeShade="bf"/>
                <w:sz w:val="20"/>
                <w:szCs w:val="20"/>
              </w:rPr>
              <w:t>godine.</w:t>
            </w:r>
          </w:p>
          <w:p>
            <w:pPr>
              <w:pStyle w:val="TableParagraph"/>
              <w:ind w:right="116"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eastAsia="Times New Roman" w:cs="Arial" w:ascii="Arial" w:hAnsi="Arial"/>
                <w:color w:val="000000" w:themeColor="text1"/>
                <w:sz w:val="20"/>
                <w:szCs w:val="20"/>
                <w:lang w:val="hr-HR"/>
              </w:rPr>
              <w:t>Najgori slučaj je pojava tuče i nastanak materijalne štete na pokretnoj i nepokretnoj imovini, poljoprivrednim i voćarskim površinama te vinogradima</w:t>
            </w:r>
          </w:p>
        </w:tc>
        <w:tc>
          <w:tcPr>
            <w:tcW w:w="3094" w:type="dxa"/>
            <w:tcBorders>
              <w:top w:val="single" w:sz="4" w:space="0" w:color="54883D"/>
              <w:left w:val="single" w:sz="4" w:space="0" w:color="54883D"/>
              <w:bottom w:val="single" w:sz="4" w:space="0" w:color="54883D"/>
              <w:right w:val="single" w:sz="4" w:space="0" w:color="54883D"/>
            </w:tcBorders>
            <w:vAlign w:val="center"/>
          </w:tcPr>
          <w:p>
            <w:pPr>
              <w:pStyle w:val="TableParagraph"/>
              <w:ind w:left="104"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pacing w:val="-1"/>
                <w:sz w:val="20"/>
                <w:szCs w:val="20"/>
                <w:lang w:val="hr-HR"/>
              </w:rPr>
            </w:pPr>
            <w:r>
              <w:rPr>
                <w:rFonts w:cs="Arial" w:ascii="Arial" w:hAnsi="Arial"/>
                <w:sz w:val="20"/>
                <w:szCs w:val="20"/>
                <w:lang w:val="hr-HR"/>
              </w:rPr>
              <w:t xml:space="preserve">   </w:t>
            </w:r>
            <w:r>
              <w:rPr>
                <w:rFonts w:cs="Arial" w:ascii="Arial" w:hAnsi="Arial"/>
                <w:spacing w:val="-1"/>
                <w:sz w:val="20"/>
                <w:szCs w:val="20"/>
                <w:lang w:val="hr-HR"/>
              </w:rPr>
              <w:t>1. Život i zdravlje ljudi</w:t>
            </w:r>
          </w:p>
          <w:p>
            <w:pPr>
              <w:pStyle w:val="TableParagraph"/>
              <w:ind w:right="151"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pacing w:val="-1"/>
                <w:sz w:val="20"/>
                <w:szCs w:val="20"/>
                <w:lang w:val="hr-HR"/>
              </w:rPr>
              <w:t xml:space="preserve">     </w:t>
            </w:r>
            <w:r>
              <w:rPr>
                <w:rFonts w:cs="Arial" w:ascii="Arial" w:hAnsi="Arial"/>
                <w:spacing w:val="-1"/>
                <w:sz w:val="20"/>
                <w:szCs w:val="20"/>
                <w:lang w:val="hr-HR"/>
              </w:rPr>
              <w:t>2. Gospodarstvo</w:t>
            </w:r>
          </w:p>
        </w:tc>
        <w:tc>
          <w:tcPr>
            <w:tcW w:w="3568" w:type="dxa"/>
            <w:tcBorders>
              <w:top w:val="single" w:sz="4" w:space="0" w:color="54883D"/>
              <w:left w:val="single" w:sz="4" w:space="0" w:color="54883D"/>
              <w:bottom w:val="single" w:sz="4" w:space="0" w:color="54883D"/>
              <w:right w:val="single" w:sz="4" w:space="0" w:color="54883D"/>
            </w:tcBorders>
            <w:vAlign w:val="center"/>
          </w:tcPr>
          <w:p>
            <w:pPr>
              <w:pStyle w:val="TableParagraph"/>
              <w:ind w:left="102" w:right="237"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lang w:val="hr-HR"/>
              </w:rPr>
              <w:t>Postavljanje zaštitnih mreža za trajne nasade i staklenike, odnosno izbjegavati izgradnju strukture osjetljive na tuču.</w:t>
            </w:r>
            <w:r>
              <w:rPr>
                <w:rFonts w:ascii="Arial Narrow" w:hAnsi="Arial Narrow"/>
                <w:sz w:val="20"/>
                <w:szCs w:val="20"/>
                <w:lang w:val="hr-HR"/>
              </w:rPr>
              <w:t xml:space="preserve"> </w:t>
            </w:r>
            <w:r>
              <w:rPr>
                <w:rFonts w:cs="Arial" w:ascii="Arial" w:hAnsi="Arial"/>
                <w:sz w:val="20"/>
                <w:szCs w:val="20"/>
                <w:lang w:val="hr-HR"/>
              </w:rPr>
              <w:t>Poticanje osiguravanje nasada i imovine, osjetljivu kulturnu baštinu i imovinu preventivno zaštititi zaštitnim građevinama.</w:t>
            </w:r>
          </w:p>
        </w:tc>
        <w:tc>
          <w:tcPr>
            <w:tcW w:w="2886" w:type="dxa"/>
            <w:tcBorders>
              <w:top w:val="single" w:sz="4" w:space="0" w:color="54883D"/>
              <w:left w:val="single" w:sz="4" w:space="0" w:color="54883D"/>
              <w:bottom w:val="single" w:sz="4" w:space="0" w:color="54883D"/>
              <w:right w:val="single" w:sz="4" w:space="0" w:color="54883D"/>
            </w:tcBorders>
            <w:vAlign w:val="center"/>
          </w:tcPr>
          <w:p>
            <w:pPr>
              <w:pStyle w:val="TableParagraph"/>
              <w:ind w:left="102" w:right="265" w:hanging="0"/>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lang w:val="hr-HR"/>
              </w:rPr>
            </w:pPr>
            <w:r>
              <w:rPr>
                <w:rFonts w:cs="Arial" w:ascii="Arial" w:hAnsi="Arial"/>
                <w:sz w:val="20"/>
                <w:szCs w:val="20"/>
              </w:rPr>
              <w:t>Razvijena protugradna obrana.</w:t>
            </w:r>
          </w:p>
        </w:tc>
      </w:tr>
    </w:tbl>
    <w:p>
      <w:pPr>
        <w:sectPr>
          <w:headerReference w:type="default" r:id="rId35"/>
          <w:headerReference w:type="first" r:id="rId36"/>
          <w:footerReference w:type="default" r:id="rId37"/>
          <w:footerReference w:type="first" r:id="rId38"/>
          <w:type w:val="nextPage"/>
          <w:pgSz w:orient="landscape" w:w="16838" w:h="11906"/>
          <w:pgMar w:left="1418" w:right="1418" w:header="567" w:top="1418" w:footer="0" w:bottom="1418" w:gutter="0"/>
          <w:pgNumType w:fmt="decimal"/>
          <w:formProt w:val="false"/>
          <w:titlePg/>
          <w:textDirection w:val="lrTb"/>
          <w:docGrid w:type="default" w:linePitch="360" w:charSpace="4096"/>
        </w:sectPr>
      </w:pPr>
    </w:p>
    <w:p>
      <w:pPr>
        <w:pStyle w:val="Stilnaslova2"/>
        <w:numPr>
          <w:ilvl w:val="1"/>
          <w:numId w:val="2"/>
        </w:numPr>
        <w:rPr/>
      </w:pPr>
      <w:bookmarkStart w:id="72" w:name="_Toc486323765"/>
      <w:bookmarkStart w:id="73" w:name="_Toc496179672"/>
      <w:bookmarkStart w:id="74" w:name="_Toc99955676"/>
      <w:bookmarkStart w:id="75" w:name="_Toc116990124"/>
      <w:r>
        <w:rPr/>
        <w:t>Odabrani rizici i razlog odabira</w:t>
      </w:r>
      <w:bookmarkEnd w:id="72"/>
      <w:bookmarkEnd w:id="73"/>
      <w:bookmarkEnd w:id="74"/>
      <w:bookmarkEnd w:id="75"/>
    </w:p>
    <w:p>
      <w:pPr>
        <w:pStyle w:val="Normal"/>
        <w:rPr/>
      </w:pPr>
      <w:r>
        <w:rPr/>
        <w:t>Odlikom o izradi procjene od velikih nesreća za Grad Buje na temelju smjernica za izradu procjene rizika na području Istarske županije, Radna skupina odabrala je slijedeće rizike koje će se obrađivati:</w:t>
      </w:r>
    </w:p>
    <w:p>
      <w:pPr>
        <w:pStyle w:val="ListParagraph"/>
        <w:numPr>
          <w:ilvl w:val="0"/>
          <w:numId w:val="7"/>
        </w:numPr>
        <w:rPr/>
      </w:pPr>
      <w:r>
        <w:rPr/>
        <w:t>Potres</w:t>
      </w:r>
    </w:p>
    <w:p>
      <w:pPr>
        <w:pStyle w:val="ListParagraph"/>
        <w:numPr>
          <w:ilvl w:val="0"/>
          <w:numId w:val="7"/>
        </w:numPr>
        <w:rPr/>
      </w:pPr>
      <w:r>
        <w:rPr/>
        <w:t>Požar otvorenog prostora</w:t>
      </w:r>
    </w:p>
    <w:p>
      <w:pPr>
        <w:pStyle w:val="ListParagraph"/>
        <w:numPr>
          <w:ilvl w:val="0"/>
          <w:numId w:val="7"/>
        </w:numPr>
        <w:rPr/>
      </w:pPr>
      <w:r>
        <w:rPr/>
        <w:t>Epidemije i pandemije</w:t>
      </w:r>
    </w:p>
    <w:p>
      <w:pPr>
        <w:pStyle w:val="ListParagraph"/>
        <w:numPr>
          <w:ilvl w:val="0"/>
          <w:numId w:val="7"/>
        </w:numPr>
        <w:rPr/>
      </w:pPr>
      <w:r>
        <w:rPr/>
        <w:t>Ekstremne temperature</w:t>
      </w:r>
    </w:p>
    <w:p>
      <w:pPr>
        <w:pStyle w:val="ListParagraph"/>
        <w:numPr>
          <w:ilvl w:val="0"/>
          <w:numId w:val="7"/>
        </w:numPr>
        <w:rPr/>
      </w:pPr>
      <w:r>
        <w:rPr/>
        <w:t xml:space="preserve">Industrijske nesreće </w:t>
      </w:r>
    </w:p>
    <w:p>
      <w:pPr>
        <w:pStyle w:val="ListParagraph"/>
        <w:numPr>
          <w:ilvl w:val="0"/>
          <w:numId w:val="7"/>
        </w:numPr>
        <w:rPr/>
      </w:pPr>
      <w:r>
        <w:rPr/>
        <w:t>Suša</w:t>
      </w:r>
    </w:p>
    <w:p>
      <w:pPr>
        <w:pStyle w:val="ListParagraph"/>
        <w:numPr>
          <w:ilvl w:val="0"/>
          <w:numId w:val="7"/>
        </w:numPr>
        <w:rPr/>
      </w:pPr>
      <w:r>
        <w:rPr/>
        <w:t xml:space="preserve">Poplave </w:t>
      </w:r>
    </w:p>
    <w:p>
      <w:pPr>
        <w:pStyle w:val="ListParagraph"/>
        <w:numPr>
          <w:ilvl w:val="0"/>
          <w:numId w:val="7"/>
        </w:numPr>
        <w:rPr/>
      </w:pPr>
      <w:r>
        <w:rPr/>
        <w:t>Tuča</w:t>
      </w:r>
    </w:p>
    <w:p>
      <w:pPr>
        <w:pStyle w:val="Normal"/>
        <w:rPr/>
      </w:pPr>
      <w:r>
        <w:rPr/>
      </w:r>
    </w:p>
    <w:p>
      <w:pPr>
        <w:pStyle w:val="Stilnaslova2"/>
        <w:numPr>
          <w:ilvl w:val="1"/>
          <w:numId w:val="2"/>
        </w:numPr>
        <w:rPr/>
      </w:pPr>
      <w:bookmarkStart w:id="76" w:name="_Toc480526487"/>
      <w:bookmarkStart w:id="77" w:name="_Toc496179673"/>
      <w:bookmarkStart w:id="78" w:name="_Toc99955677"/>
      <w:bookmarkStart w:id="79" w:name="_Toc116990125"/>
      <w:r>
        <w:rPr/>
        <w:t>Karte prijetnji</w:t>
      </w:r>
      <w:bookmarkEnd w:id="76"/>
      <w:bookmarkEnd w:id="77"/>
      <w:bookmarkEnd w:id="78"/>
      <w:bookmarkEnd w:id="79"/>
    </w:p>
    <w:p>
      <w:pPr>
        <w:pStyle w:val="Normal"/>
        <w:rPr/>
      </w:pPr>
      <w:r>
        <w:rPr/>
        <w:t xml:space="preserve">Karte prijetnji kao sastavni dio Procjene rizika za Grad Buje izrađuju se u mjerilu 1:25 000 ili krupnije te obuhvaćaju područje Grada. Mjerilo mora biti izabrano na način da prijetnje budu jasno vidljive i prepoznatljive u prostoru. </w:t>
      </w:r>
    </w:p>
    <w:p>
      <w:pPr>
        <w:pStyle w:val="Normal"/>
        <w:rPr/>
      </w:pPr>
      <w:r>
        <w:rPr/>
        <w:t>Na kartama je potrebno prikazati sve obrađene prijetnje odnosno njihovu lokaciju, dosege, rasprostranjenost te ostale relevantne podatke koje nositelj izrade smatra potrebnim iskazati.</w:t>
      </w:r>
    </w:p>
    <w:p>
      <w:pPr>
        <w:pStyle w:val="Normal"/>
        <w:rPr/>
      </w:pPr>
      <w:r>
        <w:rPr/>
        <w:t>Prikaz se odnosi za rizike za koje je potrebno imati kartografski prikaz poput poplava ili tehničko - tehnoloških prijetnji, dok je za rizike poput potresa nepotrebno izrađivati kartografski prikaz prijetnji budući da se cijelo područje Grada nalazi u istom stupnju ugroženosti od potresa.</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Stilnaslova1"/>
        <w:numPr>
          <w:ilvl w:val="0"/>
          <w:numId w:val="2"/>
        </w:numPr>
        <w:rPr/>
      </w:pPr>
      <w:bookmarkStart w:id="80" w:name="_Toc480526488"/>
      <w:bookmarkStart w:id="81" w:name="_Toc496179674"/>
      <w:bookmarkStart w:id="82" w:name="_Toc99955678"/>
      <w:bookmarkStart w:id="83" w:name="_Toc116990126"/>
      <w:r>
        <w:rPr/>
        <w:t>Kriteriji za procjenu utjecaja prijetnji na kategorije društvene vrijednosti</w:t>
      </w:r>
      <w:bookmarkEnd w:id="80"/>
      <w:bookmarkEnd w:id="81"/>
      <w:bookmarkEnd w:id="82"/>
      <w:bookmarkEnd w:id="83"/>
    </w:p>
    <w:p>
      <w:pPr>
        <w:pStyle w:val="Normal"/>
        <w:spacing w:before="120" w:after="120"/>
        <w:rPr/>
      </w:pPr>
      <w:r>
        <w:rPr/>
      </w:r>
    </w:p>
    <w:p>
      <w:pPr>
        <w:pStyle w:val="Normal"/>
        <w:spacing w:before="120" w:after="120"/>
        <w:rPr/>
      </w:pPr>
      <w:r>
        <w:rPr/>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pPr>
        <w:pStyle w:val="Normal"/>
        <w:spacing w:before="120" w:after="120"/>
        <w:rPr/>
      </w:pPr>
      <w:r>
        <w:rPr/>
      </w:r>
    </w:p>
    <w:p>
      <w:pPr>
        <w:pStyle w:val="ListParagraph"/>
        <w:numPr>
          <w:ilvl w:val="0"/>
          <w:numId w:val="4"/>
        </w:numPr>
        <w:rPr/>
      </w:pPr>
      <w:r>
        <w:rPr/>
        <w:t>Život i zdravlje ljudi,</w:t>
      </w:r>
    </w:p>
    <w:p>
      <w:pPr>
        <w:pStyle w:val="ListParagraph"/>
        <w:numPr>
          <w:ilvl w:val="0"/>
          <w:numId w:val="4"/>
        </w:numPr>
        <w:rPr/>
      </w:pPr>
      <w:r>
        <w:rPr/>
        <w:t>Gospodarstvo i</w:t>
        <w:tab/>
      </w:r>
    </w:p>
    <w:p>
      <w:pPr>
        <w:pStyle w:val="ListParagraph"/>
        <w:numPr>
          <w:ilvl w:val="0"/>
          <w:numId w:val="4"/>
        </w:numPr>
        <w:rPr/>
      </w:pPr>
      <w:r>
        <w:rPr/>
        <w:t>Društvena stabilnost i politika.</w:t>
      </w:r>
    </w:p>
    <w:p>
      <w:pPr>
        <w:pStyle w:val="Normal"/>
        <w:rPr/>
      </w:pPr>
      <w:r>
        <w:rPr/>
      </w:r>
    </w:p>
    <w:p>
      <w:pPr>
        <w:pStyle w:val="Stilnaslova2"/>
        <w:numPr>
          <w:ilvl w:val="1"/>
          <w:numId w:val="2"/>
        </w:numPr>
        <w:rPr/>
      </w:pPr>
      <w:bookmarkStart w:id="84" w:name="_Toc480526489"/>
      <w:bookmarkStart w:id="85" w:name="_Toc496179675"/>
      <w:bookmarkStart w:id="86" w:name="_Toc99955679"/>
      <w:bookmarkStart w:id="87" w:name="_Toc116990127"/>
      <w:r>
        <w:rPr/>
        <w:t>Život i zdravlje ljudi</w:t>
      </w:r>
      <w:bookmarkEnd w:id="84"/>
      <w:bookmarkEnd w:id="85"/>
      <w:bookmarkEnd w:id="86"/>
      <w:bookmarkEnd w:id="87"/>
    </w:p>
    <w:p>
      <w:pPr>
        <w:pStyle w:val="Normal"/>
        <w:spacing w:before="120" w:after="120"/>
        <w:rPr/>
      </w:pPr>
      <w:r>
        <w:rPr/>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pPr>
        <w:pStyle w:val="Normal"/>
        <w:spacing w:before="120" w:after="120"/>
        <w:rPr/>
      </w:pPr>
      <w:r>
        <w:rPr/>
        <w:t>Posljedice se opisuju temeljem izravnog utjecaja na život, uzimajući u obzir i utjecaj na zdravlje opterećenošću sustava ili pojavom lošijih životnih uvjeta izazvanih neželjenim događajem.</w:t>
      </w:r>
    </w:p>
    <w:p>
      <w:pPr>
        <w:pStyle w:val="Normal"/>
        <w:spacing w:before="120" w:after="120"/>
        <w:rPr/>
      </w:pPr>
      <w:r>
        <w:rPr/>
      </w:r>
    </w:p>
    <w:p>
      <w:pPr>
        <w:pStyle w:val="Normal"/>
        <w:spacing w:before="0" w:after="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7</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 xml:space="preserve"> Život i zdravlje ljudi</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4244"/>
        <w:gridCol w:w="4825"/>
      </w:tblGrid>
      <w:tr>
        <w:trPr>
          <w:trHeight w:val="389" w:hRule="atLeast"/>
          <w:cnfStyle w:val="100000000000" w:firstRow="1" w:lastRow="0" w:firstColumn="0" w:lastColumn="0" w:oddVBand="0" w:evenVBand="0" w:oddHBand="0"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color w:val="auto"/>
                <w:szCs w:val="22"/>
              </w:rPr>
            </w:pPr>
            <w:r>
              <w:rPr>
                <w:b/>
                <w:bCs/>
                <w:color w:val="auto" w:themeColor="accent3" w:themeShade="bf"/>
                <w:szCs w:val="22"/>
              </w:rPr>
              <w:t>KATEGORIJA</w:t>
            </w:r>
          </w:p>
        </w:tc>
        <w:tc>
          <w:tcPr>
            <w:tcW w:w="482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cnfStyle w:val="100000000000" w:firstRow="1" w:lastRow="0" w:firstColumn="0" w:lastColumn="0" w:oddVBand="0" w:evenVBand="0" w:oddHBand="0" w:evenHBand="0" w:firstRowFirstColumn="0" w:firstRowLastColumn="0" w:lastRowFirstColumn="0" w:lastRowLastColumn="0"/>
              <w:rPr>
                <w:b w:val="false"/>
                <w:b w:val="false"/>
                <w:color w:val="auto"/>
                <w:szCs w:val="22"/>
              </w:rPr>
            </w:pPr>
            <w:r>
              <w:rPr>
                <w:b w:val="false"/>
                <w:bCs/>
                <w:color w:val="auto" w:themeColor="accent3" w:themeShade="bf"/>
                <w:szCs w:val="22"/>
              </w:rPr>
              <w:t>%</w:t>
            </w:r>
          </w:p>
        </w:tc>
      </w:tr>
      <w:tr>
        <w:trPr>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FFFFFF" w:themeFill="background1" w:val="clear"/>
          </w:tcPr>
          <w:p>
            <w:pPr>
              <w:pStyle w:val="Normal"/>
              <w:spacing w:lineRule="auto" w:line="276" w:before="0" w:after="0"/>
              <w:jc w:val="center"/>
              <w:rPr>
                <w:b w:val="false"/>
                <w:b w:val="false"/>
                <w:szCs w:val="22"/>
              </w:rPr>
            </w:pPr>
            <w:r>
              <w:rPr>
                <w:b w:val="false"/>
                <w:bCs/>
                <w:color w:val="76923C" w:themeColor="accent3" w:themeShade="bf"/>
                <w:szCs w:val="22"/>
              </w:rPr>
              <w:t>1</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&lt; 0,001</w:t>
            </w:r>
            <w:r>
              <w:rPr>
                <w:rStyle w:val="Sidrofusnote"/>
                <w:color w:val="76923C" w:themeColor="accent3" w:themeShade="bf"/>
                <w:szCs w:val="22"/>
              </w:rPr>
              <w:footnoteReference w:id="2"/>
            </w:r>
          </w:p>
        </w:tc>
      </w:tr>
      <w:tr>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FFFFFF" w:themeFill="background1" w:val="clear"/>
          </w:tcPr>
          <w:p>
            <w:pPr>
              <w:pStyle w:val="Normal"/>
              <w:spacing w:lineRule="auto" w:line="276" w:before="0" w:after="0"/>
              <w:jc w:val="center"/>
              <w:rPr>
                <w:b w:val="false"/>
                <w:b w:val="false"/>
                <w:szCs w:val="22"/>
              </w:rPr>
            </w:pPr>
            <w:r>
              <w:rPr>
                <w:b w:val="false"/>
                <w:bCs/>
                <w:color w:val="76923C" w:themeColor="accent3" w:themeShade="bf"/>
                <w:szCs w:val="22"/>
              </w:rPr>
              <w:t>2</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Cs w:val="22"/>
              </w:rPr>
            </w:pPr>
            <w:r>
              <w:rPr>
                <w:color w:val="76923C" w:themeColor="accent3" w:themeShade="bf"/>
                <w:szCs w:val="22"/>
              </w:rPr>
              <w:t>0,001 - 0,0046</w:t>
            </w:r>
          </w:p>
        </w:tc>
      </w:tr>
      <w:tr>
        <w:trPr>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FFFFFF" w:themeFill="background1" w:val="clear"/>
          </w:tcPr>
          <w:p>
            <w:pPr>
              <w:pStyle w:val="Normal"/>
              <w:spacing w:lineRule="auto" w:line="276" w:before="0" w:after="0"/>
              <w:jc w:val="center"/>
              <w:rPr>
                <w:b w:val="false"/>
                <w:b w:val="false"/>
                <w:szCs w:val="22"/>
              </w:rPr>
            </w:pPr>
            <w:r>
              <w:rPr>
                <w:b w:val="false"/>
                <w:bCs/>
                <w:color w:val="76923C" w:themeColor="accent3" w:themeShade="bf"/>
                <w:szCs w:val="22"/>
              </w:rPr>
              <w:t>3</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0,0047 - 0,011</w:t>
            </w:r>
          </w:p>
        </w:tc>
      </w:tr>
      <w:tr>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FFFFFF" w:themeFill="background1" w:val="clear"/>
          </w:tcPr>
          <w:p>
            <w:pPr>
              <w:pStyle w:val="Normal"/>
              <w:spacing w:lineRule="auto" w:line="276" w:before="0" w:after="0"/>
              <w:jc w:val="center"/>
              <w:rPr>
                <w:b w:val="false"/>
                <w:b w:val="false"/>
                <w:szCs w:val="22"/>
              </w:rPr>
            </w:pPr>
            <w:r>
              <w:rPr>
                <w:b w:val="false"/>
                <w:bCs/>
                <w:color w:val="76923C" w:themeColor="accent3" w:themeShade="bf"/>
                <w:szCs w:val="22"/>
              </w:rPr>
              <w:t>4</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Cs w:val="22"/>
              </w:rPr>
            </w:pPr>
            <w:r>
              <w:rPr>
                <w:color w:val="76923C" w:themeColor="accent3" w:themeShade="bf"/>
                <w:szCs w:val="22"/>
              </w:rPr>
              <w:t>0,012 - 0,035</w:t>
            </w:r>
          </w:p>
        </w:tc>
      </w:tr>
      <w:tr>
        <w:trPr>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FFFFFF" w:themeFill="background1" w:val="clear"/>
          </w:tcPr>
          <w:p>
            <w:pPr>
              <w:pStyle w:val="Normal"/>
              <w:spacing w:lineRule="auto" w:line="276" w:before="0" w:after="0"/>
              <w:jc w:val="center"/>
              <w:rPr>
                <w:b w:val="false"/>
                <w:b w:val="false"/>
                <w:szCs w:val="22"/>
              </w:rPr>
            </w:pPr>
            <w:r>
              <w:rPr>
                <w:b w:val="false"/>
                <w:bCs/>
                <w:color w:val="76923C" w:themeColor="accent3" w:themeShade="bf"/>
                <w:szCs w:val="22"/>
              </w:rPr>
              <w:t>5</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0,036 &gt;</w:t>
            </w:r>
          </w:p>
        </w:tc>
      </w:tr>
    </w:tbl>
    <w:p>
      <w:pPr>
        <w:pStyle w:val="Normal"/>
        <w:rPr/>
      </w:pPr>
      <w:r>
        <w:rPr/>
      </w:r>
    </w:p>
    <w:p>
      <w:pPr>
        <w:pStyle w:val="Stilnaslova2"/>
        <w:numPr>
          <w:ilvl w:val="1"/>
          <w:numId w:val="2"/>
        </w:numPr>
        <w:rPr/>
      </w:pPr>
      <w:bookmarkStart w:id="88" w:name="_Toc480526490"/>
      <w:bookmarkStart w:id="89" w:name="_Toc496179676"/>
      <w:bookmarkStart w:id="90" w:name="_Toc99955680"/>
      <w:bookmarkStart w:id="91" w:name="_Toc116990128"/>
      <w:r>
        <w:rPr/>
        <w:t>Gospodarstvo</w:t>
      </w:r>
      <w:bookmarkEnd w:id="88"/>
      <w:bookmarkEnd w:id="89"/>
      <w:bookmarkEnd w:id="90"/>
      <w:bookmarkEnd w:id="91"/>
    </w:p>
    <w:p>
      <w:pPr>
        <w:pStyle w:val="Normal"/>
        <w:rPr/>
      </w:pPr>
      <w:r>
        <w:rPr/>
        <w:t>Odnosi se na ukupnu materijalnu i financijsku štetu u gospodarstvu. Šteta se prikazuje u odnosu na proračun Grada Buje. Navedena materijalna šteta ne odnosi se na materijalnu štetu koja treba biti iskazana u kategoriji Društvena stabilnost i politika.</w:t>
      </w:r>
    </w:p>
    <w:p>
      <w:pPr>
        <w:pStyle w:val="Normal"/>
        <w:rPr/>
      </w:pPr>
      <w:r>
        <w:rPr/>
      </w:r>
    </w:p>
    <w:p>
      <w:pPr>
        <w:pStyle w:val="Normal"/>
        <w:rPr/>
      </w:pPr>
      <w:r>
        <w:rPr/>
      </w:r>
    </w:p>
    <w:p>
      <w:pPr>
        <w:pStyle w:val="Normal"/>
        <w:spacing w:before="0" w:after="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8</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Gospodarstvo</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4244"/>
        <w:gridCol w:w="4825"/>
      </w:tblGrid>
      <w:tr>
        <w:trPr>
          <w:trHeight w:val="479" w:hRule="atLeast"/>
          <w:cnfStyle w:val="100000000000" w:firstRow="1" w:lastRow="0" w:firstColumn="0" w:lastColumn="0" w:oddVBand="0" w:evenVBand="0" w:oddHBand="0"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b/>
                <w:b/>
                <w:bCs/>
                <w:color w:val="76923C" w:themeColor="accent3" w:themeShade="bf"/>
              </w:rPr>
            </w:pPr>
            <w:r>
              <w:rPr>
                <w:b/>
                <w:bCs/>
                <w:color w:val="76923C" w:themeColor="accent3" w:themeShade="bf"/>
              </w:rPr>
              <w:t>KATEGORIJA</w:t>
            </w:r>
          </w:p>
        </w:tc>
        <w:tc>
          <w:tcPr>
            <w:tcW w:w="482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cnfStyle w:val="100000000000" w:firstRow="1" w:lastRow="0" w:firstColumn="0" w:lastColumn="0" w:oddVBand="0" w:evenVBand="0" w:oddHBand="0" w:evenHBand="0" w:firstRowFirstColumn="0" w:firstRowLastColumn="0" w:lastRowFirstColumn="0" w:lastRowLastColumn="0"/>
              <w:rPr>
                <w:b/>
                <w:b/>
                <w:bCs/>
                <w:color w:val="76923C" w:themeColor="accent3" w:themeShade="bf"/>
              </w:rPr>
            </w:pPr>
            <w:r>
              <w:rPr>
                <w:b/>
                <w:bCs/>
                <w:color w:val="76923C" w:themeColor="accent3" w:themeShade="bf"/>
              </w:rPr>
              <w:t>%</w:t>
            </w:r>
          </w:p>
        </w:tc>
      </w:tr>
      <w:tr>
        <w:trPr>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rPr>
                <w:b w:val="false"/>
                <w:b w:val="false"/>
              </w:rPr>
            </w:pPr>
            <w:r>
              <w:rPr>
                <w:b w:val="false"/>
                <w:bCs/>
                <w:color w:val="76923C" w:themeColor="accent3" w:themeShade="bf"/>
              </w:rPr>
              <w:t>1</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0,5 - 1</w:t>
            </w:r>
          </w:p>
        </w:tc>
      </w:tr>
      <w:tr>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rPr>
                <w:b w:val="false"/>
                <w:b w:val="false"/>
              </w:rPr>
            </w:pPr>
            <w:r>
              <w:rPr>
                <w:b w:val="false"/>
                <w:bCs/>
                <w:color w:val="76923C" w:themeColor="accent3" w:themeShade="bf"/>
              </w:rPr>
              <w:t>2</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color w:val="76923C" w:themeColor="accent3" w:themeShade="bf"/>
              </w:rPr>
            </w:pPr>
            <w:r>
              <w:rPr>
                <w:color w:val="76923C" w:themeColor="accent3" w:themeShade="bf"/>
              </w:rPr>
              <w:t>1 - 5</w:t>
            </w:r>
          </w:p>
        </w:tc>
      </w:tr>
      <w:tr>
        <w:trPr>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rPr>
                <w:b w:val="false"/>
                <w:b w:val="false"/>
              </w:rPr>
            </w:pPr>
            <w:r>
              <w:rPr>
                <w:b w:val="false"/>
                <w:bCs/>
                <w:color w:val="76923C" w:themeColor="accent3" w:themeShade="bf"/>
              </w:rPr>
              <w:t>3</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5  - 15</w:t>
            </w:r>
          </w:p>
        </w:tc>
      </w:tr>
      <w:tr>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rPr>
                <w:b w:val="false"/>
                <w:b w:val="false"/>
              </w:rPr>
            </w:pPr>
            <w:r>
              <w:rPr>
                <w:b w:val="false"/>
                <w:bCs/>
                <w:color w:val="76923C" w:themeColor="accent3" w:themeShade="bf"/>
              </w:rPr>
              <w:t>4</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color w:val="76923C" w:themeColor="accent3" w:themeShade="bf"/>
              </w:rPr>
            </w:pPr>
            <w:r>
              <w:rPr>
                <w:color w:val="76923C" w:themeColor="accent3" w:themeShade="bf"/>
              </w:rPr>
              <w:t>15 - 25</w:t>
            </w:r>
          </w:p>
        </w:tc>
      </w:tr>
      <w:tr>
        <w:trPr>
          <w:trHeight w:val="289"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rPr>
                <w:b w:val="false"/>
                <w:b w:val="false"/>
              </w:rPr>
            </w:pPr>
            <w:r>
              <w:rPr>
                <w:b w:val="false"/>
                <w:bCs/>
                <w:color w:val="76923C" w:themeColor="accent3" w:themeShade="bf"/>
              </w:rPr>
              <w:t>5</w:t>
            </w:r>
          </w:p>
        </w:tc>
        <w:tc>
          <w:tcPr>
            <w:tcW w:w="482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color w:val="76923C" w:themeColor="accent3" w:themeShade="bf"/>
              </w:rPr>
            </w:pPr>
            <w:r>
              <w:rPr>
                <w:color w:val="76923C" w:themeColor="accent3" w:themeShade="bf"/>
              </w:rPr>
              <w:t>&gt; 25</w:t>
            </w:r>
          </w:p>
        </w:tc>
      </w:tr>
    </w:tbl>
    <w:p>
      <w:pPr>
        <w:pStyle w:val="Caption"/>
        <w:rPr/>
      </w:pPr>
      <w:r>
        <w:rPr/>
      </w:r>
    </w:p>
    <w:p>
      <w:pPr>
        <w:pStyle w:val="Caption"/>
        <w:rPr/>
      </w:pPr>
      <w:r>
        <w:rPr/>
        <w:t xml:space="preserve">Tablica </w:t>
      </w:r>
      <w:r>
        <w:rPr/>
        <w:fldChar w:fldCharType="begin"/>
      </w:r>
      <w:r>
        <w:rPr/>
        <w:instrText> SEQ Tabela \* ARABIC </w:instrText>
      </w:r>
      <w:r>
        <w:rPr/>
        <w:fldChar w:fldCharType="separate"/>
      </w:r>
      <w:r>
        <w:rPr/>
        <w:t>9</w:t>
      </w:r>
      <w:r>
        <w:rPr/>
        <w:fldChar w:fldCharType="end"/>
      </w:r>
      <w:r>
        <w:rPr/>
        <w:t>. Prijedlog šteta u gospodarstvu</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835"/>
        <w:gridCol w:w="7234"/>
      </w:tblGrid>
      <w:tr>
        <w:trPr>
          <w:trHeight w:val="448" w:hRule="atLeast"/>
          <w:cnfStyle w:val="100000000000" w:firstRow="1" w:lastRow="0" w:firstColumn="0" w:lastColumn="0" w:oddVBand="0" w:evenVBand="0" w:oddHBand="0" w:evenHBand="0" w:firstRowFirstColumn="0" w:firstRowLastColumn="0" w:lastRowFirstColumn="0" w:lastRowLastColumn="0"/>
        </w:trPr>
        <w:tc>
          <w:tcPr>
            <w:tcW w:w="183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t>VRSTA ŠTETE</w:t>
            </w:r>
          </w:p>
        </w:tc>
        <w:tc>
          <w:tcPr>
            <w:tcW w:w="7234"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cnfStyle w:val="100000000000" w:firstRow="1" w:lastRow="0" w:firstColumn="0" w:lastColumn="0" w:oddVBand="0" w:evenVBand="0" w:oddHBand="0" w:evenHBand="0" w:firstRowFirstColumn="0" w:firstRowLastColumn="0" w:lastRowFirstColumn="0" w:lastRowLastColumn="0"/>
              <w:rPr>
                <w:sz w:val="20"/>
                <w:szCs w:val="22"/>
              </w:rPr>
            </w:pPr>
            <w:r>
              <w:rPr>
                <w:b/>
                <w:bCs/>
                <w:color w:val="76923C" w:themeColor="accent3" w:themeShade="bf"/>
                <w:sz w:val="20"/>
                <w:szCs w:val="22"/>
              </w:rPr>
              <w:t>POKAZATELJ</w:t>
            </w:r>
          </w:p>
        </w:tc>
      </w:tr>
      <w:tr>
        <w:trPr>
          <w:trHeight w:val="476" w:hRule="atLeast"/>
          <w:cnfStyle w:val="000000100000" w:firstRow="0" w:lastRow="0" w:firstColumn="0" w:lastColumn="0" w:oddVBand="0" w:evenVBand="0" w:oddHBand="1" w:evenHBand="0" w:firstRowFirstColumn="0" w:firstRowLastColumn="0" w:lastRowFirstColumn="0" w:lastRowLastColumn="0"/>
        </w:trPr>
        <w:tc>
          <w:tcPr>
            <w:tcW w:w="1835"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t>1. Direktne štete</w:t>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1.1. Šteta na pokretnoj i nepokretnoj imovini</w:t>
            </w:r>
          </w:p>
        </w:tc>
      </w:tr>
      <w:tr>
        <w:trPr>
          <w:trHeight w:val="476" w:hRule="atLeast"/>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1.2. Šteta na sredstvima za proizvodnju i rad</w:t>
            </w:r>
          </w:p>
        </w:tc>
      </w:tr>
      <w:tr>
        <w:trPr>
          <w:trHeight w:val="502"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1.3. Štete na javnim zgradama ustanovama koje ne spadaju pod druge kriterije</w:t>
            </w:r>
          </w:p>
        </w:tc>
      </w:tr>
      <w:tr>
        <w:trPr>
          <w:trHeight w:val="476" w:hRule="atLeast"/>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1.3. Trošak sanacije, oporavka, asanacije te srodni troškovi</w:t>
            </w:r>
          </w:p>
        </w:tc>
      </w:tr>
      <w:tr>
        <w:trPr>
          <w:trHeight w:val="476"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1.4. Troškovi spašavanja, liječenja te slični troškovi</w:t>
            </w:r>
          </w:p>
        </w:tc>
      </w:tr>
      <w:tr>
        <w:trPr>
          <w:trHeight w:val="476" w:hRule="atLeast"/>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1.5. Gubitak dobiti</w:t>
            </w:r>
          </w:p>
        </w:tc>
      </w:tr>
      <w:tr>
        <w:trPr>
          <w:trHeight w:val="502"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1.6. Gubitak repromaterijala</w:t>
            </w:r>
          </w:p>
        </w:tc>
      </w:tr>
      <w:tr>
        <w:trPr>
          <w:trHeight w:val="448" w:hRule="atLeast"/>
        </w:trPr>
        <w:tc>
          <w:tcPr>
            <w:tcW w:w="1835"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t>2. Indirektne štete</w:t>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2.1. Izostanak radnika s posla (potrebno je procijeniti trošak izostanka s posla)</w:t>
            </w:r>
          </w:p>
        </w:tc>
      </w:tr>
      <w:tr>
        <w:trPr>
          <w:trHeight w:val="476"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0" w:after="0"/>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2.2. Gubitak poslova i prestanak poslovanja (potrebno je procijeniti trošak)</w:t>
            </w:r>
          </w:p>
        </w:tc>
      </w:tr>
      <w:tr>
        <w:trPr>
          <w:trHeight w:val="502" w:hRule="atLeast"/>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0" w:after="0"/>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2.3. Gubitak prestiža i renomea (potrebno je procijeniti trošak)</w:t>
            </w:r>
          </w:p>
        </w:tc>
      </w:tr>
      <w:tr>
        <w:trPr>
          <w:trHeight w:val="476"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0" w:after="0"/>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2.4. Nedostatak radne snage (potrebno je procijeniti trošak)</w:t>
            </w:r>
          </w:p>
        </w:tc>
      </w:tr>
      <w:tr>
        <w:trPr>
          <w:trHeight w:val="476" w:hRule="atLeast"/>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0" w:after="0"/>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2.5. Pad prihoda</w:t>
            </w:r>
          </w:p>
        </w:tc>
      </w:tr>
      <w:tr>
        <w:trPr>
          <w:trHeight w:val="476" w:hRule="atLeast"/>
          <w:cnfStyle w:val="000000100000" w:firstRow="0" w:lastRow="0" w:firstColumn="0" w:lastColumn="0" w:oddVBand="0" w:evenVBand="0" w:oddHBand="1" w:evenHBand="0" w:firstRowFirstColumn="0" w:firstRowLastColumn="0" w:lastRowFirstColumn="0" w:lastRowLastColumn="0"/>
        </w:trPr>
        <w:tc>
          <w:tcPr>
            <w:tcW w:w="1835"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0" w:after="0"/>
              <w:rPr>
                <w:sz w:val="20"/>
                <w:szCs w:val="22"/>
              </w:rPr>
            </w:pPr>
            <w:r>
              <w:rPr>
                <w:b/>
                <w:bCs/>
                <w:color w:val="76923C" w:themeColor="accent3" w:themeShade="bf"/>
                <w:sz w:val="20"/>
                <w:szCs w:val="22"/>
              </w:rPr>
            </w:r>
          </w:p>
        </w:tc>
        <w:tc>
          <w:tcPr>
            <w:tcW w:w="723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left"/>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2.6. Pad proračuna</w:t>
            </w:r>
          </w:p>
        </w:tc>
      </w:tr>
    </w:tbl>
    <w:p>
      <w:pPr>
        <w:pStyle w:val="Normal"/>
        <w:spacing w:before="120" w:after="120"/>
        <w:rPr/>
      </w:pPr>
      <w:r>
        <w:rPr/>
        <w:t xml:space="preserve">Vrijednost pokretnina i nekretnina određuju se na temelju podataka dobivenih iz Državnog zavoda za statistiku. </w:t>
      </w:r>
    </w:p>
    <w:p>
      <w:pPr>
        <w:pStyle w:val="Normal"/>
        <w:rPr/>
      </w:pPr>
      <w:r>
        <w:rPr/>
      </w:r>
    </w:p>
    <w:p>
      <w:pPr>
        <w:pStyle w:val="Stilnaslova2"/>
        <w:numPr>
          <w:ilvl w:val="1"/>
          <w:numId w:val="2"/>
        </w:numPr>
        <w:rPr/>
      </w:pPr>
      <w:bookmarkStart w:id="92" w:name="_Toc480526491"/>
      <w:bookmarkStart w:id="93" w:name="_Toc496179677"/>
      <w:bookmarkStart w:id="94" w:name="_Toc99955681"/>
      <w:bookmarkStart w:id="95" w:name="_Toc116990129"/>
      <w:r>
        <w:rPr/>
        <w:t>Društvena stabilnost i politika</w:t>
      </w:r>
      <w:bookmarkEnd w:id="92"/>
      <w:bookmarkEnd w:id="93"/>
      <w:bookmarkEnd w:id="94"/>
      <w:bookmarkEnd w:id="95"/>
    </w:p>
    <w:p>
      <w:pPr>
        <w:pStyle w:val="Normal"/>
        <w:rPr/>
      </w:pPr>
      <w:r>
        <w:rPr/>
        <w:t>Posljedice za Društvenu stabilnost i politiku također se iskazuju u materijalnoj šteti i to za štetu na kritičnoj infrastrukturi i šteti na Ustanovama/građevinama od javnog društvenog značaja.</w:t>
      </w:r>
    </w:p>
    <w:p>
      <w:pPr>
        <w:pStyle w:val="Normal"/>
        <w:rPr/>
      </w:pPr>
      <w:r>
        <w:rPr/>
        <w:t>Ukoliko je ukupna materijalna šteta na kritičnoj infrastrukturi od značaja za funkcioniranje Istarske županije i Grada Buje u cjelini, tada se prikazuje u odnosu na Županijski proračun.</w:t>
      </w:r>
    </w:p>
    <w:p>
      <w:pPr>
        <w:pStyle w:val="Normal"/>
        <w:rPr/>
      </w:pPr>
      <w:r>
        <w:rPr/>
      </w:r>
    </w:p>
    <w:p>
      <w:pPr>
        <w:pStyle w:val="Normal"/>
        <w:spacing w:before="0" w:after="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10</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Društvena stabilnost - Kritična infrastruktura (KI)</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4244"/>
        <w:gridCol w:w="4825"/>
      </w:tblGrid>
      <w:tr>
        <w:trPr>
          <w:trHeight w:val="397" w:hRule="atLeast"/>
          <w:cnfStyle w:val="100000000000" w:firstRow="1" w:lastRow="0" w:firstColumn="0" w:lastColumn="0" w:oddVBand="0" w:evenVBand="0" w:oddHBand="0"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 w:val="20"/>
                <w:szCs w:val="22"/>
              </w:rPr>
            </w:pPr>
            <w:r>
              <w:rPr>
                <w:b/>
                <w:bCs/>
                <w:color w:val="76923C" w:themeColor="accent3" w:themeShade="bf"/>
                <w:sz w:val="20"/>
                <w:szCs w:val="22"/>
              </w:rPr>
              <w:t>KATEGORIJA</w:t>
            </w:r>
          </w:p>
        </w:tc>
        <w:tc>
          <w:tcPr>
            <w:tcW w:w="482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cnfStyle w:val="100000000000" w:firstRow="1" w:lastRow="0" w:firstColumn="0" w:lastColumn="0" w:oddVBand="0" w:evenVBand="0" w:oddHBand="0" w:evenHBand="0" w:firstRowFirstColumn="0" w:firstRowLastColumn="0" w:lastRowFirstColumn="0" w:lastRowLastColumn="0"/>
              <w:rPr>
                <w:sz w:val="20"/>
                <w:szCs w:val="22"/>
              </w:rPr>
            </w:pPr>
            <w:r>
              <w:rPr>
                <w:b/>
                <w:bCs/>
                <w:color w:val="76923C" w:themeColor="accent3" w:themeShade="bf"/>
                <w:sz w:val="20"/>
                <w:szCs w:val="22"/>
              </w:rPr>
              <w:t>%</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 w:val="20"/>
                <w:szCs w:val="22"/>
              </w:rPr>
            </w:pPr>
            <w:r>
              <w:rPr>
                <w:b/>
                <w:bCs/>
                <w:color w:val="76923C" w:themeColor="accent3" w:themeShade="bf"/>
                <w:sz w:val="20"/>
                <w:szCs w:val="22"/>
              </w:rPr>
              <w:t>1</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0,5 - 1</w:t>
            </w:r>
          </w:p>
        </w:tc>
      </w:tr>
      <w:tr>
        <w:trPr>
          <w:trHeight w:val="397" w:hRule="atLeast"/>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 w:val="20"/>
                <w:szCs w:val="22"/>
              </w:rPr>
            </w:pPr>
            <w:r>
              <w:rPr>
                <w:b/>
                <w:bCs/>
                <w:color w:val="76923C" w:themeColor="accent3" w:themeShade="bf"/>
                <w:sz w:val="20"/>
                <w:szCs w:val="22"/>
              </w:rPr>
              <w:t>2</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1 - 5</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 w:val="20"/>
                <w:szCs w:val="22"/>
              </w:rPr>
            </w:pPr>
            <w:r>
              <w:rPr>
                <w:b/>
                <w:bCs/>
                <w:color w:val="76923C" w:themeColor="accent3" w:themeShade="bf"/>
                <w:sz w:val="20"/>
                <w:szCs w:val="22"/>
              </w:rPr>
              <w:t>3</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5  - 15</w:t>
            </w:r>
          </w:p>
        </w:tc>
      </w:tr>
      <w:tr>
        <w:trPr>
          <w:trHeight w:val="397" w:hRule="atLeast"/>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 w:val="20"/>
                <w:szCs w:val="22"/>
              </w:rPr>
            </w:pPr>
            <w:r>
              <w:rPr>
                <w:b/>
                <w:bCs/>
                <w:color w:val="76923C" w:themeColor="accent3" w:themeShade="bf"/>
                <w:sz w:val="20"/>
                <w:szCs w:val="22"/>
              </w:rPr>
              <w:t>4</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15 - 25</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 w:val="20"/>
                <w:szCs w:val="22"/>
              </w:rPr>
            </w:pPr>
            <w:r>
              <w:rPr>
                <w:b/>
                <w:bCs/>
                <w:color w:val="76923C" w:themeColor="accent3" w:themeShade="bf"/>
                <w:sz w:val="20"/>
                <w:szCs w:val="22"/>
              </w:rPr>
              <w:t>5</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&gt; 25</w:t>
            </w:r>
          </w:p>
        </w:tc>
      </w:tr>
    </w:tbl>
    <w:p>
      <w:pPr>
        <w:pStyle w:val="Normal"/>
        <w:rPr/>
      </w:pPr>
      <w:r>
        <w:rPr/>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pPr>
        <w:pStyle w:val="Normal"/>
        <w:rPr/>
      </w:pPr>
      <w:r>
        <w:rPr/>
      </w:r>
    </w:p>
    <w:p>
      <w:pPr>
        <w:pStyle w:val="Normal"/>
        <w:spacing w:before="0" w:after="16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11</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Društvena stabilnost – Ustanove/građevine javnog društvenog značaja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4244"/>
        <w:gridCol w:w="4825"/>
      </w:tblGrid>
      <w:tr>
        <w:trPr>
          <w:trHeight w:val="397" w:hRule="atLeast"/>
          <w:cnfStyle w:val="100000000000" w:firstRow="1" w:lastRow="0" w:firstColumn="0" w:lastColumn="0" w:oddVBand="0" w:evenVBand="0" w:oddHBand="0"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rPr>
                <w:szCs w:val="22"/>
              </w:rPr>
            </w:pPr>
            <w:r>
              <w:rPr>
                <w:b/>
                <w:bCs/>
                <w:color w:val="76923C" w:themeColor="accent3" w:themeShade="bf"/>
                <w:szCs w:val="22"/>
              </w:rPr>
              <w:t>KATEGORIJA</w:t>
            </w:r>
          </w:p>
        </w:tc>
        <w:tc>
          <w:tcPr>
            <w:tcW w:w="482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0" w:after="0"/>
              <w:jc w:val="center"/>
              <w:cnfStyle w:val="100000000000" w:firstRow="1" w:lastRow="0" w:firstColumn="0" w:lastColumn="0" w:oddVBand="0" w:evenVBand="0" w:oddHBand="0" w:evenHBand="0" w:firstRowFirstColumn="0" w:firstRowLastColumn="0" w:lastRowFirstColumn="0" w:lastRowLastColumn="0"/>
              <w:rPr>
                <w:szCs w:val="22"/>
              </w:rPr>
            </w:pPr>
            <w:r>
              <w:rPr>
                <w:b/>
                <w:bCs/>
                <w:color w:val="76923C" w:themeColor="accent3" w:themeShade="bf"/>
                <w:szCs w:val="22"/>
              </w:rPr>
              <w:t>%</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Cs w:val="22"/>
              </w:rPr>
            </w:pPr>
            <w:r>
              <w:rPr>
                <w:b/>
                <w:bCs/>
                <w:color w:val="76923C" w:themeColor="accent3" w:themeShade="bf"/>
                <w:szCs w:val="22"/>
              </w:rPr>
              <w:t>1</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0,5 - 1</w:t>
            </w:r>
          </w:p>
        </w:tc>
      </w:tr>
      <w:tr>
        <w:trPr>
          <w:trHeight w:val="397" w:hRule="atLeast"/>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Cs w:val="22"/>
              </w:rPr>
            </w:pPr>
            <w:r>
              <w:rPr>
                <w:b/>
                <w:bCs/>
                <w:color w:val="76923C" w:themeColor="accent3" w:themeShade="bf"/>
                <w:szCs w:val="22"/>
              </w:rPr>
              <w:t>2</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Cs w:val="22"/>
              </w:rPr>
            </w:pPr>
            <w:r>
              <w:rPr>
                <w:color w:val="76923C" w:themeColor="accent3" w:themeShade="bf"/>
                <w:szCs w:val="22"/>
              </w:rPr>
              <w:t>1 - 5</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Cs w:val="22"/>
              </w:rPr>
            </w:pPr>
            <w:r>
              <w:rPr>
                <w:b/>
                <w:bCs/>
                <w:color w:val="76923C" w:themeColor="accent3" w:themeShade="bf"/>
                <w:szCs w:val="22"/>
              </w:rPr>
              <w:t>3</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5  - 15</w:t>
            </w:r>
          </w:p>
        </w:tc>
      </w:tr>
      <w:tr>
        <w:trPr>
          <w:trHeight w:val="397" w:hRule="atLeast"/>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Cs w:val="22"/>
              </w:rPr>
            </w:pPr>
            <w:r>
              <w:rPr>
                <w:b/>
                <w:bCs/>
                <w:color w:val="76923C" w:themeColor="accent3" w:themeShade="bf"/>
                <w:szCs w:val="22"/>
              </w:rPr>
              <w:t>4</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000000" w:firstRow="0" w:lastRow="0" w:firstColumn="0" w:lastColumn="0" w:oddVBand="0" w:evenVBand="0" w:oddHBand="0" w:evenHBand="0" w:firstRowFirstColumn="0" w:firstRowLastColumn="0" w:lastRowFirstColumn="0" w:lastRowLastColumn="0"/>
              <w:rPr>
                <w:szCs w:val="22"/>
              </w:rPr>
            </w:pPr>
            <w:r>
              <w:rPr>
                <w:color w:val="76923C" w:themeColor="accent3" w:themeShade="bf"/>
                <w:szCs w:val="22"/>
              </w:rPr>
              <w:t>15 - 25</w:t>
            </w:r>
          </w:p>
        </w:tc>
      </w:tr>
      <w:tr>
        <w:trPr>
          <w:trHeight w:val="397" w:hRule="atLeast"/>
          <w:cnfStyle w:val="000000100000" w:firstRow="0" w:lastRow="0" w:firstColumn="0" w:lastColumn="0" w:oddVBand="0" w:evenVBand="0" w:oddHBand="1" w:evenHBand="0" w:firstRowFirstColumn="0" w:firstRowLastColumn="0" w:lastRowFirstColumn="0" w:lastRowLastColumn="0"/>
        </w:trPr>
        <w:tc>
          <w:tcPr>
            <w:tcW w:w="424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rPr>
                <w:szCs w:val="22"/>
              </w:rPr>
            </w:pPr>
            <w:r>
              <w:rPr>
                <w:b/>
                <w:bCs/>
                <w:color w:val="76923C" w:themeColor="accent3" w:themeShade="bf"/>
                <w:szCs w:val="22"/>
              </w:rPr>
              <w:t>5</w:t>
            </w:r>
          </w:p>
        </w:tc>
        <w:tc>
          <w:tcPr>
            <w:tcW w:w="482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0" w:after="0"/>
              <w:jc w:val="center"/>
              <w:cnfStyle w:val="000000100000" w:firstRow="0" w:lastRow="0" w:firstColumn="0" w:lastColumn="0" w:oddVBand="0" w:evenVBand="0" w:oddHBand="1" w:evenHBand="0" w:firstRowFirstColumn="0" w:firstRowLastColumn="0" w:lastRowFirstColumn="0" w:lastRowLastColumn="0"/>
              <w:rPr>
                <w:szCs w:val="22"/>
              </w:rPr>
            </w:pPr>
            <w:r>
              <w:rPr>
                <w:color w:val="76923C" w:themeColor="accent3" w:themeShade="bf"/>
                <w:szCs w:val="22"/>
              </w:rPr>
              <w:t>&gt; 25</w:t>
            </w:r>
          </w:p>
        </w:tc>
      </w:tr>
    </w:tbl>
    <w:p>
      <w:pPr>
        <w:pStyle w:val="Normal"/>
        <w:rPr/>
      </w:pPr>
      <w:r>
        <w:rPr/>
      </w:r>
    </w:p>
    <w:p>
      <w:pPr>
        <w:pStyle w:val="Normal"/>
        <w:rPr/>
      </w:pPr>
      <w:r>
        <w:rPr/>
        <w:t>Posljedice za društvenu stabilnost i politiku iskazuju se zbirno.</w:t>
      </w:r>
    </w:p>
    <w:p>
      <w:pPr>
        <w:pStyle w:val="Normal"/>
        <w:rPr/>
      </w:pPr>
      <w:r>
        <w:rPr/>
        <w:t>Kategorija Društvene stabilnosti i politike dobiva se srednjom vrijednosti kategorija Kritične infrastrukture (KI) i Ustanova/građevina javnog i društvenog značaja.</w:t>
      </w:r>
    </w:p>
    <w:p>
      <w:pPr>
        <w:pStyle w:val="Normal"/>
        <w:rPr/>
      </w:pPr>
      <w:r>
        <w:rPr/>
        <mc:AlternateContent>
          <mc:Choice Requires="wps">
            <w:drawing>
              <wp:anchor behindDoc="0" distT="0" distB="0" distL="0" distR="0" simplePos="0" locked="0" layoutInCell="1" allowOverlap="1" relativeHeight="5" wp14:anchorId="054F0490">
                <wp:simplePos x="0" y="0"/>
                <wp:positionH relativeFrom="margin">
                  <wp:align>right</wp:align>
                </wp:positionH>
                <wp:positionV relativeFrom="paragraph">
                  <wp:posOffset>166370</wp:posOffset>
                </wp:positionV>
                <wp:extent cx="3753485" cy="477520"/>
                <wp:effectExtent l="0" t="0" r="635" b="0"/>
                <wp:wrapNone/>
                <wp:docPr id="38" name="Text Box 8"/>
                <a:graphic xmlns:a="http://schemas.openxmlformats.org/drawingml/2006/main">
                  <a:graphicData uri="http://schemas.microsoft.com/office/word/2010/wordprocessingShape">
                    <wps:wsp>
                      <wps:cNvSpPr/>
                      <wps:spPr>
                        <a:xfrm>
                          <a:off x="0" y="0"/>
                          <a:ext cx="3753000" cy="477000"/>
                        </a:xfrm>
                        <a:prstGeom prst="rect">
                          <a:avLst/>
                        </a:prstGeom>
                        <a:solidFill>
                          <a:schemeClr val="lt1"/>
                        </a:solidFill>
                        <a:ln w="6480">
                          <a:noFill/>
                        </a:ln>
                      </wps:spPr>
                      <wps:style>
                        <a:lnRef idx="0">
                          <a:schemeClr val="accent1"/>
                        </a:lnRef>
                        <a:fillRef idx="0">
                          <a:schemeClr val="accent1"/>
                        </a:fillRef>
                        <a:effectRef idx="0">
                          <a:schemeClr val="accent1"/>
                        </a:effectRef>
                        <a:fontRef idx="minor"/>
                      </wps:style>
                      <wps:txbx>
                        <w:txbxContent>
                          <w:tbl>
                            <w:tblPr>
                              <w:tblStyle w:val="TableGrid"/>
                              <w:tblW w:w="5670" w:type="dxa"/>
                              <w:jc w:val="left"/>
                              <w:tblInd w:w="0" w:type="dxa"/>
                              <w:tblCellMar>
                                <w:top w:w="0" w:type="dxa"/>
                                <w:left w:w="108" w:type="dxa"/>
                                <w:bottom w:w="0" w:type="dxa"/>
                                <w:right w:w="108" w:type="dxa"/>
                              </w:tblCellMar>
                              <w:tblLook w:firstRow="1" w:noVBand="1" w:lastRow="0" w:firstColumn="1" w:lastColumn="0" w:noHBand="0" w:val="04a0"/>
                            </w:tblPr>
                            <w:tblGrid>
                              <w:gridCol w:w="5670"/>
                            </w:tblGrid>
                            <w:tr>
                              <w:trPr/>
                              <w:tc>
                                <w:tcPr>
                                  <w:tcW w:w="5670" w:type="dxa"/>
                                  <w:tcBorders>
                                    <w:top w:val="nil"/>
                                    <w:left w:val="nil"/>
                                    <w:right w:val="nil"/>
                                  </w:tcBorders>
                                </w:tcPr>
                                <w:p>
                                  <w:pPr>
                                    <w:pStyle w:val="Sadrajokvira"/>
                                    <w:spacing w:lineRule="auto" w:line="240" w:before="0" w:after="0"/>
                                    <w:rPr>
                                      <w:sz w:val="22"/>
                                      <w:szCs w:val="22"/>
                                    </w:rPr>
                                  </w:pPr>
                                  <w:r>
                                    <w:rPr>
                                      <w:sz w:val="22"/>
                                      <w:szCs w:val="22"/>
                                      <w:lang w:eastAsia="hr-HR"/>
                                    </w:rPr>
                                    <w:t>KI + Građevine (Ustanove) javnog društvenog značaja</w:t>
                                  </w:r>
                                </w:p>
                              </w:tc>
                            </w:tr>
                            <w:tr>
                              <w:trPr/>
                              <w:tc>
                                <w:tcPr>
                                  <w:tcW w:w="5670" w:type="dxa"/>
                                  <w:tcBorders>
                                    <w:left w:val="nil"/>
                                    <w:bottom w:val="nil"/>
                                    <w:right w:val="nil"/>
                                  </w:tcBorders>
                                </w:tcPr>
                                <w:p>
                                  <w:pPr>
                                    <w:pStyle w:val="Sadrajokvira"/>
                                    <w:spacing w:lineRule="auto" w:line="240" w:before="0" w:after="0"/>
                                    <w:jc w:val="center"/>
                                    <w:rPr>
                                      <w:sz w:val="24"/>
                                      <w:lang w:eastAsia="hr-HR"/>
                                    </w:rPr>
                                  </w:pPr>
                                  <w:r>
                                    <w:rPr>
                                      <w:sz w:val="24"/>
                                      <w:lang w:eastAsia="hr-HR"/>
                                    </w:rPr>
                                    <w:t>2</w:t>
                                  </w:r>
                                </w:p>
                              </w:tc>
                            </w:tr>
                          </w:tbl>
                          <w:p>
                            <w:pPr>
                              <w:pStyle w:val="Sadrajokvira"/>
                              <w:spacing w:before="80" w:after="160"/>
                              <w:rPr>
                                <w:color w:val="000000"/>
                              </w:rPr>
                            </w:pPr>
                            <w:r>
                              <w:rPr>
                                <w:color w:val="000000"/>
                              </w:rPr>
                            </w:r>
                          </w:p>
                        </w:txbxContent>
                      </wps:txbx>
                      <wps:bodyPr>
                        <a:noAutofit/>
                      </wps:bodyPr>
                    </wps:wsp>
                  </a:graphicData>
                </a:graphic>
              </wp:anchor>
            </w:drawing>
          </mc:Choice>
          <mc:Fallback>
            <w:pict>
              <v:rect id="shape_0" ID="Text Box 8" fillcolor="white" stroked="f" style="position:absolute;margin-left:157.9pt;margin-top:13.1pt;width:295.45pt;height:37.5pt;mso-position-horizontal:right;mso-position-horizontal-relative:margin" wp14:anchorId="054F0490">
                <w10:wrap type="none"/>
                <v:fill o:detectmouseclick="t" type="solid" color2="black"/>
                <v:stroke color="#3465a4" weight="6480" joinstyle="round" endcap="flat"/>
                <v:textbox>
                  <w:txbxContent>
                    <w:tbl>
                      <w:tblPr>
                        <w:tblStyle w:val="TableGrid"/>
                        <w:tblW w:w="5670" w:type="dxa"/>
                        <w:jc w:val="left"/>
                        <w:tblInd w:w="0" w:type="dxa"/>
                        <w:tblCellMar>
                          <w:top w:w="0" w:type="dxa"/>
                          <w:left w:w="108" w:type="dxa"/>
                          <w:bottom w:w="0" w:type="dxa"/>
                          <w:right w:w="108" w:type="dxa"/>
                        </w:tblCellMar>
                        <w:tblLook w:firstRow="1" w:noVBand="1" w:lastRow="0" w:firstColumn="1" w:lastColumn="0" w:noHBand="0" w:val="04a0"/>
                      </w:tblPr>
                      <w:tblGrid>
                        <w:gridCol w:w="5670"/>
                      </w:tblGrid>
                      <w:tr>
                        <w:trPr/>
                        <w:tc>
                          <w:tcPr>
                            <w:tcW w:w="5670" w:type="dxa"/>
                            <w:tcBorders>
                              <w:top w:val="nil"/>
                              <w:left w:val="nil"/>
                              <w:right w:val="nil"/>
                            </w:tcBorders>
                          </w:tcPr>
                          <w:p>
                            <w:pPr>
                              <w:pStyle w:val="Sadrajokvira"/>
                              <w:spacing w:lineRule="auto" w:line="240" w:before="0" w:after="0"/>
                              <w:rPr>
                                <w:sz w:val="22"/>
                                <w:szCs w:val="22"/>
                              </w:rPr>
                            </w:pPr>
                            <w:r>
                              <w:rPr>
                                <w:sz w:val="22"/>
                                <w:szCs w:val="22"/>
                                <w:lang w:eastAsia="hr-HR"/>
                              </w:rPr>
                              <w:t>KI + Građevine (Ustanove) javnog društvenog značaja</w:t>
                            </w:r>
                          </w:p>
                        </w:tc>
                      </w:tr>
                      <w:tr>
                        <w:trPr/>
                        <w:tc>
                          <w:tcPr>
                            <w:tcW w:w="5670" w:type="dxa"/>
                            <w:tcBorders>
                              <w:left w:val="nil"/>
                              <w:bottom w:val="nil"/>
                              <w:right w:val="nil"/>
                            </w:tcBorders>
                          </w:tcPr>
                          <w:p>
                            <w:pPr>
                              <w:pStyle w:val="Sadrajokvira"/>
                              <w:spacing w:lineRule="auto" w:line="240" w:before="0" w:after="0"/>
                              <w:jc w:val="center"/>
                              <w:rPr>
                                <w:sz w:val="24"/>
                                <w:lang w:eastAsia="hr-HR"/>
                              </w:rPr>
                            </w:pPr>
                            <w:r>
                              <w:rPr>
                                <w:sz w:val="24"/>
                                <w:lang w:eastAsia="hr-HR"/>
                              </w:rPr>
                              <w:t>2</w:t>
                            </w:r>
                          </w:p>
                        </w:tc>
                      </w:tr>
                    </w:tbl>
                    <w:p>
                      <w:pPr>
                        <w:pStyle w:val="Sadrajokvira"/>
                        <w:spacing w:before="80" w:after="160"/>
                        <w:rPr>
                          <w:color w:val="000000"/>
                        </w:rPr>
                      </w:pPr>
                      <w:r>
                        <w:rPr>
                          <w:color w:val="000000"/>
                        </w:rPr>
                      </w:r>
                    </w:p>
                  </w:txbxContent>
                </v:textbox>
              </v:rect>
            </w:pict>
          </mc:Fallback>
        </mc:AlternateContent>
      </w:r>
    </w:p>
    <w:p>
      <w:pPr>
        <w:pStyle w:val="Normal"/>
        <w:rPr/>
      </w:pPr>
      <w:r>
        <w:rPr/>
        <w:t>Društvena stabilnost i politika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Stilnaslova1"/>
        <w:numPr>
          <w:ilvl w:val="0"/>
          <w:numId w:val="2"/>
        </w:numPr>
        <w:rPr/>
      </w:pPr>
      <w:bookmarkStart w:id="96" w:name="_Toc496179678"/>
      <w:bookmarkStart w:id="97" w:name="_Toc99955682"/>
      <w:bookmarkStart w:id="98" w:name="_Toc116990130"/>
      <w:r>
        <w:rPr/>
        <w:t>Vjerojatnost</w:t>
      </w:r>
      <w:bookmarkEnd w:id="96"/>
      <w:bookmarkEnd w:id="97"/>
      <w:bookmarkEnd w:id="98"/>
    </w:p>
    <w:p>
      <w:pPr>
        <w:pStyle w:val="Normal"/>
        <w:rPr/>
      </w:pPr>
      <w:r>
        <w:rPr/>
        <w:t>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w:t>
      </w:r>
    </w:p>
    <w:p>
      <w:pPr>
        <w:pStyle w:val="Normal"/>
        <w:spacing w:before="120" w:after="120"/>
        <w:rPr>
          <w:szCs w:val="22"/>
          <w:u w:val="single"/>
        </w:rPr>
      </w:pPr>
      <w:r>
        <w:rPr>
          <w:szCs w:val="22"/>
          <w:u w:val="single"/>
        </w:rPr>
        <w:t>Određivanje analize:</w:t>
      </w:r>
    </w:p>
    <w:p>
      <w:pPr>
        <w:pStyle w:val="ListParagraph"/>
        <w:numPr>
          <w:ilvl w:val="0"/>
          <w:numId w:val="18"/>
        </w:numPr>
        <w:rPr/>
      </w:pPr>
      <w:r>
        <w:rPr/>
        <w:t>procjena mora biti bazirana na znanstvenim (statističkim) podacima</w:t>
      </w:r>
    </w:p>
    <w:p>
      <w:pPr>
        <w:pStyle w:val="ListParagraph"/>
        <w:numPr>
          <w:ilvl w:val="0"/>
          <w:numId w:val="18"/>
        </w:numPr>
        <w:rPr/>
      </w:pPr>
      <w:r>
        <w:rPr/>
        <w:t>izračun je jasno strukturiran i transparentan</w:t>
      </w:r>
    </w:p>
    <w:p>
      <w:pPr>
        <w:pStyle w:val="ListParagraph"/>
        <w:numPr>
          <w:ilvl w:val="0"/>
          <w:numId w:val="18"/>
        </w:numPr>
        <w:rPr/>
      </w:pPr>
      <w:r>
        <w:rPr/>
        <w:t>procjena je metodološki dosljedna i može biti ponovljena sa istim ili vrlo sličnim rezultatima od druge radne skupine koristeći iste podatke i metodologiju</w:t>
      </w:r>
    </w:p>
    <w:p>
      <w:pPr>
        <w:pStyle w:val="ListParagraph"/>
        <w:numPr>
          <w:ilvl w:val="0"/>
          <w:numId w:val="18"/>
        </w:numPr>
        <w:rPr/>
      </w:pPr>
      <w:r>
        <w:rPr/>
        <w:t>ishod koji će podržavati određivanje rizika</w:t>
      </w:r>
    </w:p>
    <w:p>
      <w:pPr>
        <w:pStyle w:val="ListParagraph"/>
        <w:numPr>
          <w:ilvl w:val="0"/>
          <w:numId w:val="18"/>
        </w:numPr>
        <w:rPr/>
      </w:pPr>
      <w:r>
        <w:rPr/>
        <w:t>ishod koji će omogućiti daljnju regulaciju rizika</w:t>
      </w:r>
    </w:p>
    <w:p>
      <w:pPr>
        <w:pStyle w:val="ListParagraph"/>
        <w:numPr>
          <w:ilvl w:val="0"/>
          <w:numId w:val="18"/>
        </w:numPr>
        <w:rPr/>
      </w:pPr>
      <w:r>
        <w:rPr/>
        <w:t>ishod koji će omogućiti usporedivost rezultata s drugim JLP(R)S</w:t>
      </w:r>
    </w:p>
    <w:p>
      <w:pPr>
        <w:pStyle w:val="Normal"/>
        <w:rPr/>
      </w:pPr>
      <w:r>
        <w:rPr/>
      </w:r>
    </w:p>
    <w:p>
      <w:pPr>
        <w:pStyle w:val="Normal"/>
        <w:rPr/>
      </w:pPr>
      <w:r>
        <w:rPr/>
        <w:t>Za svaki identificirani rizik posljedice i vjerojatnost/frekvencija podijeljeni su u 5 kategorija.</w:t>
      </w:r>
    </w:p>
    <w:p>
      <w:pPr>
        <w:pStyle w:val="Normal"/>
        <w:rPr>
          <w:szCs w:val="22"/>
        </w:rPr>
      </w:pPr>
      <w:r>
        <w:rPr>
          <w:szCs w:val="22"/>
        </w:rPr>
      </w:r>
    </w:p>
    <w:p>
      <w:pPr>
        <w:pStyle w:val="Normal"/>
        <w:spacing w:before="0" w:after="0"/>
        <w:jc w:val="center"/>
        <w:rPr>
          <w:rFonts w:eastAsia="Calibri"/>
          <w:b/>
          <w:b/>
          <w:bCs/>
          <w:i/>
          <w:i/>
          <w:color w:val="54883D"/>
          <w:sz w:val="20"/>
          <w:szCs w:val="20"/>
        </w:rPr>
      </w:pPr>
      <w:r>
        <w:rPr>
          <w:rFonts w:eastAsia="Calibri"/>
          <w:b/>
          <w:bCs/>
          <w:i/>
          <w:color w:val="54883D"/>
          <w:sz w:val="20"/>
          <w:szCs w:val="20"/>
        </w:rPr>
        <w:t xml:space="preserve">Tablica </w:t>
      </w:r>
      <w:r>
        <w:rPr>
          <w:rFonts w:eastAsia="Calibri"/>
          <w:b/>
          <w:bCs/>
          <w:i/>
          <w:color w:val="54883D"/>
          <w:sz w:val="20"/>
          <w:szCs w:val="20"/>
        </w:rPr>
        <w:fldChar w:fldCharType="begin"/>
      </w:r>
      <w:r>
        <w:rPr>
          <w:sz w:val="20"/>
          <w:i/>
          <w:b/>
          <w:szCs w:val="20"/>
          <w:bCs/>
          <w:rFonts w:eastAsia="Calibri"/>
          <w:color w:val="54883D"/>
        </w:rPr>
        <w:instrText> SEQ Tabela \* ARABIC </w:instrText>
      </w:r>
      <w:r>
        <w:rPr>
          <w:sz w:val="20"/>
          <w:i/>
          <w:b/>
          <w:szCs w:val="20"/>
          <w:bCs/>
          <w:rFonts w:eastAsia="Calibri"/>
          <w:color w:val="54883D"/>
        </w:rPr>
        <w:fldChar w:fldCharType="separate"/>
      </w:r>
      <w:r>
        <w:rPr>
          <w:sz w:val="20"/>
          <w:i/>
          <w:b/>
          <w:szCs w:val="20"/>
          <w:bCs/>
          <w:rFonts w:eastAsia="Calibri"/>
          <w:color w:val="54883D"/>
        </w:rPr>
        <w:t>12</w:t>
      </w:r>
      <w:r>
        <w:rPr>
          <w:sz w:val="20"/>
          <w:i/>
          <w:b/>
          <w:szCs w:val="20"/>
          <w:bCs/>
          <w:rFonts w:eastAsia="Calibri"/>
          <w:color w:val="54883D"/>
        </w:rPr>
        <w:fldChar w:fldCharType="end"/>
      </w:r>
      <w:r>
        <w:rPr>
          <w:rFonts w:eastAsia="Calibri"/>
          <w:b/>
          <w:bCs/>
          <w:i/>
          <w:color w:val="54883D"/>
          <w:sz w:val="20"/>
          <w:szCs w:val="20"/>
        </w:rPr>
        <w:t xml:space="preserve">.  </w:t>
      </w:r>
      <w:r>
        <w:rPr>
          <w:b/>
          <w:i/>
          <w:color w:val="54883D"/>
          <w:sz w:val="20"/>
          <w:szCs w:val="20"/>
        </w:rPr>
        <w:t>Vjerojatnost / frekvencija</w:t>
      </w:r>
    </w:p>
    <w:tbl>
      <w:tblPr>
        <w:tblStyle w:val="GridTable6Colorful-Accent31"/>
        <w:tblW w:w="5000" w:type="pct"/>
        <w:jc w:val="left"/>
        <w:tblInd w:w="0" w:type="dxa"/>
        <w:tblCellMar>
          <w:top w:w="0" w:type="dxa"/>
          <w:left w:w="108" w:type="dxa"/>
          <w:bottom w:w="0" w:type="dxa"/>
          <w:right w:w="108" w:type="dxa"/>
        </w:tblCellMar>
        <w:tblLook w:firstRow="1" w:noVBand="1" w:lastRow="0" w:firstColumn="1" w:lastColumn="0" w:noHBand="0" w:val="04a0"/>
      </w:tblPr>
      <w:tblGrid>
        <w:gridCol w:w="1529"/>
        <w:gridCol w:w="1484"/>
        <w:gridCol w:w="1697"/>
        <w:gridCol w:w="1829"/>
        <w:gridCol w:w="2531"/>
      </w:tblGrid>
      <w:tr>
        <w:trPr>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120" w:after="120"/>
              <w:jc w:val="center"/>
              <w:rPr>
                <w:sz w:val="20"/>
                <w:szCs w:val="22"/>
              </w:rPr>
            </w:pPr>
            <w:r>
              <w:rPr>
                <w:b/>
                <w:bCs/>
                <w:color w:val="76923C" w:themeColor="accent3" w:themeShade="bf"/>
                <w:sz w:val="20"/>
                <w:szCs w:val="22"/>
              </w:rPr>
              <w:t>KATEGORIJA</w:t>
            </w:r>
          </w:p>
        </w:tc>
        <w:tc>
          <w:tcPr>
            <w:tcW w:w="1484" w:type="dxa"/>
            <w:vMerge w:val="restart"/>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120" w:after="120"/>
              <w:jc w:val="center"/>
              <w:cnfStyle w:val="100000000000" w:firstRow="1" w:lastRow="0" w:firstColumn="0" w:lastColumn="0" w:oddVBand="0" w:evenVBand="0" w:oddHBand="0" w:evenHBand="0" w:firstRowFirstColumn="0" w:firstRowLastColumn="0" w:lastRowFirstColumn="0" w:lastRowLastColumn="0"/>
              <w:rPr>
                <w:sz w:val="20"/>
                <w:szCs w:val="22"/>
              </w:rPr>
            </w:pPr>
            <w:r>
              <w:rPr>
                <w:b/>
                <w:bCs/>
                <w:color w:val="76923C" w:themeColor="accent3" w:themeShade="bf"/>
                <w:sz w:val="20"/>
                <w:szCs w:val="22"/>
              </w:rPr>
              <w:t>POSLJEDICE</w:t>
            </w:r>
          </w:p>
        </w:tc>
        <w:tc>
          <w:tcPr>
            <w:tcW w:w="6057" w:type="dxa"/>
            <w:gridSpan w:val="3"/>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cnfStyle w:val="100000000000" w:firstRow="1" w:lastRow="0" w:firstColumn="0" w:lastColumn="0" w:oddVBand="0" w:evenVBand="0" w:oddHBand="0" w:evenHBand="0" w:firstRowFirstColumn="0" w:firstRowLastColumn="0" w:lastRowFirstColumn="0" w:lastRowLastColumn="0"/>
              <w:rPr>
                <w:sz w:val="20"/>
                <w:szCs w:val="22"/>
              </w:rPr>
            </w:pPr>
            <w:r>
              <w:rPr>
                <w:b/>
                <w:bCs/>
                <w:color w:val="76923C" w:themeColor="accent3" w:themeShade="bf"/>
                <w:sz w:val="20"/>
                <w:szCs w:val="22"/>
              </w:rPr>
              <w:t>VJEROJATNOST / FREKVENCIJA</w:t>
            </w:r>
          </w:p>
        </w:tc>
      </w:tr>
      <w:tr>
        <w:trPr>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rPr>
                <w:b w:val="false"/>
                <w:b w:val="false"/>
                <w:sz w:val="20"/>
                <w:szCs w:val="22"/>
              </w:rPr>
            </w:pPr>
            <w:r>
              <w:rPr>
                <w:b w:val="false"/>
                <w:bCs/>
                <w:color w:val="76923C" w:themeColor="accent3" w:themeShade="bf"/>
                <w:sz w:val="20"/>
                <w:szCs w:val="22"/>
              </w:rPr>
            </w:r>
          </w:p>
        </w:tc>
        <w:tc>
          <w:tcPr>
            <w:tcW w:w="1484" w:type="dxa"/>
            <w:vMerge w:val="continue"/>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b/>
                <w:b/>
                <w:sz w:val="20"/>
                <w:szCs w:val="22"/>
              </w:rPr>
            </w:pPr>
            <w:r>
              <w:rPr>
                <w:b/>
                <w:color w:val="76923C" w:themeColor="accent3" w:themeShade="bf"/>
                <w:sz w:val="20"/>
                <w:szCs w:val="22"/>
              </w:rPr>
            </w:r>
          </w:p>
        </w:tc>
        <w:tc>
          <w:tcPr>
            <w:tcW w:w="169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b/>
                <w:b/>
                <w:sz w:val="20"/>
                <w:szCs w:val="22"/>
              </w:rPr>
            </w:pPr>
            <w:r>
              <w:rPr>
                <w:b/>
                <w:color w:val="76923C" w:themeColor="accent3" w:themeShade="bf"/>
                <w:sz w:val="20"/>
                <w:szCs w:val="22"/>
              </w:rPr>
              <w:t>KVALITATIVNO</w:t>
            </w:r>
          </w:p>
        </w:tc>
        <w:tc>
          <w:tcPr>
            <w:tcW w:w="18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b/>
                <w:b/>
                <w:sz w:val="20"/>
                <w:szCs w:val="22"/>
              </w:rPr>
            </w:pPr>
            <w:r>
              <w:rPr>
                <w:b/>
                <w:color w:val="76923C" w:themeColor="accent3" w:themeShade="bf"/>
                <w:sz w:val="20"/>
                <w:szCs w:val="22"/>
              </w:rPr>
              <w:t>VJEROJATNOST</w:t>
            </w:r>
          </w:p>
        </w:tc>
        <w:tc>
          <w:tcPr>
            <w:tcW w:w="2531"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b/>
                <w:b/>
                <w:sz w:val="20"/>
                <w:szCs w:val="22"/>
              </w:rPr>
            </w:pPr>
            <w:r>
              <w:rPr>
                <w:b/>
                <w:color w:val="76923C" w:themeColor="accent3" w:themeShade="bf"/>
                <w:sz w:val="20"/>
                <w:szCs w:val="22"/>
              </w:rPr>
              <w:t>FREKVENCIJA</w:t>
            </w:r>
          </w:p>
        </w:tc>
      </w:tr>
      <w:tr>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rPr>
                <w:sz w:val="20"/>
                <w:szCs w:val="22"/>
              </w:rPr>
            </w:pPr>
            <w:r>
              <w:rPr>
                <w:b/>
                <w:bCs/>
                <w:color w:val="76923C" w:themeColor="accent3" w:themeShade="bf"/>
                <w:sz w:val="20"/>
                <w:szCs w:val="22"/>
              </w:rPr>
              <w:t>1</w:t>
            </w:r>
          </w:p>
        </w:tc>
        <w:tc>
          <w:tcPr>
            <w:tcW w:w="148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Neznatne</w:t>
            </w:r>
          </w:p>
        </w:tc>
        <w:tc>
          <w:tcPr>
            <w:tcW w:w="169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Iznimno 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&lt;1%</w:t>
            </w:r>
          </w:p>
        </w:tc>
        <w:tc>
          <w:tcPr>
            <w:tcW w:w="253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 događaj u 100 godina i rjeđe</w:t>
            </w:r>
          </w:p>
        </w:tc>
      </w:tr>
      <w:tr>
        <w:trPr>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rPr>
                <w:sz w:val="20"/>
                <w:szCs w:val="22"/>
              </w:rPr>
            </w:pPr>
            <w:r>
              <w:rPr>
                <w:b/>
                <w:bCs/>
                <w:color w:val="76923C" w:themeColor="accent3" w:themeShade="bf"/>
                <w:sz w:val="20"/>
                <w:szCs w:val="22"/>
              </w:rPr>
              <w:t>2</w:t>
            </w:r>
          </w:p>
        </w:tc>
        <w:tc>
          <w:tcPr>
            <w:tcW w:w="148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Malene</w:t>
            </w:r>
          </w:p>
        </w:tc>
        <w:tc>
          <w:tcPr>
            <w:tcW w:w="169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1-5%</w:t>
            </w:r>
          </w:p>
        </w:tc>
        <w:tc>
          <w:tcPr>
            <w:tcW w:w="253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 događaj u 20 do 100 godina</w:t>
            </w:r>
          </w:p>
        </w:tc>
      </w:tr>
      <w:tr>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rPr>
                <w:sz w:val="20"/>
                <w:szCs w:val="22"/>
              </w:rPr>
            </w:pPr>
            <w:r>
              <w:rPr>
                <w:b/>
                <w:bCs/>
                <w:color w:val="76923C" w:themeColor="accent3" w:themeShade="bf"/>
                <w:sz w:val="20"/>
                <w:szCs w:val="22"/>
              </w:rPr>
              <w:t>3</w:t>
            </w:r>
          </w:p>
        </w:tc>
        <w:tc>
          <w:tcPr>
            <w:tcW w:w="148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Umjerene</w:t>
            </w:r>
          </w:p>
        </w:tc>
        <w:tc>
          <w:tcPr>
            <w:tcW w:w="169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Umjerena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5-50%</w:t>
            </w:r>
          </w:p>
        </w:tc>
        <w:tc>
          <w:tcPr>
            <w:tcW w:w="253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 događaj u 2 do 20 godina</w:t>
            </w:r>
          </w:p>
        </w:tc>
      </w:tr>
      <w:tr>
        <w:trPr>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rPr>
                <w:sz w:val="20"/>
                <w:szCs w:val="22"/>
              </w:rPr>
            </w:pPr>
            <w:r>
              <w:rPr>
                <w:b/>
                <w:bCs/>
                <w:color w:val="76923C" w:themeColor="accent3" w:themeShade="bf"/>
                <w:sz w:val="20"/>
                <w:szCs w:val="22"/>
              </w:rPr>
              <w:t>4</w:t>
            </w:r>
          </w:p>
        </w:tc>
        <w:tc>
          <w:tcPr>
            <w:tcW w:w="148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Značajne</w:t>
            </w:r>
          </w:p>
        </w:tc>
        <w:tc>
          <w:tcPr>
            <w:tcW w:w="169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51-98%</w:t>
            </w:r>
          </w:p>
        </w:tc>
        <w:tc>
          <w:tcPr>
            <w:tcW w:w="253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100000" w:firstRow="0" w:lastRow="0" w:firstColumn="0" w:lastColumn="0" w:oddVBand="0" w:evenVBand="0" w:oddHBand="1" w:evenHBand="0" w:firstRowFirstColumn="0" w:firstRowLastColumn="0" w:lastRowFirstColumn="0" w:lastRowLastColumn="0"/>
              <w:rPr>
                <w:sz w:val="20"/>
                <w:szCs w:val="22"/>
              </w:rPr>
            </w:pPr>
            <w:r>
              <w:rPr>
                <w:color w:val="76923C" w:themeColor="accent3" w:themeShade="bf"/>
                <w:sz w:val="20"/>
                <w:szCs w:val="22"/>
              </w:rPr>
              <w:t>1 događaj u 1 do 2 godine</w:t>
            </w:r>
          </w:p>
        </w:tc>
      </w:tr>
      <w:tr>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rPr>
                <w:sz w:val="20"/>
                <w:szCs w:val="22"/>
              </w:rPr>
            </w:pPr>
            <w:r>
              <w:rPr>
                <w:b/>
                <w:bCs/>
                <w:color w:val="76923C" w:themeColor="accent3" w:themeShade="bf"/>
                <w:sz w:val="20"/>
                <w:szCs w:val="22"/>
              </w:rPr>
              <w:t>5</w:t>
            </w:r>
          </w:p>
        </w:tc>
        <w:tc>
          <w:tcPr>
            <w:tcW w:w="148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Katastrofalne</w:t>
            </w:r>
          </w:p>
        </w:tc>
        <w:tc>
          <w:tcPr>
            <w:tcW w:w="169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Iznimno 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&gt;98%</w:t>
            </w:r>
          </w:p>
        </w:tc>
        <w:tc>
          <w:tcPr>
            <w:tcW w:w="253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120" w:after="120"/>
              <w:jc w:val="center"/>
              <w:cnfStyle w:val="000000000000" w:firstRow="0" w:lastRow="0" w:firstColumn="0" w:lastColumn="0" w:oddVBand="0" w:evenVBand="0" w:oddHBand="0" w:evenHBand="0" w:firstRowFirstColumn="0" w:firstRowLastColumn="0" w:lastRowFirstColumn="0" w:lastRowLastColumn="0"/>
              <w:rPr>
                <w:sz w:val="20"/>
                <w:szCs w:val="22"/>
              </w:rPr>
            </w:pPr>
            <w:r>
              <w:rPr>
                <w:color w:val="76923C" w:themeColor="accent3" w:themeShade="bf"/>
                <w:sz w:val="20"/>
                <w:szCs w:val="22"/>
              </w:rPr>
              <w:t>1 događaj godišnje ili češće</w:t>
            </w:r>
          </w:p>
        </w:tc>
      </w:tr>
    </w:tbl>
    <w:p>
      <w:pPr>
        <w:pStyle w:val="Normal"/>
        <w:rPr/>
      </w:pPr>
      <w:r>
        <w:rPr/>
      </w:r>
    </w:p>
    <w:p>
      <w:pPr>
        <w:pStyle w:val="Normal"/>
        <w:rPr/>
      </w:pPr>
      <w:r>
        <w:rPr/>
      </w:r>
    </w:p>
    <w:p>
      <w:pPr>
        <w:pStyle w:val="Normal"/>
        <w:rPr/>
      </w:pPr>
      <w:r>
        <w:rPr/>
      </w:r>
    </w:p>
    <w:p>
      <w:pPr>
        <w:pStyle w:val="Normal"/>
        <w:rPr/>
      </w:pPr>
      <w:r>
        <w:rPr/>
      </w:r>
    </w:p>
    <w:p>
      <w:pPr>
        <w:pStyle w:val="Normal"/>
        <w:rPr/>
      </w:pPr>
      <w:r>
        <w:rPr/>
      </w:r>
    </w:p>
    <w:p>
      <w:pPr>
        <w:pStyle w:val="Stilnaslova1"/>
        <w:numPr>
          <w:ilvl w:val="0"/>
          <w:numId w:val="2"/>
        </w:numPr>
        <w:rPr/>
      </w:pPr>
      <w:bookmarkStart w:id="99" w:name="_Toc496179679"/>
      <w:bookmarkStart w:id="100" w:name="_Toc99955683"/>
      <w:bookmarkStart w:id="101" w:name="_Toc116990131"/>
      <w:r>
        <w:rPr>
          <w:rStyle w:val="Heading1Char"/>
          <w:b/>
        </w:rPr>
        <w:t>Scenariji</w:t>
      </w:r>
      <w:bookmarkEnd w:id="99"/>
      <w:bookmarkEnd w:id="100"/>
      <w:bookmarkEnd w:id="101"/>
    </w:p>
    <w:p>
      <w:pPr>
        <w:pStyle w:val="Normal"/>
        <w:rPr/>
      </w:pPr>
      <w:r>
        <w:rPr/>
        <w:t xml:space="preserve">Procjena rizika </w:t>
      </w:r>
      <w:r>
        <w:rPr>
          <w:color w:val="auto"/>
        </w:rPr>
        <w:t xml:space="preserve">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w:t>
      </w:r>
      <w:r>
        <w:rPr/>
        <w:t>odnosno pripremati eventualni odgovor na veliku nesreću.</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Stilnaslova2"/>
        <w:numPr>
          <w:ilvl w:val="1"/>
          <w:numId w:val="2"/>
        </w:numPr>
        <w:rPr/>
      </w:pPr>
      <w:bookmarkStart w:id="102" w:name="_Toc486103573"/>
      <w:bookmarkStart w:id="103" w:name="_Toc493508427"/>
      <w:bookmarkStart w:id="104" w:name="_Toc498599773"/>
      <w:bookmarkStart w:id="105" w:name="_Toc503777221"/>
      <w:bookmarkStart w:id="106" w:name="_Toc99955684"/>
      <w:bookmarkStart w:id="107" w:name="_Toc116990132"/>
      <w:r>
        <w:rPr/>
        <w:t>Požar otvorenog tipa</w:t>
      </w:r>
      <w:bookmarkEnd w:id="102"/>
      <w:bookmarkEnd w:id="103"/>
      <w:bookmarkEnd w:id="104"/>
      <w:bookmarkEnd w:id="105"/>
      <w:bookmarkEnd w:id="106"/>
      <w:bookmarkEnd w:id="107"/>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08" w:name="_Toc498599774"/>
      <w:bookmarkStart w:id="109" w:name="_Toc503777222"/>
      <w:bookmarkStart w:id="110" w:name="_Toc99955685"/>
      <w:bookmarkStart w:id="111" w:name="_Toc116990133"/>
      <w:r>
        <w:rPr>
          <w:rFonts w:cs="Times New Roman" w:cstheme="majorBidi"/>
          <w:color w:val="54883D"/>
          <w:sz w:val="28"/>
          <w:lang w:bidi="en-US"/>
        </w:rPr>
        <w:t>6.1.1 Naziv scenarija</w:t>
      </w:r>
      <w:bookmarkEnd w:id="108"/>
      <w:bookmarkEnd w:id="109"/>
      <w:bookmarkEnd w:id="110"/>
      <w:bookmarkEnd w:id="111"/>
    </w:p>
    <w:tbl>
      <w:tblPr>
        <w:tblStyle w:val="ivopisnatablicareetke6-isticanje314"/>
        <w:tblW w:w="9060" w:type="dxa"/>
        <w:jc w:val="left"/>
        <w:tblInd w:w="0" w:type="dxa"/>
        <w:tblCellMar>
          <w:top w:w="0" w:type="dxa"/>
          <w:left w:w="108" w:type="dxa"/>
          <w:bottom w:w="0" w:type="dxa"/>
          <w:right w:w="108" w:type="dxa"/>
        </w:tblCellMar>
        <w:tblLook w:firstRow="1" w:noVBand="1" w:lastRow="0" w:firstColumn="1" w:lastColumn="0" w:noHBand="0" w:val="04a0"/>
      </w:tblPr>
      <w:tblGrid>
        <w:gridCol w:w="1912"/>
        <w:gridCol w:w="7147"/>
      </w:tblGrid>
      <w:tr>
        <w:trPr>
          <w:cnfStyle w:val="100000000000" w:firstRow="1" w:lastRow="0" w:firstColumn="0" w:lastColumn="0" w:oddVBand="0" w:evenVBand="0" w:oddHBand="0" w:evenHBand="0" w:firstRowFirstColumn="0" w:firstRowLastColumn="0" w:lastRowFirstColumn="0" w:lastRowLastColumn="0"/>
        </w:trPr>
        <w:tc>
          <w:tcPr>
            <w:tcW w:w="1912" w:type="dxa"/>
            <w:cnfStyle w:val="001000000000" w:firstRow="0" w:lastRow="0" w:firstColumn="1" w:lastColumn="0" w:oddVBand="0" w:evenVBand="0" w:oddHBand="0" w:evenHBand="0" w:firstRowFirstColumn="0" w:firstRowLastColumn="0" w:lastRowFirstColumn="0" w:lastRowLastColumn="0"/>
            <w:tcBorders>
              <w:top w:val="single" w:sz="4" w:space="0" w:color="9BBB59"/>
              <w:left w:val="single" w:sz="4" w:space="0" w:color="9BBB59"/>
              <w:bottom w:val="single" w:sz="12" w:space="0" w:color="C2D69B"/>
              <w:right w:val="single" w:sz="4" w:space="0" w:color="9BBB59"/>
            </w:tcBorders>
            <w:shd w:color="auto" w:fill="EAF1DD" w:themeFill="accent3" w:themeFillTint="33" w:val="clear"/>
          </w:tcPr>
          <w:p>
            <w:pPr>
              <w:pStyle w:val="Normal"/>
              <w:spacing w:lineRule="auto" w:line="240" w:before="80" w:after="0"/>
              <w:ind w:left="29" w:hanging="0"/>
              <w:rPr>
                <w:szCs w:val="20"/>
              </w:rPr>
            </w:pPr>
            <w:r>
              <w:rPr>
                <w:b/>
                <w:bCs/>
                <w:color w:val="76923C"/>
                <w:szCs w:val="20"/>
              </w:rPr>
              <w:t>Naziv scenarija</w:t>
            </w:r>
          </w:p>
        </w:tc>
        <w:tc>
          <w:tcPr>
            <w:tcW w:w="7147" w:type="dxa"/>
            <w:tcBorders>
              <w:top w:val="single" w:sz="4" w:space="0" w:color="9BBB59"/>
              <w:left w:val="single" w:sz="4" w:space="0" w:color="9BBB59"/>
              <w:bottom w:val="single" w:sz="12" w:space="0" w:color="C2D69B"/>
              <w:right w:val="single" w:sz="4" w:space="0" w:color="9BBB59"/>
            </w:tcBorders>
            <w:shd w:color="auto" w:fill="FFFFFF" w:themeFill="background1"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szCs w:val="20"/>
              </w:rPr>
              <w:t>Požar raslinja na otvorenom prostoru Grada Buja</w:t>
            </w:r>
          </w:p>
        </w:tc>
      </w:tr>
      <w:tr>
        <w:trPr>
          <w:cnfStyle w:val="000000100000" w:firstRow="0" w:lastRow="0" w:firstColumn="0" w:lastColumn="0" w:oddVBand="0" w:evenVBand="0" w:oddHBand="1" w:evenHBand="0" w:firstRowFirstColumn="0" w:firstRowLastColumn="0" w:lastRowFirstColumn="0" w:lastRowLastColumn="0"/>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b w:val="false"/>
                <w:b w:val="false"/>
                <w:szCs w:val="20"/>
              </w:rPr>
            </w:pPr>
            <w:r>
              <w:rPr>
                <w:b w:val="false"/>
                <w:bCs/>
                <w:color w:val="76923C"/>
                <w:szCs w:val="20"/>
              </w:rPr>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szCs w:val="20"/>
              </w:rPr>
            </w:r>
          </w:p>
        </w:tc>
      </w:tr>
      <w:tr>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szCs w:val="20"/>
              </w:rPr>
            </w:pPr>
            <w:r>
              <w:rPr>
                <w:b/>
                <w:bCs/>
                <w:color w:val="76923C"/>
                <w:szCs w:val="20"/>
              </w:rPr>
              <w:t>Grupa rizika</w:t>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
                <w:b/>
                <w:bCs/>
                <w:szCs w:val="20"/>
              </w:rPr>
            </w:pPr>
            <w:r>
              <w:rPr>
                <w:color w:val="76923C"/>
                <w:szCs w:val="20"/>
              </w:rPr>
              <w:t>Požar otvorenog tipa</w:t>
            </w:r>
          </w:p>
        </w:tc>
      </w:tr>
      <w:tr>
        <w:trPr>
          <w:cnfStyle w:val="000000100000" w:firstRow="0" w:lastRow="0" w:firstColumn="0" w:lastColumn="0" w:oddVBand="0" w:evenVBand="0" w:oddHBand="1" w:evenHBand="0" w:firstRowFirstColumn="0" w:firstRowLastColumn="0" w:lastRowFirstColumn="0" w:lastRowLastColumn="0"/>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b w:val="false"/>
                <w:b w:val="false"/>
                <w:szCs w:val="20"/>
              </w:rPr>
            </w:pPr>
            <w:r>
              <w:rPr>
                <w:b w:val="false"/>
                <w:bCs/>
                <w:color w:val="76923C"/>
                <w:szCs w:val="20"/>
              </w:rPr>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szCs w:val="20"/>
              </w:rPr>
            </w:r>
          </w:p>
        </w:tc>
      </w:tr>
      <w:tr>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szCs w:val="20"/>
              </w:rPr>
            </w:pPr>
            <w:r>
              <w:rPr>
                <w:b/>
                <w:bCs/>
                <w:color w:val="76923C"/>
                <w:szCs w:val="20"/>
              </w:rPr>
              <w:t>Rizik</w:t>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
                <w:b/>
                <w:bCs/>
                <w:szCs w:val="20"/>
              </w:rPr>
            </w:pPr>
            <w:r>
              <w:rPr>
                <w:color w:val="76923C"/>
                <w:szCs w:val="20"/>
              </w:rPr>
              <w:t>Požar otvorenog tipa</w:t>
            </w:r>
          </w:p>
        </w:tc>
      </w:tr>
      <w:tr>
        <w:trPr>
          <w:cnfStyle w:val="000000100000" w:firstRow="0" w:lastRow="0" w:firstColumn="0" w:lastColumn="0" w:oddVBand="0" w:evenVBand="0" w:oddHBand="1" w:evenHBand="0" w:firstRowFirstColumn="0" w:firstRowLastColumn="0" w:lastRowFirstColumn="0" w:lastRowLastColumn="0"/>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b w:val="false"/>
                <w:b w:val="false"/>
                <w:szCs w:val="20"/>
              </w:rPr>
            </w:pPr>
            <w:r>
              <w:rPr>
                <w:b w:val="false"/>
                <w:bCs/>
                <w:color w:val="76923C"/>
                <w:szCs w:val="20"/>
              </w:rPr>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szCs w:val="20"/>
              </w:rPr>
            </w:r>
          </w:p>
        </w:tc>
      </w:tr>
      <w:tr>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ind w:left="29" w:hanging="0"/>
              <w:rPr>
                <w:szCs w:val="20"/>
              </w:rPr>
            </w:pPr>
            <w:r>
              <w:rPr>
                <w:b/>
                <w:bCs/>
                <w:color w:val="76923C"/>
                <w:szCs w:val="20"/>
              </w:rPr>
              <w:t>Radna skupina</w:t>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auto"/>
                <w:szCs w:val="20"/>
              </w:rPr>
            </w:pPr>
            <w:r>
              <w:rPr>
                <w:bCs/>
                <w:color w:val="auto"/>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EAF1DD" w:themeFill="accent3" w:themeFillTint="33" w:val="clear"/>
          </w:tcPr>
          <w:p>
            <w:pPr>
              <w:pStyle w:val="Normal"/>
              <w:spacing w:lineRule="auto" w:line="240" w:before="80" w:after="0"/>
              <w:rPr>
                <w:b w:val="false"/>
                <w:b w:val="false"/>
                <w:color w:val="FF0000"/>
                <w:szCs w:val="20"/>
                <w:highlight w:val="yellow"/>
              </w:rPr>
            </w:pPr>
            <w:r>
              <w:rPr>
                <w:b w:val="false"/>
                <w:bCs/>
                <w:color w:val="FF0000"/>
                <w:szCs w:val="20"/>
                <w:highlight w:val="yellow"/>
              </w:rPr>
            </w:r>
          </w:p>
        </w:tc>
        <w:tc>
          <w:tcPr>
            <w:tcW w:w="7147" w:type="dxa"/>
            <w:tcBorders>
              <w:left w:val="single" w:sz="4" w:space="0" w:color="9BBB59"/>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auto"/>
                <w:szCs w:val="20"/>
              </w:rPr>
            </w:pPr>
            <w:r>
              <w:rPr>
                <w:bCs/>
                <w:color w:val="auto"/>
                <w:szCs w:val="20"/>
              </w:rPr>
              <w:t>Denis Stipanov, član</w:t>
            </w:r>
          </w:p>
        </w:tc>
      </w:tr>
      <w:tr>
        <w:trPr/>
        <w:tc>
          <w:tcPr>
            <w:tcW w:w="1912"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EAF1DD" w:themeFill="accent3" w:themeFillTint="33" w:val="clear"/>
          </w:tcPr>
          <w:p>
            <w:pPr>
              <w:pStyle w:val="Normal"/>
              <w:spacing w:lineRule="auto" w:line="240" w:before="80" w:after="0"/>
              <w:rPr>
                <w:b w:val="false"/>
                <w:b w:val="false"/>
                <w:color w:val="FF0000"/>
                <w:szCs w:val="20"/>
                <w:highlight w:val="yellow"/>
              </w:rPr>
            </w:pPr>
            <w:r>
              <w:rPr>
                <w:b w:val="false"/>
                <w:bCs/>
                <w:color w:val="FF0000"/>
                <w:szCs w:val="20"/>
                <w:highlight w:val="yellow"/>
              </w:rPr>
            </w:r>
          </w:p>
        </w:tc>
        <w:tc>
          <w:tcPr>
            <w:tcW w:w="7147" w:type="dxa"/>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auto"/>
                <w:szCs w:val="20"/>
              </w:rPr>
            </w:pPr>
            <w:r>
              <w:rPr>
                <w:bCs/>
                <w:color w:val="auto"/>
                <w:szCs w:val="20"/>
              </w:rPr>
              <w:t>Davor Lakošeljac, član</w:t>
            </w:r>
          </w:p>
        </w:tc>
      </w:tr>
    </w:tbl>
    <w:p>
      <w:pPr>
        <w:pStyle w:val="Normal"/>
        <w:rPr>
          <w:highlight w:val="yellow"/>
        </w:rPr>
      </w:pPr>
      <w:r>
        <w:rPr>
          <w:highlight w:val="yellow"/>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12" w:name="_Toc498599775"/>
      <w:bookmarkStart w:id="113" w:name="_Toc503777223"/>
      <w:bookmarkStart w:id="114" w:name="_Toc99955686"/>
      <w:bookmarkStart w:id="115" w:name="_Toc116990134"/>
      <w:r>
        <w:rPr>
          <w:rFonts w:cs="Times New Roman" w:cstheme="majorBidi"/>
          <w:color w:val="54883D"/>
          <w:sz w:val="28"/>
          <w:lang w:bidi="en-US"/>
        </w:rPr>
        <w:t>6.1.2 Uvod</w:t>
      </w:r>
      <w:bookmarkEnd w:id="112"/>
      <w:bookmarkEnd w:id="113"/>
      <w:bookmarkEnd w:id="114"/>
      <w:bookmarkEnd w:id="115"/>
    </w:p>
    <w:p>
      <w:pPr>
        <w:pStyle w:val="Normal"/>
        <w:spacing w:before="0" w:after="0"/>
        <w:rPr>
          <w:color w:val="auto"/>
          <w:szCs w:val="22"/>
          <w:lang w:eastAsia="hr-HR"/>
        </w:rPr>
      </w:pPr>
      <w:r>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pPr>
        <w:pStyle w:val="Normal"/>
        <w:spacing w:before="0" w:after="0"/>
        <w:rPr>
          <w:color w:val="auto"/>
          <w:szCs w:val="22"/>
          <w:lang w:eastAsia="hr-HR"/>
        </w:rPr>
      </w:pPr>
      <w:r>
        <w:rPr>
          <w:color w:val="auto"/>
          <w:szCs w:val="22"/>
          <w:lang w:eastAsia="hr-HR"/>
        </w:rPr>
        <w:t>Opasnost od požara pridonosi karakterističan loš raspored godišnjih oborina i učestale pojave ljetnih suša. Od požara mogu biti ugrožene šumske površine, nacionalni parkovi, parkovi prirode</w:t>
      </w:r>
      <w:r>
        <w:rPr>
          <w:color w:val="FF0000"/>
          <w:szCs w:val="22"/>
          <w:lang w:eastAsia="hr-HR"/>
        </w:rPr>
        <w:t xml:space="preserve"> </w:t>
      </w:r>
      <w:r>
        <w:rPr>
          <w:color w:val="auto"/>
          <w:szCs w:val="22"/>
          <w:lang w:eastAsia="hr-HR"/>
        </w:rPr>
        <w:t>i poljoprivredne površine.</w:t>
      </w:r>
    </w:p>
    <w:p>
      <w:pPr>
        <w:pStyle w:val="Normal"/>
        <w:spacing w:before="0" w:after="0"/>
        <w:rPr>
          <w:color w:val="auto"/>
          <w:szCs w:val="22"/>
          <w:lang w:eastAsia="hr-HR"/>
        </w:rPr>
      </w:pPr>
      <w:r>
        <w:rPr>
          <w:color w:val="auto"/>
          <w:szCs w:val="22"/>
          <w:lang w:eastAsia="hr-HR"/>
        </w:rPr>
      </w:r>
    </w:p>
    <w:p>
      <w:pPr>
        <w:pStyle w:val="Normal"/>
        <w:spacing w:before="0" w:after="0"/>
        <w:rPr>
          <w:color w:val="FF0000"/>
          <w:szCs w:val="22"/>
          <w:highlight w:val="yellow"/>
          <w:lang w:eastAsia="hr-HR"/>
        </w:rPr>
      </w:pPr>
      <w:r>
        <w:rPr>
          <w:color w:val="FF0000"/>
          <w:szCs w:val="22"/>
          <w:highlight w:val="yellow"/>
          <w:lang w:eastAsia="hr-HR"/>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16" w:name="_Toc498599776"/>
      <w:bookmarkStart w:id="117" w:name="_Toc503777224"/>
      <w:bookmarkStart w:id="118" w:name="_Toc99955687"/>
      <w:bookmarkStart w:id="119" w:name="_Toc116990135"/>
      <w:r>
        <w:rPr>
          <w:rFonts w:cs="Times New Roman" w:cstheme="majorBidi"/>
          <w:color w:val="54883D"/>
          <w:sz w:val="28"/>
          <w:lang w:bidi="en-US"/>
        </w:rPr>
        <w:t>6.1.3 Prikaz utjecaja na kritičnu infrastrukturu</w:t>
      </w:r>
      <w:bookmarkEnd w:id="116"/>
      <w:bookmarkEnd w:id="117"/>
      <w:bookmarkEnd w:id="118"/>
      <w:bookmarkEnd w:id="119"/>
    </w:p>
    <w:tbl>
      <w:tblPr>
        <w:tblStyle w:val="ivopisnatablicareetke6-isticanje326"/>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9BBB59"/>
              <w:left w:val="single" w:sz="4" w:space="0" w:color="9BBB59"/>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sz w:val="20"/>
                <w:szCs w:val="20"/>
              </w:rPr>
              <w:t>UTJECAJ</w:t>
            </w:r>
          </w:p>
        </w:tc>
        <w:tc>
          <w:tcPr>
            <w:tcW w:w="8296" w:type="dxa"/>
            <w:tcBorders>
              <w:top w:val="single" w:sz="4" w:space="0" w:color="9BBB59"/>
              <w:bottom w:val="single" w:sz="12" w:space="0" w:color="C2D69B"/>
              <w:right w:val="single" w:sz="4" w:space="0" w:color="9BBB59"/>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sz w:val="20"/>
                <w:szCs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t>x</w:t>
            </w:r>
          </w:p>
        </w:tc>
        <w:tc>
          <w:tcPr>
            <w:tcW w:w="8296" w:type="dxa"/>
            <w:tcBorders>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Energetika (proizvodnja, uključivo akumulacije i brane, prijenos, skladištenje,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Komunikacijska i informacijska tehnologija (elektroničke komunikacije, prijenos podataka, informacijski sustavi, pružanje audio i audiovizualnih medijskih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9BBB59"/>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t>x</w:t>
            </w:r>
          </w:p>
        </w:tc>
        <w:tc>
          <w:tcPr>
            <w:tcW w:w="8296" w:type="dxa"/>
            <w:tcBorders>
              <w:top w:val="single" w:sz="4" w:space="0" w:color="9BBB59"/>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Promet (cestovni, željeznički, zračni, pomorski i promet unutarnjim plovnim putevima)</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Zdravstvo (zdravstvena zaštita, proizvodnja, promet i nadzor nad lijekovima)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 xml:space="preserve">Hrana (proizvodnja i opskrba hranom i sustav sigurnosti hrane, robne zalihe)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Financije (bankarstvo, burze, investicije, sustavi osiguranja i plaćanja)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r>
          </w:p>
        </w:tc>
        <w:tc>
          <w:tcPr>
            <w:tcW w:w="8296" w:type="dxa"/>
            <w:tcBorders>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Proizvodnja, skladištenje i 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t>x</w:t>
            </w:r>
          </w:p>
        </w:tc>
        <w:tc>
          <w:tcPr>
            <w:tcW w:w="8296" w:type="dxa"/>
            <w:tcBorders>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Javne službe (osiguranje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tcBorders>
            <w:shd w:color="auto" w:fill="FFFFFF" w:themeFill="background1" w:val="clear"/>
          </w:tcPr>
          <w:p>
            <w:pPr>
              <w:pStyle w:val="Normal"/>
              <w:spacing w:lineRule="auto" w:line="240" w:before="0" w:after="0"/>
              <w:jc w:val="center"/>
              <w:rPr>
                <w:color w:val="auto"/>
                <w:sz w:val="20"/>
                <w:szCs w:val="20"/>
              </w:rPr>
            </w:pPr>
            <w:r>
              <w:rPr>
                <w:b/>
                <w:bCs/>
                <w:color w:val="auto"/>
                <w:sz w:val="20"/>
                <w:szCs w:val="20"/>
              </w:rPr>
              <w:t>x</w:t>
            </w:r>
          </w:p>
        </w:tc>
        <w:tc>
          <w:tcPr>
            <w:tcW w:w="8296" w:type="dxa"/>
            <w:tcBorders>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Nacionalni spomenici i vrijednosti</w:t>
            </w:r>
          </w:p>
        </w:tc>
      </w:tr>
    </w:tbl>
    <w:p>
      <w:pPr>
        <w:pStyle w:val="Normal"/>
        <w:rPr>
          <w:highlight w:val="yellow"/>
          <w:lang w:bidi="en-US"/>
        </w:rPr>
      </w:pPr>
      <w:r>
        <w:rPr>
          <w:highlight w:val="yellow"/>
          <w:lang w:bidi="en-US"/>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20" w:name="_Toc99955688"/>
      <w:bookmarkStart w:id="121" w:name="_Toc116990136"/>
      <w:r>
        <w:rPr>
          <w:rFonts w:cs="Times New Roman" w:cstheme="majorBidi"/>
          <w:color w:val="54883D"/>
          <w:sz w:val="28"/>
          <w:lang w:bidi="en-US"/>
        </w:rPr>
        <w:t>6.1.4 Kontekst</w:t>
      </w:r>
      <w:bookmarkEnd w:id="120"/>
      <w:bookmarkEnd w:id="121"/>
    </w:p>
    <w:p>
      <w:pPr>
        <w:pStyle w:val="Normal"/>
        <w:rPr>
          <w:color w:val="auto"/>
          <w:lang w:bidi="en-US"/>
        </w:rPr>
      </w:pPr>
      <w:r>
        <w:rPr>
          <w:color w:val="auto"/>
          <w:lang w:bidi="en-US"/>
        </w:rPr>
        <w:t xml:space="preserve">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destabilizatori biološke i krajobrazne raznolikosti i kontaminiraju zrak na užem prostoru, ali i uzrokuju dugoročne štete emisijom ugljičnog dioksida.   </w:t>
      </w:r>
    </w:p>
    <w:p>
      <w:pPr>
        <w:pStyle w:val="Normal"/>
        <w:spacing w:before="0" w:after="0"/>
        <w:rPr>
          <w:color w:val="auto"/>
          <w:u w:val="single"/>
          <w:lang w:bidi="en-US"/>
        </w:rPr>
      </w:pPr>
      <w:r>
        <w:rPr>
          <w:color w:val="auto"/>
          <w:u w:val="single"/>
          <w:lang w:bidi="en-US"/>
        </w:rPr>
        <w:t>Stupanj opasnosti od požara državnih šuma i šumskih zemljišta procjenjuje se kao:</w:t>
      </w:r>
    </w:p>
    <w:p>
      <w:pPr>
        <w:pStyle w:val="ListParagraph"/>
        <w:numPr>
          <w:ilvl w:val="1"/>
          <w:numId w:val="19"/>
        </w:numPr>
        <w:rPr>
          <w:lang w:bidi="en-US"/>
        </w:rPr>
      </w:pPr>
      <w:r>
        <w:rPr>
          <w:lang w:bidi="en-US"/>
        </w:rPr>
        <w:t>I stupanj/vrlo velika opasnost - 23% površina,</w:t>
      </w:r>
    </w:p>
    <w:p>
      <w:pPr>
        <w:pStyle w:val="ListParagraph"/>
        <w:numPr>
          <w:ilvl w:val="1"/>
          <w:numId w:val="19"/>
        </w:numPr>
        <w:rPr>
          <w:lang w:bidi="en-US"/>
        </w:rPr>
      </w:pPr>
      <w:r>
        <w:rPr>
          <w:lang w:bidi="en-US"/>
        </w:rPr>
        <w:t>II stupanj/velika – 45%,</w:t>
      </w:r>
    </w:p>
    <w:p>
      <w:pPr>
        <w:pStyle w:val="ListParagraph"/>
        <w:numPr>
          <w:ilvl w:val="1"/>
          <w:numId w:val="19"/>
        </w:numPr>
        <w:rPr>
          <w:lang w:bidi="en-US"/>
        </w:rPr>
      </w:pPr>
      <w:r>
        <w:rPr>
          <w:lang w:bidi="en-US"/>
        </w:rPr>
        <w:t>III stupanj/umjerena – 30% i</w:t>
      </w:r>
    </w:p>
    <w:p>
      <w:pPr>
        <w:pStyle w:val="ListParagraph"/>
        <w:numPr>
          <w:ilvl w:val="1"/>
          <w:numId w:val="19"/>
        </w:numPr>
        <w:rPr>
          <w:lang w:bidi="en-US"/>
        </w:rPr>
      </w:pPr>
      <w:r>
        <w:rPr>
          <w:lang w:bidi="en-US"/>
        </w:rPr>
        <w:t>IV stupanj/mala opasnost – 2% površina.</w:t>
      </w:r>
    </w:p>
    <w:p>
      <w:pPr>
        <w:pStyle w:val="Normal"/>
        <w:rPr>
          <w:color w:val="auto"/>
          <w:lang w:bidi="en-US"/>
        </w:rPr>
      </w:pPr>
      <w:r>
        <w:rPr>
          <w:color w:val="auto"/>
          <w:lang w:bidi="en-US"/>
        </w:rPr>
      </w:r>
    </w:p>
    <w:p>
      <w:pPr>
        <w:pStyle w:val="Normal"/>
        <w:rPr>
          <w:color w:val="auto"/>
          <w:u w:val="single"/>
          <w:lang w:bidi="en-US"/>
        </w:rPr>
      </w:pPr>
      <w:r>
        <w:rPr>
          <w:color w:val="auto"/>
          <w:u w:val="single"/>
          <w:lang w:bidi="en-US"/>
        </w:rPr>
        <w:t>Gašenje požara raslinja uvjetuje značajan angažman resursa što iziskuje dodatna financijska sredstva svake godine. Prije svake požarne sezone planski se obavlja sljedeće:</w:t>
      </w:r>
    </w:p>
    <w:p>
      <w:pPr>
        <w:pStyle w:val="Normal"/>
        <w:numPr>
          <w:ilvl w:val="0"/>
          <w:numId w:val="20"/>
        </w:numPr>
        <w:spacing w:before="0" w:after="0"/>
        <w:contextualSpacing/>
        <w:rPr>
          <w:b/>
          <w:b/>
          <w:color w:val="auto"/>
        </w:rPr>
      </w:pPr>
      <w:r>
        <w:rPr>
          <w:color w:val="auto"/>
        </w:rPr>
        <w:t>priprema zemaljskih snaga, edukacija i opremanje vatrogasaca,</w:t>
      </w:r>
    </w:p>
    <w:p>
      <w:pPr>
        <w:pStyle w:val="Normal"/>
        <w:numPr>
          <w:ilvl w:val="0"/>
          <w:numId w:val="20"/>
        </w:numPr>
        <w:spacing w:before="0" w:after="0"/>
        <w:contextualSpacing/>
        <w:rPr>
          <w:b/>
          <w:b/>
          <w:color w:val="auto"/>
        </w:rPr>
      </w:pPr>
      <w:r>
        <w:rPr>
          <w:color w:val="auto"/>
        </w:rPr>
        <w:t>servisiranje tehnike i opreme i obnavljanje pričuvne opreme,</w:t>
      </w:r>
    </w:p>
    <w:p>
      <w:pPr>
        <w:pStyle w:val="Normal"/>
        <w:numPr>
          <w:ilvl w:val="0"/>
          <w:numId w:val="20"/>
        </w:numPr>
        <w:spacing w:before="0" w:after="0"/>
        <w:contextualSpacing/>
        <w:rPr>
          <w:b/>
          <w:b/>
          <w:color w:val="auto"/>
        </w:rPr>
      </w:pPr>
      <w:r>
        <w:rPr>
          <w:color w:val="auto"/>
        </w:rPr>
        <w:t>priprema zrakoplova i posada, servisiranje zrakoplova, edukacija zrakoplovno-tehničkog osoblja, nabava goriva, maziva, pjenila i retardanata,</w:t>
      </w:r>
    </w:p>
    <w:p>
      <w:pPr>
        <w:pStyle w:val="Normal"/>
        <w:numPr>
          <w:ilvl w:val="0"/>
          <w:numId w:val="20"/>
        </w:numPr>
        <w:spacing w:before="0" w:after="0"/>
        <w:contextualSpacing/>
        <w:rPr>
          <w:b/>
          <w:b/>
          <w:color w:val="auto"/>
        </w:rPr>
      </w:pPr>
      <w:r>
        <w:rPr>
          <w:color w:val="auto"/>
        </w:rPr>
        <w:t>redovna dislokacija vatrogasaca i tehnike iz kontinentalnog na priobalni dio zemlje te logistička potpora,</w:t>
      </w:r>
    </w:p>
    <w:p>
      <w:pPr>
        <w:pStyle w:val="Normal"/>
        <w:numPr>
          <w:ilvl w:val="0"/>
          <w:numId w:val="20"/>
        </w:numPr>
        <w:spacing w:before="0" w:after="0"/>
        <w:contextualSpacing/>
        <w:rPr>
          <w:b/>
          <w:b/>
          <w:color w:val="auto"/>
        </w:rPr>
      </w:pPr>
      <w:r>
        <w:rPr>
          <w:color w:val="auto"/>
        </w:rPr>
        <w:t>priprema izvanrednih dislokacija i sustav brzog prebacivanja dodatnih brojnijih snaga na ugrožena područja što podrazumijeva planiranje pomoći između susjednih županija, ali i angažiranje vatrogasaca i tehnike iz cijele zemlje.</w:t>
      </w:r>
    </w:p>
    <w:p>
      <w:pPr>
        <w:pStyle w:val="Normal"/>
        <w:rPr>
          <w:color w:val="auto"/>
          <w:lang w:bidi="en-US"/>
        </w:rPr>
      </w:pPr>
      <w:r>
        <w:rPr>
          <w:color w:val="auto"/>
          <w:lang w:bidi="en-US"/>
        </w:rPr>
      </w:r>
    </w:p>
    <w:p>
      <w:pPr>
        <w:pStyle w:val="Normal"/>
        <w:rPr>
          <w:rFonts w:eastAsia="Calibri" w:eastAsiaTheme="minorHAnsi"/>
          <w:u w:val="single"/>
        </w:rPr>
      </w:pPr>
      <w:r>
        <w:rPr>
          <w:rFonts w:eastAsia="Calibri" w:eastAsiaTheme="minorHAnsi"/>
          <w:u w:val="single"/>
        </w:rPr>
        <w:t xml:space="preserve">Postoje dva kritična razdoblja povećane pojave požara na otvorenom prostoru: </w:t>
      </w:r>
    </w:p>
    <w:p>
      <w:pPr>
        <w:pStyle w:val="Normal"/>
        <w:rPr>
          <w:rFonts w:eastAsia="Calibri" w:eastAsiaTheme="minorHAnsi"/>
        </w:rPr>
      </w:pPr>
      <w:r>
        <w:rPr>
          <w:rFonts w:eastAsia="Calibri" w:eastAsiaTheme="minorHAnsi"/>
        </w:rPr>
        <w:t xml:space="preserve">1. proljetno – mjeseci travanj i svibanj nastaje veći broj požara. Povećani broj požara osobito je izražen poradi spaljivanja korova i ostalog biootpada zaostalog nakon čišćenja poljoprivrednih i šumskih površina. </w:t>
      </w:r>
    </w:p>
    <w:p>
      <w:pPr>
        <w:pStyle w:val="Normal"/>
        <w:rPr>
          <w:rFonts w:eastAsia="Calibri" w:eastAsiaTheme="minorHAnsi"/>
        </w:rPr>
      </w:pPr>
      <w:r>
        <w:rPr>
          <w:rFonts w:eastAsia="Calibri" w:eastAsiaTheme="minorHAnsi"/>
        </w:rPr>
        <w:t xml:space="preserve">2. ljetno - mjesec srpanj, kolovoz, rujan, također nastaje povećan broj požara. Žestina takvih požara osobito je pojačana ukoliko se poklopi i sušno razdoblje i ostali ekstremni meteorološki uvjeti (jak vjetar, visoka temperatura i suhoća zraka, udari groma). </w:t>
      </w:r>
    </w:p>
    <w:p>
      <w:pPr>
        <w:pStyle w:val="Normal"/>
        <w:spacing w:before="120" w:after="120"/>
        <w:rPr>
          <w:color w:val="auto"/>
          <w:lang w:bidi="en-US"/>
        </w:rPr>
      </w:pPr>
      <w:r>
        <w:rPr>
          <w:color w:val="auto"/>
          <w:lang w:bidi="en-US"/>
        </w:rPr>
        <w:t>Hrvatska vatrogasna zajednica početkom svake godine Vladi Republike Hrvatske predlaže donošenje Programa aktivnosti u provedbi posebnih mjera zaštite od požara od interesa za Republiku Hrvatsku. Programom su integrirane sve aktivnosti subjekata</w:t>
      </w:r>
      <w:r>
        <w:rPr/>
        <w:t xml:space="preserve"> </w:t>
      </w:r>
      <w:r>
        <w:rPr>
          <w:color w:val="auto"/>
          <w:lang w:bidi="en-US"/>
        </w:rPr>
        <w:t>(ministarstava,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pPr>
        <w:pStyle w:val="Normal"/>
        <w:rPr>
          <w:szCs w:val="22"/>
        </w:rPr>
      </w:pPr>
      <w:r>
        <w:rPr>
          <w:szCs w:val="22"/>
        </w:rPr>
        <w:t>Javna vatrogasna postrojba Umag i DVD Buje provode mjere vezane za Plan operativne provedbe Programa aktivnosti u provedbi posebnih mjera zaštite od požara od interesa za Grad Buje, što uključuje pripremu za razdoblje povećane opasnosti od nastajanja i širenja požara na otvorenom prostoru.</w:t>
      </w:r>
    </w:p>
    <w:p>
      <w:pPr>
        <w:pStyle w:val="Normal"/>
        <w:spacing w:before="120" w:after="120"/>
        <w:rPr/>
      </w:pPr>
      <w:r>
        <w:rPr/>
        <w:t>U slijedećoj tablici prikazan je pregled površina na području Grada prema namjeni:</w:t>
      </w:r>
    </w:p>
    <w:p>
      <w:pPr>
        <w:pStyle w:val="Normal"/>
        <w:spacing w:before="0" w:after="0"/>
        <w:jc w:val="center"/>
        <w:rPr>
          <w:b/>
          <w:b/>
          <w:bCs/>
          <w:color w:val="4F6228" w:themeColor="accent3" w:themeShade="80"/>
          <w:sz w:val="20"/>
          <w:szCs w:val="20"/>
        </w:rPr>
      </w:pPr>
      <w:r>
        <w:rPr>
          <w:b/>
          <w:bCs/>
          <w:color w:val="4F6228" w:themeColor="accent3" w:themeShade="80"/>
          <w:sz w:val="20"/>
          <w:szCs w:val="20"/>
        </w:rPr>
        <w:t xml:space="preserve">Tablica </w:t>
      </w:r>
      <w:r>
        <w:rPr>
          <w:b/>
          <w:bCs/>
          <w:color w:val="4F6228"/>
          <w:sz w:val="20"/>
          <w:szCs w:val="20"/>
        </w:rPr>
        <w:fldChar w:fldCharType="begin"/>
      </w:r>
      <w:r>
        <w:rPr>
          <w:sz w:val="20"/>
          <w:b/>
          <w:szCs w:val="20"/>
          <w:bCs/>
          <w:color w:val="4F6228"/>
        </w:rPr>
        <w:instrText> SEQ Tablica \* ARABIC </w:instrText>
      </w:r>
      <w:r>
        <w:rPr>
          <w:sz w:val="20"/>
          <w:b/>
          <w:szCs w:val="20"/>
          <w:bCs/>
          <w:color w:val="4F6228"/>
        </w:rPr>
        <w:fldChar w:fldCharType="separate"/>
      </w:r>
      <w:r>
        <w:rPr>
          <w:sz w:val="20"/>
          <w:b/>
          <w:szCs w:val="20"/>
          <w:bCs/>
          <w:color w:val="4F6228"/>
        </w:rPr>
        <w:t>5</w:t>
      </w:r>
      <w:r>
        <w:rPr>
          <w:sz w:val="20"/>
          <w:b/>
          <w:szCs w:val="20"/>
          <w:bCs/>
          <w:color w:val="4F6228"/>
        </w:rPr>
        <w:fldChar w:fldCharType="end"/>
      </w:r>
      <w:r>
        <w:rPr>
          <w:b/>
          <w:bCs/>
          <w:color w:val="4F6228" w:themeColor="accent3" w:themeShade="80"/>
          <w:sz w:val="20"/>
          <w:szCs w:val="20"/>
        </w:rPr>
        <w:t>. Raspodjela površine Grada Buje – Buie prema namjeni</w:t>
      </w:r>
    </w:p>
    <w:tbl>
      <w:tblPr>
        <w:tblW w:w="8004" w:type="dxa"/>
        <w:jc w:val="left"/>
        <w:tblInd w:w="108" w:type="dxa"/>
        <w:tblCellMar>
          <w:top w:w="0" w:type="dxa"/>
          <w:left w:w="108" w:type="dxa"/>
          <w:bottom w:w="0" w:type="dxa"/>
          <w:right w:w="108" w:type="dxa"/>
        </w:tblCellMar>
        <w:tblLook w:firstRow="0" w:noVBand="0" w:lastRow="0" w:firstColumn="0" w:lastColumn="0" w:noHBand="0" w:val="0000"/>
      </w:tblPr>
      <w:tblGrid>
        <w:gridCol w:w="6305"/>
        <w:gridCol w:w="849"/>
        <w:gridCol w:w="850"/>
      </w:tblGrid>
      <w:tr>
        <w:trPr>
          <w:trHeight w:val="857" w:hRule="atLeast"/>
          <w:cantSplit w:val="true"/>
        </w:trPr>
        <w:tc>
          <w:tcPr>
            <w:tcW w:w="6305" w:type="dxa"/>
            <w:tcBorders>
              <w:top w:val="single" w:sz="8" w:space="0" w:color="76923C"/>
              <w:left w:val="single" w:sz="8" w:space="0" w:color="76923C"/>
              <w:bottom w:val="single" w:sz="8" w:space="0" w:color="76923C"/>
              <w:right w:val="single" w:sz="8" w:space="0" w:color="76923C"/>
            </w:tcBorders>
            <w:shd w:color="auto" w:fill="D6E3BC" w:themeFill="accent3" w:themeFillTint="66" w:val="clear"/>
            <w:vAlign w:val="center"/>
          </w:tcPr>
          <w:p>
            <w:pPr>
              <w:pStyle w:val="Normal"/>
              <w:keepNext w:val="true"/>
              <w:spacing w:lineRule="auto" w:line="240" w:before="0" w:after="0"/>
              <w:jc w:val="center"/>
              <w:rPr>
                <w:b/>
                <w:b/>
                <w:color w:val="auto"/>
                <w:sz w:val="20"/>
                <w:szCs w:val="20"/>
                <w:lang w:eastAsia="hr-HR"/>
              </w:rPr>
            </w:pPr>
            <w:r>
              <w:rPr>
                <w:b/>
                <w:color w:val="auto"/>
                <w:sz w:val="20"/>
                <w:szCs w:val="20"/>
                <w:lang w:eastAsia="hr-HR"/>
              </w:rPr>
              <w:t>Površine prema namjenama (približno)</w:t>
            </w:r>
          </w:p>
          <w:p>
            <w:pPr>
              <w:pStyle w:val="Normal"/>
              <w:keepNext w:val="true"/>
              <w:spacing w:lineRule="auto" w:line="240" w:before="0" w:after="0"/>
              <w:jc w:val="center"/>
              <w:rPr>
                <w:b/>
                <w:b/>
                <w:color w:val="auto"/>
                <w:sz w:val="20"/>
                <w:szCs w:val="20"/>
                <w:lang w:eastAsia="hr-HR"/>
              </w:rPr>
            </w:pPr>
            <w:r>
              <w:rPr>
                <w:b/>
                <w:color w:val="auto"/>
                <w:sz w:val="20"/>
                <w:szCs w:val="20"/>
                <w:lang w:eastAsia="hr-HR"/>
              </w:rPr>
            </w:r>
          </w:p>
        </w:tc>
        <w:tc>
          <w:tcPr>
            <w:tcW w:w="849" w:type="dxa"/>
            <w:tcBorders>
              <w:top w:val="single" w:sz="8" w:space="0" w:color="76923C"/>
              <w:left w:val="single" w:sz="8" w:space="0" w:color="76923C"/>
              <w:bottom w:val="single" w:sz="8" w:space="0" w:color="76923C"/>
              <w:right w:val="single" w:sz="8" w:space="0" w:color="76923C"/>
            </w:tcBorders>
            <w:shd w:color="auto" w:fill="D6E3BC" w:themeFill="accent3" w:themeFillTint="66" w:val="clear"/>
            <w:vAlign w:val="center"/>
          </w:tcPr>
          <w:p>
            <w:pPr>
              <w:pStyle w:val="Normal"/>
              <w:keepNext w:val="true"/>
              <w:spacing w:lineRule="auto" w:line="240" w:before="0" w:after="0"/>
              <w:jc w:val="center"/>
              <w:rPr>
                <w:b/>
                <w:b/>
                <w:color w:val="auto"/>
                <w:sz w:val="20"/>
                <w:szCs w:val="20"/>
                <w:lang w:eastAsia="hr-HR"/>
              </w:rPr>
            </w:pPr>
            <w:r>
              <w:rPr>
                <w:b/>
                <w:color w:val="auto"/>
                <w:sz w:val="20"/>
                <w:szCs w:val="20"/>
                <w:lang w:eastAsia="hr-HR"/>
              </w:rPr>
              <w:t>ha</w:t>
            </w:r>
          </w:p>
        </w:tc>
        <w:tc>
          <w:tcPr>
            <w:tcW w:w="850" w:type="dxa"/>
            <w:tcBorders>
              <w:top w:val="single" w:sz="8" w:space="0" w:color="76923C"/>
              <w:left w:val="single" w:sz="8" w:space="0" w:color="76923C"/>
              <w:bottom w:val="single" w:sz="8" w:space="0" w:color="76923C"/>
              <w:right w:val="single" w:sz="8" w:space="0" w:color="76923C"/>
            </w:tcBorders>
            <w:shd w:color="auto" w:fill="D6E3BC" w:themeFill="accent3" w:themeFillTint="66" w:val="clear"/>
            <w:vAlign w:val="center"/>
          </w:tcPr>
          <w:p>
            <w:pPr>
              <w:pStyle w:val="Normal"/>
              <w:keepNext w:val="true"/>
              <w:spacing w:lineRule="auto" w:line="240" w:before="0" w:after="0"/>
              <w:jc w:val="center"/>
              <w:rPr>
                <w:b/>
                <w:b/>
                <w:color w:val="auto"/>
                <w:sz w:val="20"/>
                <w:szCs w:val="20"/>
                <w:lang w:eastAsia="hr-HR"/>
              </w:rPr>
            </w:pPr>
            <w:r>
              <w:rPr>
                <w:b/>
                <w:color w:val="auto"/>
                <w:sz w:val="20"/>
                <w:szCs w:val="20"/>
                <w:lang w:eastAsia="hr-HR"/>
              </w:rPr>
              <w:t>% A</w:t>
            </w:r>
            <w:r>
              <w:rPr>
                <w:b/>
                <w:color w:val="auto"/>
                <w:sz w:val="20"/>
                <w:szCs w:val="20"/>
                <w:vertAlign w:val="subscript"/>
                <w:lang w:eastAsia="hr-HR"/>
              </w:rPr>
              <w:t>JLS</w:t>
            </w:r>
          </w:p>
        </w:tc>
      </w:tr>
      <w:tr>
        <w:trPr>
          <w:trHeight w:val="386"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građevinska (stalno i povremeno stanovanje, gospodarstvo...)</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747</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7,2</w:t>
            </w:r>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infrastrukturna i druga vangrađevinska</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1,3</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0,01</w:t>
            </w:r>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poljoprivredna</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4400</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42,6</w:t>
            </w:r>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šumska</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4706</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45,6</w:t>
            </w:r>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ostale poljoprivredne i šumske (livade, pašnjaci, trstici i sl.)</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eastAsia="hr-HR"/>
              </w:rPr>
            </w:pPr>
            <w:r>
              <w:rPr>
                <w:color w:val="auto"/>
                <w:sz w:val="20"/>
                <w:szCs w:val="20"/>
                <w:lang w:eastAsia="hr-HR"/>
              </w:rPr>
              <w:t>290</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2,8</w:t>
            </w:r>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jc w:val="left"/>
              <w:rPr>
                <w:color w:val="auto"/>
                <w:sz w:val="20"/>
                <w:szCs w:val="20"/>
                <w:lang w:eastAsia="hr-HR"/>
              </w:rPr>
            </w:pPr>
            <w:r>
              <w:rPr>
                <w:color w:val="auto"/>
                <w:sz w:val="20"/>
                <w:szCs w:val="20"/>
                <w:lang w:eastAsia="hr-HR"/>
              </w:rPr>
              <w:t>vode</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eastAsia="hr-HR"/>
              </w:rPr>
            </w:pPr>
            <w:r>
              <w:rPr>
                <w:color w:val="auto"/>
                <w:sz w:val="20"/>
                <w:szCs w:val="20"/>
                <w:lang w:eastAsia="hr-HR"/>
              </w:rPr>
              <w:t>-</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keepNext w:val="true"/>
              <w:spacing w:lineRule="auto" w:line="240" w:before="0" w:after="0"/>
              <w:ind w:right="57" w:hanging="0"/>
              <w:jc w:val="right"/>
              <w:rPr>
                <w:color w:val="auto"/>
                <w:sz w:val="20"/>
                <w:szCs w:val="20"/>
                <w:lang w:val="en-US" w:eastAsia="hr-HR"/>
              </w:rPr>
            </w:pPr>
            <w:r>
              <w:rPr>
                <w:color w:val="auto"/>
                <w:sz w:val="20"/>
                <w:szCs w:val="20"/>
                <w:lang w:val="en-US" w:eastAsia="hr-HR"/>
              </w:rPr>
              <w:t>-</w:t>
            </w:r>
            <w:bookmarkStart w:id="122" w:name="_Hlk454528774"/>
            <w:bookmarkEnd w:id="122"/>
          </w:p>
        </w:tc>
      </w:tr>
      <w:tr>
        <w:trPr>
          <w:trHeight w:val="414" w:hRule="atLeast"/>
          <w:cantSplit w:val="true"/>
        </w:trPr>
        <w:tc>
          <w:tcPr>
            <w:tcW w:w="6305" w:type="dxa"/>
            <w:tcBorders>
              <w:top w:val="single" w:sz="8" w:space="0" w:color="76923C"/>
              <w:left w:val="single" w:sz="8" w:space="0" w:color="76923C"/>
              <w:bottom w:val="single" w:sz="8" w:space="0" w:color="76923C"/>
              <w:right w:val="single" w:sz="8" w:space="0" w:color="76923C"/>
            </w:tcBorders>
            <w:shd w:color="FFFF00" w:fill="auto" w:val="clear"/>
          </w:tcPr>
          <w:p>
            <w:pPr>
              <w:pStyle w:val="Normal"/>
              <w:spacing w:lineRule="auto" w:line="240" w:before="0" w:after="0"/>
              <w:jc w:val="left"/>
              <w:rPr>
                <w:color w:val="auto"/>
                <w:sz w:val="20"/>
                <w:szCs w:val="20"/>
                <w:lang w:eastAsia="hr-HR"/>
              </w:rPr>
            </w:pPr>
            <w:r>
              <w:rPr>
                <w:color w:val="auto"/>
                <w:sz w:val="20"/>
                <w:szCs w:val="20"/>
                <w:lang w:eastAsia="hr-HR"/>
              </w:rPr>
              <w:t>ostalo</w:t>
            </w:r>
          </w:p>
        </w:tc>
        <w:tc>
          <w:tcPr>
            <w:tcW w:w="849" w:type="dxa"/>
            <w:tcBorders>
              <w:top w:val="single" w:sz="8" w:space="0" w:color="76923C"/>
              <w:left w:val="single" w:sz="8" w:space="0" w:color="76923C"/>
              <w:bottom w:val="single" w:sz="8" w:space="0" w:color="76923C"/>
              <w:right w:val="single" w:sz="8" w:space="0" w:color="76923C"/>
            </w:tcBorders>
            <w:shd w:color="FFFF00" w:fill="auto" w:val="clear"/>
          </w:tcPr>
          <w:p>
            <w:pPr>
              <w:pStyle w:val="Normal"/>
              <w:spacing w:lineRule="auto" w:line="240" w:before="0" w:after="0"/>
              <w:ind w:right="57" w:hanging="0"/>
              <w:jc w:val="right"/>
              <w:rPr>
                <w:color w:val="auto"/>
                <w:sz w:val="20"/>
                <w:szCs w:val="20"/>
                <w:lang w:eastAsia="hr-HR"/>
              </w:rPr>
            </w:pPr>
            <w:r>
              <w:rPr>
                <w:color w:val="auto"/>
                <w:sz w:val="20"/>
                <w:szCs w:val="20"/>
                <w:lang w:eastAsia="hr-HR"/>
              </w:rPr>
              <w:t xml:space="preserve">184 </w:t>
            </w:r>
          </w:p>
        </w:tc>
        <w:tc>
          <w:tcPr>
            <w:tcW w:w="850" w:type="dxa"/>
            <w:tcBorders>
              <w:top w:val="single" w:sz="8" w:space="0" w:color="76923C"/>
              <w:left w:val="single" w:sz="8" w:space="0" w:color="76923C"/>
              <w:bottom w:val="single" w:sz="8" w:space="0" w:color="76923C"/>
              <w:right w:val="single" w:sz="8" w:space="0" w:color="76923C"/>
            </w:tcBorders>
            <w:shd w:color="FFFF00" w:fill="auto" w:val="clear"/>
          </w:tcPr>
          <w:p>
            <w:pPr>
              <w:pStyle w:val="Normal"/>
              <w:spacing w:lineRule="auto" w:line="240" w:before="0" w:after="0"/>
              <w:ind w:right="57" w:hanging="0"/>
              <w:jc w:val="right"/>
              <w:rPr>
                <w:color w:val="auto"/>
                <w:sz w:val="20"/>
                <w:szCs w:val="20"/>
                <w:lang w:eastAsia="hr-HR"/>
              </w:rPr>
            </w:pPr>
            <w:r>
              <w:rPr>
                <w:color w:val="auto"/>
                <w:sz w:val="20"/>
                <w:szCs w:val="20"/>
                <w:lang w:eastAsia="hr-HR"/>
              </w:rPr>
              <w:t>1,8</w:t>
            </w:r>
            <w:bookmarkStart w:id="123" w:name="_Hlk436994724"/>
            <w:bookmarkEnd w:id="123"/>
          </w:p>
        </w:tc>
      </w:tr>
    </w:tbl>
    <w:p>
      <w:pPr>
        <w:pStyle w:val="Normal"/>
        <w:rPr>
          <w:color w:val="auto"/>
          <w:lang w:bidi="en-US"/>
        </w:rPr>
      </w:pPr>
      <w:r>
        <w:rPr>
          <w:color w:val="auto"/>
          <w:lang w:bidi="en-US"/>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24" w:name="_Toc498599778"/>
      <w:bookmarkStart w:id="125" w:name="_Toc503777226"/>
      <w:bookmarkStart w:id="126" w:name="_Toc99955689"/>
      <w:bookmarkStart w:id="127" w:name="_Toc116990137"/>
      <w:r>
        <w:rPr>
          <w:rFonts w:cs="Times New Roman" w:cstheme="majorBidi"/>
          <w:color w:val="54883D"/>
          <w:sz w:val="28"/>
          <w:lang w:bidi="en-US"/>
        </w:rPr>
        <w:t>6.1.5 Uzrok</w:t>
      </w:r>
      <w:bookmarkEnd w:id="124"/>
      <w:bookmarkEnd w:id="125"/>
      <w:bookmarkEnd w:id="126"/>
      <w:bookmarkEnd w:id="127"/>
    </w:p>
    <w:p>
      <w:pPr>
        <w:pStyle w:val="Normal"/>
        <w:rPr>
          <w:lang w:bidi="en-US"/>
        </w:rPr>
      </w:pPr>
      <w:r>
        <w:rPr>
          <w:lang w:bidi="en-US"/>
        </w:rPr>
        <w:t xml:space="preserve">Uzrok požara na otvorenom prostoru uglavnom je ljudski faktor (nekontrolirano ili nedovoljno kontrolirano spaljivanje korova, suhe trave i biljnog otpada na poljoprivrednim površinama). </w:t>
      </w:r>
      <w:r>
        <w:rPr>
          <w:color w:val="auto"/>
          <w:lang w:bidi="en-US"/>
        </w:rPr>
        <w:t>Uspoređujući podatke uočljivo je da najviše požara nastaje u dva mjesečna ciklusa veljača i ožujak te lipanj, srpanj i kolovoz.</w:t>
      </w:r>
    </w:p>
    <w:p>
      <w:pPr>
        <w:pStyle w:val="Normal"/>
        <w:rPr>
          <w:lang w:bidi="en-US"/>
        </w:rPr>
      </w:pPr>
      <w:r>
        <w:rPr>
          <w:lang w:bidi="en-US"/>
        </w:rPr>
        <w:t xml:space="preserve">Požari na otvorenom prostoru najčešće nastaju ljudskim djelovanjem bilo namjerno, a u najvećoj mjeri nepažnjom, nepravilnim djelovanjem i sl. Ovi požari najčešće nastaju prilikom paljenja korova bez nadzora i drugih poljodjelskih aktivnosti u razdoblju proljeće-jesen. </w:t>
      </w:r>
    </w:p>
    <w:p>
      <w:pPr>
        <w:pStyle w:val="Normal"/>
        <w:rPr>
          <w:lang w:bidi="en-US"/>
        </w:rPr>
      </w:pPr>
      <w:r>
        <w:rPr>
          <w:lang w:bidi="en-US"/>
        </w:rPr>
        <w:t xml:space="preserve">Požari na otvorenom prostoru predstavljaju specifičnu kategoriju, jer pored materijalne štete nastaju nesagledive posljedice u okolišu. Ako nisu uočeni u samom početku, relativno se brzo šire, čime se imperativno nameće potreba angažiranja većeg broja vatrogasaca na duže vrijeme, a što opterećuje operativnu spremnost kako vatrogasnih postrojbi koje djeluju na području Grada tako i drugih okolnih vatrogasnih postrojbi. </w:t>
      </w:r>
    </w:p>
    <w:p>
      <w:pPr>
        <w:pStyle w:val="Normal"/>
        <w:spacing w:before="0" w:after="0"/>
        <w:rPr>
          <w:szCs w:val="22"/>
        </w:rPr>
      </w:pPr>
      <w:r>
        <w:rPr>
          <w:szCs w:val="22"/>
        </w:rPr>
        <w:t>Pojava manjeg ili većeg broja požara raslinja ovisi o parametrima vegetacije (vrsta i vlažnost vegetacije), klimatskim i meteorološkim čimbenicima i pojavama u atmosferi na određenom mjestu i antropološkim parametrima (gustoća stanovništva i ljudske aktivnosti, sociološki, ekonomski i socijalni elementi).</w:t>
      </w:r>
    </w:p>
    <w:p>
      <w:pPr>
        <w:pStyle w:val="Normal"/>
        <w:rPr>
          <w:szCs w:val="22"/>
          <w:u w:val="single"/>
        </w:rPr>
      </w:pPr>
      <w:r>
        <w:rPr>
          <w:szCs w:val="22"/>
          <w:u w:val="single"/>
        </w:rPr>
        <w:t xml:space="preserve">Uzroci požara na otvorenim prostorima: </w:t>
      </w:r>
    </w:p>
    <w:p>
      <w:pPr>
        <w:pStyle w:val="Normal"/>
        <w:numPr>
          <w:ilvl w:val="0"/>
          <w:numId w:val="43"/>
        </w:numPr>
        <w:tabs>
          <w:tab w:val="clear" w:pos="708"/>
          <w:tab w:val="left" w:pos="2445" w:leader="none"/>
        </w:tabs>
        <w:spacing w:before="120" w:after="120"/>
        <w:contextualSpacing/>
        <w:rPr>
          <w:color w:val="auto"/>
          <w:szCs w:val="20"/>
        </w:rPr>
      </w:pPr>
      <w:r>
        <w:rPr>
          <w:color w:val="auto"/>
          <w:szCs w:val="20"/>
        </w:rPr>
        <w:t>spaljivanje otpadaka ili raslinja na poljoprivrednim površinama,</w:t>
      </w:r>
    </w:p>
    <w:p>
      <w:pPr>
        <w:pStyle w:val="Normal"/>
        <w:numPr>
          <w:ilvl w:val="0"/>
          <w:numId w:val="43"/>
        </w:numPr>
        <w:tabs>
          <w:tab w:val="clear" w:pos="708"/>
          <w:tab w:val="left" w:pos="2445" w:leader="none"/>
        </w:tabs>
        <w:spacing w:before="120" w:after="120"/>
        <w:contextualSpacing/>
        <w:rPr>
          <w:color w:val="auto"/>
          <w:szCs w:val="20"/>
        </w:rPr>
      </w:pPr>
      <w:r>
        <w:rPr>
          <w:color w:val="auto"/>
          <w:szCs w:val="20"/>
        </w:rPr>
        <w:t>kvarovi na električnim vodovima ili dalekovodima,</w:t>
      </w:r>
    </w:p>
    <w:p>
      <w:pPr>
        <w:pStyle w:val="Normal"/>
        <w:numPr>
          <w:ilvl w:val="0"/>
          <w:numId w:val="43"/>
        </w:numPr>
        <w:tabs>
          <w:tab w:val="clear" w:pos="708"/>
          <w:tab w:val="left" w:pos="2445" w:leader="none"/>
        </w:tabs>
        <w:spacing w:before="120" w:after="120"/>
        <w:contextualSpacing/>
        <w:rPr>
          <w:color w:val="auto"/>
          <w:szCs w:val="20"/>
        </w:rPr>
      </w:pPr>
      <w:r>
        <w:rPr>
          <w:color w:val="auto"/>
          <w:szCs w:val="20"/>
        </w:rPr>
        <w:t>atmosfersko pražnjenje,</w:t>
      </w:r>
    </w:p>
    <w:p>
      <w:pPr>
        <w:pStyle w:val="Normal"/>
        <w:numPr>
          <w:ilvl w:val="0"/>
          <w:numId w:val="43"/>
        </w:numPr>
        <w:tabs>
          <w:tab w:val="clear" w:pos="708"/>
          <w:tab w:val="left" w:pos="2445" w:leader="none"/>
        </w:tabs>
        <w:spacing w:before="120" w:after="120"/>
        <w:contextualSpacing/>
        <w:rPr>
          <w:color w:val="auto"/>
          <w:szCs w:val="20"/>
        </w:rPr>
      </w:pPr>
      <w:r>
        <w:rPr>
          <w:color w:val="auto"/>
          <w:szCs w:val="20"/>
        </w:rPr>
        <w:t>nepažnja,</w:t>
      </w:r>
    </w:p>
    <w:p>
      <w:pPr>
        <w:pStyle w:val="Normal"/>
        <w:numPr>
          <w:ilvl w:val="0"/>
          <w:numId w:val="43"/>
        </w:numPr>
        <w:tabs>
          <w:tab w:val="clear" w:pos="708"/>
          <w:tab w:val="left" w:pos="2445" w:leader="none"/>
        </w:tabs>
        <w:spacing w:before="120" w:after="120"/>
        <w:contextualSpacing/>
        <w:rPr>
          <w:color w:val="auto"/>
          <w:szCs w:val="20"/>
        </w:rPr>
      </w:pPr>
      <w:r>
        <w:rPr>
          <w:color w:val="auto"/>
          <w:szCs w:val="20"/>
        </w:rPr>
        <w:t>namjerna paljevina.</w:t>
      </w:r>
      <w:bookmarkStart w:id="128" w:name="_Hlk506809053"/>
      <w:bookmarkEnd w:id="128"/>
    </w:p>
    <w:p>
      <w:pPr>
        <w:pStyle w:val="Normal"/>
        <w:rPr>
          <w:rFonts w:eastAsia="Calibri" w:eastAsiaTheme="minorHAnsi"/>
        </w:rPr>
      </w:pPr>
      <w:r>
        <w:rPr>
          <w:rFonts w:eastAsia="Calibri" w:eastAsiaTheme="minorHAnsi"/>
        </w:rPr>
      </w:r>
    </w:p>
    <w:p>
      <w:pPr>
        <w:pStyle w:val="Normal"/>
        <w:rPr>
          <w:rFonts w:eastAsia="Calibri" w:eastAsiaTheme="minorHAnsi"/>
        </w:rPr>
      </w:pPr>
      <w:r>
        <w:rPr>
          <w:rFonts w:eastAsia="Calibri" w:eastAsiaTheme="minorHAnsi"/>
        </w:rPr>
        <w:t xml:space="preserve">Starija stabla i sastojine otpornije su od mlađih, između ostaloga i stoga što razvijenije krošnje propuštaju manje svjetla i topline te nema ili je slabije razvijeno grmlje i biljni pokrov, a isušivanje je manje. Osim što starija stabla imaju deblju koru i sloj pluta, mlade sastojine tanje kore imaju grane bliže tlu i gušći sklop te su osjetljivije na požar, a posebno njegovo širenje. U nepovoljnim vremenskim uvjetima opasnost od požara prijeti mladim, travom obraslim sastojinama i kulturama svih vrsta. </w:t>
      </w:r>
    </w:p>
    <w:p>
      <w:pPr>
        <w:pStyle w:val="Normal"/>
        <w:rPr/>
      </w:pPr>
      <w:r>
        <w:rPr>
          <w:rFonts w:eastAsia="Calibri" w:eastAsiaTheme="minorHAnsi"/>
        </w:rPr>
        <w:t>Osim gorivog materijala, količina vlage u gorivu najočitiji je presudni čimbenik za nastanak i širenje požara u šumi. Količina vlage je posljedica istovremenog utjecaja niza čimbenika koji smanjuju opasnost ili pogoduju pojavi i širenju šumskih požara: okolišni uvjeti klime i tla, vrsta drveća, starost sastojina, oblik gospodarenja šumom, stanje pokrova šumskog tla, godišnje doba i vrijeme te uspostavljeni šumski red.</w:t>
      </w:r>
    </w:p>
    <w:p>
      <w:pPr>
        <w:pStyle w:val="Normal"/>
        <w:rPr>
          <w:szCs w:val="22"/>
        </w:rPr>
      </w:pPr>
      <w:r>
        <w:rPr>
          <w:szCs w:val="22"/>
        </w:rPr>
        <w:t>Gledano s aspekta reljefa, na razvoj požara utječe više faktora – nagib terena, područja različite vlažnosti, temperature zraka i tla, temperaturne inverzije, izloženost suncu ili zasjene, izloženost vjetru ili zavjetrine.</w:t>
      </w:r>
    </w:p>
    <w:p>
      <w:pPr>
        <w:pStyle w:val="Normal"/>
        <w:rPr>
          <w:szCs w:val="22"/>
        </w:rPr>
      </w:pPr>
      <w:r>
        <w:rPr>
          <w:szCs w:val="22"/>
        </w:rPr>
        <w:t>Uvjeti ekološkog okruženja i šumski požari usko su povezani kao uzročno posljedična veza klime, tla, ljudske aktivnosti, količine i stanja gorivog materijala.</w:t>
      </w:r>
    </w:p>
    <w:p>
      <w:pPr>
        <w:pStyle w:val="Normal"/>
        <w:rPr>
          <w:lang w:bidi="en-US"/>
        </w:rPr>
      </w:pPr>
      <w:r>
        <w:rPr>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pPr>
        <w:pStyle w:val="Normal"/>
        <w:spacing w:before="120" w:after="120"/>
        <w:jc w:val="center"/>
        <w:rPr>
          <w:b/>
          <w:b/>
          <w:bCs/>
          <w:i/>
          <w:i/>
          <w:color w:val="54883D"/>
          <w:sz w:val="20"/>
          <w:szCs w:val="18"/>
        </w:rPr>
      </w:pPr>
      <w:r>
        <w:rPr>
          <w:b/>
          <w:bCs/>
          <w:i/>
          <w:color w:val="54883D"/>
          <w:sz w:val="20"/>
          <w:szCs w:val="18"/>
        </w:rPr>
        <w:t xml:space="preserve">Slika </w:t>
      </w:r>
      <w:r>
        <w:rPr>
          <w:b/>
          <w:bCs/>
          <w:i/>
          <w:color w:val="54883D"/>
          <w:sz w:val="20"/>
          <w:szCs w:val="18"/>
        </w:rPr>
        <w:fldChar w:fldCharType="begin"/>
      </w:r>
      <w:r>
        <w:rPr>
          <w:sz w:val="20"/>
          <w:i/>
          <w:b/>
          <w:szCs w:val="18"/>
          <w:bCs/>
          <w:color w:val="54883D"/>
        </w:rPr>
        <w:instrText> SEQ Slika \* ARABIC </w:instrText>
      </w:r>
      <w:r>
        <w:rPr>
          <w:sz w:val="20"/>
          <w:i/>
          <w:b/>
          <w:szCs w:val="18"/>
          <w:bCs/>
          <w:color w:val="54883D"/>
        </w:rPr>
        <w:fldChar w:fldCharType="separate"/>
      </w:r>
      <w:r>
        <w:rPr>
          <w:sz w:val="20"/>
          <w:i/>
          <w:b/>
          <w:szCs w:val="18"/>
          <w:bCs/>
          <w:color w:val="54883D"/>
        </w:rPr>
        <w:t>5</w:t>
      </w:r>
      <w:r>
        <w:rPr>
          <w:sz w:val="20"/>
          <w:i/>
          <w:b/>
          <w:szCs w:val="18"/>
          <w:bCs/>
          <w:color w:val="54883D"/>
        </w:rPr>
        <w:fldChar w:fldCharType="end"/>
      </w:r>
      <w:r>
        <w:rPr>
          <w:b/>
          <w:bCs/>
          <w:i/>
          <w:color w:val="54883D"/>
          <w:sz w:val="20"/>
          <w:szCs w:val="18"/>
        </w:rPr>
        <w:t>: Prostorna analiza srednjih sezonskih žestina (SSR) u posljednja tri desetljeća</w:t>
      </w:r>
    </w:p>
    <w:p>
      <w:pPr>
        <w:pStyle w:val="Normal"/>
        <w:spacing w:before="120" w:after="120"/>
        <w:jc w:val="center"/>
        <w:rPr/>
      </w:pPr>
      <w:r>
        <w:rPr/>
        <w:drawing>
          <wp:inline distT="0" distB="0" distL="0" distR="0">
            <wp:extent cx="2733675" cy="2722245"/>
            <wp:effectExtent l="0" t="0" r="0" b="0"/>
            <wp:docPr id="40" name="Picture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1" descr=""/>
                    <pic:cNvPicPr>
                      <a:picLocks noChangeAspect="1" noChangeArrowheads="1"/>
                    </pic:cNvPicPr>
                  </pic:nvPicPr>
                  <pic:blipFill>
                    <a:blip r:embed="rId39"/>
                    <a:stretch>
                      <a:fillRect/>
                    </a:stretch>
                  </pic:blipFill>
                  <pic:spPr bwMode="auto">
                    <a:xfrm>
                      <a:off x="0" y="0"/>
                      <a:ext cx="2733675" cy="2722245"/>
                    </a:xfrm>
                    <a:prstGeom prst="rect">
                      <a:avLst/>
                    </a:prstGeom>
                  </pic:spPr>
                </pic:pic>
              </a:graphicData>
            </a:graphic>
          </wp:inline>
        </w:drawing>
      </w:r>
    </w:p>
    <w:p>
      <w:pPr>
        <w:pStyle w:val="Normal"/>
        <w:rPr>
          <w:lang w:bidi="en-US"/>
        </w:rPr>
      </w:pPr>
      <w:r>
        <w:rPr>
          <w:lang w:bidi="en-US"/>
        </w:rPr>
        <w:t>Analiza linearnih trendova pokazuje produljenje požarne sezone na Jadranu od svibnja do listopada zbog klimatskih promjena.</w:t>
      </w:r>
    </w:p>
    <w:p>
      <w:pPr>
        <w:pStyle w:val="Normal"/>
        <w:rPr/>
      </w:pPr>
      <w:r>
        <w:rPr/>
        <w:t xml:space="preserve">U slijedećoj tablici prikazane su površine šuma na području Grada Buje - Buie  prema stupnju ugroženosti od požara.  </w:t>
      </w:r>
    </w:p>
    <w:p>
      <w:pPr>
        <w:pStyle w:val="Normal"/>
        <w:spacing w:before="0" w:after="0"/>
        <w:jc w:val="center"/>
        <w:rPr>
          <w:rFonts w:ascii="Arial Narrow" w:hAnsi="Arial Narrow"/>
          <w:b/>
          <w:b/>
          <w:bCs/>
          <w:color w:val="4F6228" w:themeColor="accent3" w:themeShade="80"/>
          <w:sz w:val="20"/>
          <w:szCs w:val="20"/>
        </w:rPr>
      </w:pPr>
      <w:r>
        <w:rPr>
          <w:rFonts w:ascii="Arial Narrow" w:hAnsi="Arial Narrow"/>
          <w:b/>
          <w:bCs/>
          <w:color w:val="4F6228" w:themeColor="accent3" w:themeShade="80"/>
          <w:sz w:val="20"/>
          <w:szCs w:val="20"/>
        </w:rPr>
        <w:t xml:space="preserve">Tablica </w:t>
      </w:r>
      <w:r>
        <w:rPr>
          <w:rFonts w:ascii="Arial Narrow" w:hAnsi="Arial Narrow"/>
          <w:b/>
          <w:bCs/>
          <w:color w:val="4F6228"/>
          <w:sz w:val="20"/>
          <w:szCs w:val="20"/>
        </w:rPr>
        <w:fldChar w:fldCharType="begin"/>
      </w:r>
      <w:r>
        <w:rPr>
          <w:sz w:val="20"/>
          <w:b/>
          <w:szCs w:val="20"/>
          <w:bCs/>
          <w:rFonts w:ascii="Arial Narrow" w:hAnsi="Arial Narrow"/>
          <w:color w:val="4F6228"/>
        </w:rPr>
        <w:instrText> SEQ Tablica \* ARABIC </w:instrText>
      </w:r>
      <w:r>
        <w:rPr>
          <w:sz w:val="20"/>
          <w:b/>
          <w:szCs w:val="20"/>
          <w:bCs/>
          <w:rFonts w:ascii="Arial Narrow" w:hAnsi="Arial Narrow"/>
          <w:color w:val="4F6228"/>
        </w:rPr>
        <w:fldChar w:fldCharType="separate"/>
      </w:r>
      <w:r>
        <w:rPr>
          <w:sz w:val="20"/>
          <w:b/>
          <w:szCs w:val="20"/>
          <w:bCs/>
          <w:rFonts w:ascii="Arial Narrow" w:hAnsi="Arial Narrow"/>
          <w:color w:val="4F6228"/>
        </w:rPr>
        <w:t>6</w:t>
      </w:r>
      <w:r>
        <w:rPr>
          <w:sz w:val="20"/>
          <w:b/>
          <w:szCs w:val="20"/>
          <w:bCs/>
          <w:rFonts w:ascii="Arial Narrow" w:hAnsi="Arial Narrow"/>
          <w:color w:val="4F6228"/>
        </w:rPr>
        <w:fldChar w:fldCharType="end"/>
      </w:r>
      <w:r>
        <w:rPr>
          <w:rFonts w:ascii="Arial Narrow" w:hAnsi="Arial Narrow"/>
          <w:b/>
          <w:bCs/>
          <w:color w:val="4F6228" w:themeColor="accent3" w:themeShade="80"/>
          <w:sz w:val="20"/>
          <w:szCs w:val="20"/>
        </w:rPr>
        <w:t xml:space="preserve">. Površine šuma prema stupnju ugroženosti od požara   </w:t>
      </w:r>
    </w:p>
    <w:tbl>
      <w:tblPr>
        <w:tblW w:w="7972" w:type="dxa"/>
        <w:jc w:val="left"/>
        <w:tblInd w:w="108" w:type="dxa"/>
        <w:tblCellMar>
          <w:top w:w="0" w:type="dxa"/>
          <w:left w:w="108" w:type="dxa"/>
          <w:bottom w:w="0" w:type="dxa"/>
          <w:right w:w="108" w:type="dxa"/>
        </w:tblCellMar>
        <w:tblLook w:firstRow="0" w:noVBand="0" w:lastRow="0" w:firstColumn="0" w:lastColumn="0" w:noHBand="0" w:val="0000"/>
      </w:tblPr>
      <w:tblGrid>
        <w:gridCol w:w="1025"/>
        <w:gridCol w:w="1419"/>
        <w:gridCol w:w="1274"/>
        <w:gridCol w:w="2127"/>
        <w:gridCol w:w="2127"/>
      </w:tblGrid>
      <w:tr>
        <w:trPr>
          <w:cantSplit w:val="true"/>
        </w:trPr>
        <w:tc>
          <w:tcPr>
            <w:tcW w:w="1025" w:type="dxa"/>
            <w:tcBorders>
              <w:top w:val="single" w:sz="8" w:space="0" w:color="76923C"/>
              <w:left w:val="single" w:sz="8" w:space="0" w:color="76923C"/>
              <w:bottom w:val="single" w:sz="8" w:space="0" w:color="76923C"/>
              <w:right w:val="single" w:sz="8" w:space="0" w:color="76923C"/>
            </w:tcBorders>
            <w:shd w:color="auto" w:fill="auto" w:val="clear"/>
          </w:tcPr>
          <w:p>
            <w:pPr>
              <w:pStyle w:val="Normal"/>
              <w:spacing w:lineRule="auto" w:line="240" w:before="0" w:after="0"/>
              <w:jc w:val="center"/>
              <w:rPr>
                <w:color w:val="auto"/>
                <w:sz w:val="20"/>
                <w:szCs w:val="22"/>
                <w:lang w:eastAsia="hr-HR"/>
              </w:rPr>
            </w:pPr>
            <w:r>
              <w:rPr>
                <w:color w:val="auto"/>
                <w:sz w:val="20"/>
                <w:szCs w:val="22"/>
                <w:lang w:eastAsia="hr-HR"/>
              </w:rPr>
            </w:r>
          </w:p>
        </w:tc>
        <w:tc>
          <w:tcPr>
            <w:tcW w:w="6947" w:type="dxa"/>
            <w:gridSpan w:val="4"/>
            <w:tcBorders>
              <w:top w:val="single" w:sz="8" w:space="0" w:color="76923C"/>
              <w:left w:val="single" w:sz="8" w:space="0" w:color="76923C"/>
              <w:bottom w:val="single" w:sz="8" w:space="0" w:color="76923C"/>
              <w:right w:val="single" w:sz="8" w:space="0" w:color="76923C"/>
            </w:tcBorders>
            <w:shd w:color="auto" w:fill="D9D9D9" w:themeFill="background1" w:themeFillShade="d9" w:val="clear"/>
          </w:tcPr>
          <w:p>
            <w:pPr>
              <w:pStyle w:val="Normal"/>
              <w:spacing w:lineRule="auto" w:line="240" w:before="0" w:after="0"/>
              <w:jc w:val="center"/>
              <w:rPr>
                <w:b/>
                <w:b/>
                <w:color w:val="auto"/>
                <w:sz w:val="20"/>
                <w:szCs w:val="22"/>
                <w:lang w:eastAsia="hr-HR"/>
              </w:rPr>
            </w:pPr>
            <w:r>
              <w:rPr>
                <w:b/>
                <w:color w:val="auto"/>
                <w:sz w:val="20"/>
                <w:szCs w:val="22"/>
                <w:lang w:eastAsia="hr-HR"/>
              </w:rPr>
              <w:t>Požarna ugroženost šuma na području Grada (u ha)</w:t>
            </w:r>
          </w:p>
        </w:tc>
      </w:tr>
      <w:tr>
        <w:trPr>
          <w:cantSplit w:val="true"/>
        </w:trPr>
        <w:tc>
          <w:tcPr>
            <w:tcW w:w="1025" w:type="dxa"/>
            <w:tcBorders>
              <w:top w:val="single" w:sz="8" w:space="0" w:color="76923C"/>
              <w:left w:val="single" w:sz="8" w:space="0" w:color="76923C"/>
              <w:bottom w:val="single" w:sz="8" w:space="0" w:color="76923C"/>
              <w:right w:val="single" w:sz="8" w:space="0" w:color="76923C"/>
            </w:tcBorders>
            <w:shd w:color="auto" w:fill="D9D9D9" w:themeFill="background1" w:themeFillShade="d9" w:val="clear"/>
            <w:vAlign w:val="center"/>
          </w:tcPr>
          <w:p>
            <w:pPr>
              <w:pStyle w:val="Normal"/>
              <w:spacing w:lineRule="auto" w:line="240" w:before="0" w:after="0"/>
              <w:jc w:val="center"/>
              <w:rPr>
                <w:b/>
                <w:b/>
                <w:color w:val="auto"/>
                <w:sz w:val="20"/>
                <w:szCs w:val="22"/>
                <w:lang w:eastAsia="hr-HR"/>
              </w:rPr>
            </w:pPr>
            <w:r>
              <w:rPr>
                <w:b/>
                <w:color w:val="auto"/>
                <w:sz w:val="20"/>
                <w:szCs w:val="22"/>
                <w:lang w:eastAsia="hr-HR"/>
              </w:rPr>
              <w:t>Utvrđen šumoposjed</w:t>
            </w:r>
          </w:p>
        </w:tc>
        <w:tc>
          <w:tcPr>
            <w:tcW w:w="1419" w:type="dxa"/>
            <w:tcBorders>
              <w:top w:val="single" w:sz="8" w:space="0" w:color="76923C"/>
              <w:left w:val="single" w:sz="8" w:space="0" w:color="76923C"/>
              <w:bottom w:val="single" w:sz="8" w:space="0" w:color="76923C"/>
              <w:right w:val="single" w:sz="8" w:space="0" w:color="76923C"/>
            </w:tcBorders>
            <w:shd w:color="auto" w:fill="D9D9D9" w:themeFill="background1" w:themeFillShade="d9" w:val="clear"/>
          </w:tcPr>
          <w:p>
            <w:pPr>
              <w:pStyle w:val="Normal"/>
              <w:spacing w:lineRule="auto" w:line="240" w:before="0" w:after="0"/>
              <w:jc w:val="center"/>
              <w:rPr>
                <w:b/>
                <w:b/>
                <w:color w:val="auto"/>
                <w:sz w:val="20"/>
                <w:szCs w:val="22"/>
                <w:lang w:eastAsia="hr-HR"/>
              </w:rPr>
            </w:pPr>
            <w:r>
              <w:rPr>
                <w:b/>
                <w:color w:val="auto"/>
                <w:sz w:val="20"/>
                <w:szCs w:val="22"/>
                <w:lang w:eastAsia="hr-HR"/>
              </w:rPr>
              <w:t xml:space="preserve">Veoma velika </w:t>
            </w:r>
          </w:p>
          <w:p>
            <w:pPr>
              <w:pStyle w:val="Normal"/>
              <w:spacing w:lineRule="auto" w:line="240" w:before="0" w:after="0"/>
              <w:jc w:val="center"/>
              <w:rPr>
                <w:b/>
                <w:b/>
                <w:color w:val="auto"/>
                <w:sz w:val="20"/>
                <w:szCs w:val="22"/>
                <w:lang w:eastAsia="hr-HR"/>
              </w:rPr>
            </w:pPr>
            <w:r>
              <w:rPr>
                <w:b/>
                <w:color w:val="auto"/>
                <w:sz w:val="20"/>
                <w:szCs w:val="22"/>
                <w:lang w:eastAsia="hr-HR"/>
              </w:rPr>
              <w:t>I stupanj</w:t>
            </w:r>
          </w:p>
        </w:tc>
        <w:tc>
          <w:tcPr>
            <w:tcW w:w="1274" w:type="dxa"/>
            <w:tcBorders>
              <w:top w:val="single" w:sz="8" w:space="0" w:color="76923C"/>
              <w:left w:val="single" w:sz="8" w:space="0" w:color="76923C"/>
              <w:bottom w:val="single" w:sz="8" w:space="0" w:color="76923C"/>
              <w:right w:val="single" w:sz="8" w:space="0" w:color="76923C"/>
            </w:tcBorders>
            <w:shd w:color="auto" w:fill="D9D9D9" w:themeFill="background1" w:themeFillShade="d9" w:val="clear"/>
          </w:tcPr>
          <w:p>
            <w:pPr>
              <w:pStyle w:val="Normal"/>
              <w:spacing w:lineRule="auto" w:line="240" w:before="0" w:after="0"/>
              <w:jc w:val="center"/>
              <w:rPr>
                <w:b/>
                <w:b/>
                <w:color w:val="auto"/>
                <w:sz w:val="20"/>
                <w:szCs w:val="22"/>
                <w:lang w:eastAsia="hr-HR"/>
              </w:rPr>
            </w:pPr>
            <w:r>
              <w:rPr>
                <w:b/>
                <w:color w:val="auto"/>
                <w:sz w:val="20"/>
                <w:szCs w:val="22"/>
                <w:lang w:eastAsia="hr-HR"/>
              </w:rPr>
              <w:t xml:space="preserve">Velika </w:t>
            </w:r>
          </w:p>
          <w:p>
            <w:pPr>
              <w:pStyle w:val="Normal"/>
              <w:spacing w:lineRule="auto" w:line="240" w:before="0" w:after="0"/>
              <w:jc w:val="center"/>
              <w:rPr>
                <w:b/>
                <w:b/>
                <w:color w:val="auto"/>
                <w:sz w:val="20"/>
                <w:szCs w:val="22"/>
                <w:lang w:eastAsia="hr-HR"/>
              </w:rPr>
            </w:pPr>
            <w:r>
              <w:rPr>
                <w:b/>
                <w:color w:val="auto"/>
                <w:sz w:val="20"/>
                <w:szCs w:val="22"/>
                <w:lang w:eastAsia="hr-HR"/>
              </w:rPr>
              <w:t>II stupanj</w:t>
            </w:r>
          </w:p>
        </w:tc>
        <w:tc>
          <w:tcPr>
            <w:tcW w:w="2127" w:type="dxa"/>
            <w:tcBorders>
              <w:top w:val="single" w:sz="8" w:space="0" w:color="76923C"/>
              <w:left w:val="single" w:sz="8" w:space="0" w:color="76923C"/>
              <w:bottom w:val="single" w:sz="8" w:space="0" w:color="76923C"/>
              <w:right w:val="single" w:sz="8" w:space="0" w:color="76923C"/>
            </w:tcBorders>
            <w:shd w:color="auto" w:fill="D9D9D9" w:themeFill="background1" w:themeFillShade="d9" w:val="clear"/>
          </w:tcPr>
          <w:p>
            <w:pPr>
              <w:pStyle w:val="Normal"/>
              <w:spacing w:lineRule="auto" w:line="240" w:before="0" w:after="0"/>
              <w:jc w:val="center"/>
              <w:rPr>
                <w:b/>
                <w:b/>
                <w:color w:val="auto"/>
                <w:sz w:val="20"/>
                <w:szCs w:val="22"/>
                <w:lang w:eastAsia="hr-HR"/>
              </w:rPr>
            </w:pPr>
            <w:r>
              <w:rPr>
                <w:b/>
                <w:color w:val="auto"/>
                <w:sz w:val="20"/>
                <w:szCs w:val="22"/>
                <w:lang w:eastAsia="hr-HR"/>
              </w:rPr>
              <w:t xml:space="preserve">Srednja </w:t>
            </w:r>
          </w:p>
          <w:p>
            <w:pPr>
              <w:pStyle w:val="Normal"/>
              <w:spacing w:lineRule="auto" w:line="240" w:before="0" w:after="0"/>
              <w:jc w:val="center"/>
              <w:rPr>
                <w:b/>
                <w:b/>
                <w:color w:val="auto"/>
                <w:sz w:val="20"/>
                <w:szCs w:val="22"/>
                <w:lang w:eastAsia="hr-HR"/>
              </w:rPr>
            </w:pPr>
            <w:r>
              <w:rPr>
                <w:b/>
                <w:color w:val="auto"/>
                <w:sz w:val="20"/>
                <w:szCs w:val="22"/>
                <w:lang w:eastAsia="hr-HR"/>
              </w:rPr>
              <w:t xml:space="preserve">III stupanj </w:t>
            </w:r>
          </w:p>
        </w:tc>
        <w:tc>
          <w:tcPr>
            <w:tcW w:w="2127" w:type="dxa"/>
            <w:tcBorders>
              <w:top w:val="single" w:sz="8" w:space="0" w:color="76923C"/>
              <w:left w:val="single" w:sz="8" w:space="0" w:color="76923C"/>
              <w:bottom w:val="single" w:sz="8" w:space="0" w:color="76923C"/>
              <w:right w:val="single" w:sz="8" w:space="0" w:color="76923C"/>
            </w:tcBorders>
            <w:shd w:color="auto" w:fill="D9D9D9" w:themeFill="background1" w:themeFillShade="d9" w:val="clear"/>
          </w:tcPr>
          <w:p>
            <w:pPr>
              <w:pStyle w:val="Normal"/>
              <w:spacing w:lineRule="auto" w:line="240" w:before="0" w:after="0"/>
              <w:jc w:val="center"/>
              <w:rPr>
                <w:b/>
                <w:b/>
                <w:color w:val="auto"/>
                <w:sz w:val="20"/>
                <w:szCs w:val="22"/>
                <w:lang w:eastAsia="hr-HR"/>
              </w:rPr>
            </w:pPr>
            <w:r>
              <w:rPr>
                <w:b/>
                <w:color w:val="auto"/>
                <w:sz w:val="20"/>
                <w:szCs w:val="22"/>
                <w:lang w:eastAsia="hr-HR"/>
              </w:rPr>
              <w:t>Mala</w:t>
            </w:r>
          </w:p>
          <w:p>
            <w:pPr>
              <w:pStyle w:val="Normal"/>
              <w:spacing w:lineRule="auto" w:line="240" w:before="0" w:after="0"/>
              <w:jc w:val="center"/>
              <w:rPr>
                <w:b/>
                <w:b/>
                <w:color w:val="auto"/>
                <w:sz w:val="20"/>
                <w:szCs w:val="22"/>
                <w:lang w:eastAsia="hr-HR"/>
              </w:rPr>
            </w:pPr>
            <w:r>
              <w:rPr>
                <w:b/>
                <w:color w:val="auto"/>
                <w:sz w:val="20"/>
                <w:szCs w:val="22"/>
                <w:lang w:eastAsia="hr-HR"/>
              </w:rPr>
              <w:t>IV stupanj</w:t>
            </w:r>
          </w:p>
        </w:tc>
      </w:tr>
      <w:tr>
        <w:trPr>
          <w:trHeight w:val="537" w:hRule="atLeast"/>
          <w:cantSplit w:val="true"/>
        </w:trPr>
        <w:tc>
          <w:tcPr>
            <w:tcW w:w="1025"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left"/>
              <w:rPr>
                <w:color w:val="auto"/>
                <w:sz w:val="20"/>
                <w:szCs w:val="22"/>
                <w:lang w:eastAsia="hr-HR"/>
              </w:rPr>
            </w:pPr>
            <w:r>
              <w:rPr>
                <w:color w:val="auto"/>
                <w:sz w:val="20"/>
                <w:szCs w:val="22"/>
                <w:lang w:eastAsia="hr-HR"/>
              </w:rPr>
              <w:t xml:space="preserve">Državni </w:t>
            </w:r>
          </w:p>
        </w:tc>
        <w:tc>
          <w:tcPr>
            <w:tcW w:w="1419"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w:t>
            </w:r>
          </w:p>
        </w:tc>
        <w:tc>
          <w:tcPr>
            <w:tcW w:w="1274"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353</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2346</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75</w:t>
            </w:r>
          </w:p>
        </w:tc>
      </w:tr>
      <w:tr>
        <w:trPr>
          <w:trHeight w:val="545" w:hRule="atLeast"/>
          <w:cantSplit w:val="true"/>
        </w:trPr>
        <w:tc>
          <w:tcPr>
            <w:tcW w:w="1025"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left"/>
              <w:rPr>
                <w:color w:val="auto"/>
                <w:sz w:val="20"/>
                <w:szCs w:val="22"/>
                <w:lang w:eastAsia="hr-HR"/>
              </w:rPr>
            </w:pPr>
            <w:r>
              <w:rPr>
                <w:color w:val="auto"/>
                <w:sz w:val="20"/>
                <w:szCs w:val="22"/>
                <w:lang w:eastAsia="hr-HR"/>
              </w:rPr>
              <w:t xml:space="preserve">Privatni (ostali) </w:t>
            </w:r>
          </w:p>
        </w:tc>
        <w:tc>
          <w:tcPr>
            <w:tcW w:w="1419"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w:t>
            </w:r>
          </w:p>
        </w:tc>
        <w:tc>
          <w:tcPr>
            <w:tcW w:w="1274"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127</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1057</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5</w:t>
            </w:r>
          </w:p>
        </w:tc>
      </w:tr>
      <w:tr>
        <w:trPr>
          <w:trHeight w:val="660" w:hRule="atLeast"/>
          <w:cantSplit w:val="true"/>
        </w:trPr>
        <w:tc>
          <w:tcPr>
            <w:tcW w:w="1025"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rPr>
                <w:color w:val="auto"/>
                <w:sz w:val="20"/>
                <w:szCs w:val="22"/>
                <w:lang w:eastAsia="hr-HR"/>
              </w:rPr>
            </w:pPr>
            <w:r>
              <w:rPr>
                <w:color w:val="auto"/>
                <w:sz w:val="20"/>
                <w:szCs w:val="22"/>
                <w:lang w:eastAsia="hr-HR"/>
              </w:rPr>
              <w:t>Ukupno</w:t>
            </w:r>
          </w:p>
        </w:tc>
        <w:tc>
          <w:tcPr>
            <w:tcW w:w="1419"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w:t>
            </w:r>
          </w:p>
        </w:tc>
        <w:tc>
          <w:tcPr>
            <w:tcW w:w="1274"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480</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3403</w:t>
            </w:r>
          </w:p>
        </w:tc>
        <w:tc>
          <w:tcPr>
            <w:tcW w:w="2127" w:type="dxa"/>
            <w:tcBorders>
              <w:top w:val="single" w:sz="8" w:space="0" w:color="76923C"/>
              <w:left w:val="single" w:sz="8" w:space="0" w:color="76923C"/>
              <w:bottom w:val="single" w:sz="8" w:space="0" w:color="76923C"/>
              <w:right w:val="single" w:sz="8" w:space="0" w:color="76923C"/>
            </w:tcBorders>
            <w:shd w:color="auto" w:fill="FFFFFF" w:themeFill="background1" w:val="clear"/>
          </w:tcPr>
          <w:p>
            <w:pPr>
              <w:pStyle w:val="Normal"/>
              <w:spacing w:lineRule="auto" w:line="240" w:before="0" w:after="0"/>
              <w:jc w:val="center"/>
              <w:rPr>
                <w:color w:val="auto"/>
                <w:sz w:val="20"/>
                <w:szCs w:val="22"/>
                <w:lang w:eastAsia="hr-HR"/>
              </w:rPr>
            </w:pPr>
            <w:r>
              <w:rPr>
                <w:color w:val="auto"/>
                <w:sz w:val="20"/>
                <w:szCs w:val="22"/>
                <w:lang w:eastAsia="hr-HR"/>
              </w:rPr>
              <w:t>80</w:t>
            </w:r>
            <w:bookmarkStart w:id="129" w:name="_Hlk393170231"/>
            <w:bookmarkEnd w:id="129"/>
          </w:p>
        </w:tc>
      </w:tr>
    </w:tbl>
    <w:p>
      <w:pPr>
        <w:pStyle w:val="Normal"/>
        <w:rPr/>
      </w:pPr>
      <w:r>
        <w:rPr/>
      </w:r>
    </w:p>
    <w:p>
      <w:pPr>
        <w:pStyle w:val="Normal"/>
        <w:rPr>
          <w:i/>
          <w:i/>
          <w:color w:val="4F6228" w:themeColor="accent3" w:themeShade="80"/>
          <w:lang w:bidi="en-US"/>
        </w:rPr>
      </w:pPr>
      <w:r>
        <w:rPr>
          <w:i/>
          <w:color w:val="4F6228" w:themeColor="accent3" w:themeShade="80"/>
          <w:lang w:bidi="en-US"/>
        </w:rPr>
        <w:t xml:space="preserve">Šumske površine </w:t>
      </w:r>
    </w:p>
    <w:p>
      <w:pPr>
        <w:pStyle w:val="Normal"/>
        <w:rPr>
          <w:szCs w:val="22"/>
        </w:rPr>
      </w:pPr>
      <w:r>
        <w:rPr>
          <w:szCs w:val="22"/>
        </w:rPr>
        <w:t xml:space="preserve">Prostor Grada bogat je šumama visokog i niskog rasta koje su dispergirane u većim ili češće manjim skupinama (šume i šumarci) a zauzimaju značajan dio teritorija. Šume na području Grada su uglavnom mješovite. Najveći dio u unutrašnjosti zauzima bjelogorična šuma (hrasta medunca, crnog i bijelog graba, crnog jasena, bagrema, starosti 30-60 godina. Bliže moru se nalazi šume bora,  crnike s lovorom, brnistre, ruja i drače starosti 30-60 godina. Oko Marušića nalaze se plantaže običnog bora a kod Markovca pojedinačna stabla hibridnog hrasta. </w:t>
      </w:r>
    </w:p>
    <w:p>
      <w:pPr>
        <w:pStyle w:val="Normal"/>
        <w:rPr>
          <w:i/>
          <w:i/>
          <w:color w:val="4F6228" w:themeColor="accent3" w:themeShade="80"/>
          <w:szCs w:val="22"/>
        </w:rPr>
      </w:pPr>
      <w:r>
        <w:rPr>
          <w:i/>
          <w:color w:val="4F6228" w:themeColor="accent3" w:themeShade="80"/>
          <w:szCs w:val="22"/>
        </w:rPr>
        <w:t>Poljoprivredne površine</w:t>
      </w:r>
    </w:p>
    <w:p>
      <w:pPr>
        <w:pStyle w:val="Obicnitekst"/>
        <w:spacing w:lineRule="auto" w:line="276"/>
        <w:ind w:hanging="0"/>
        <w:rPr>
          <w:rFonts w:cs="Arial"/>
          <w:sz w:val="22"/>
        </w:rPr>
      </w:pPr>
      <w:r>
        <w:rPr>
          <w:rFonts w:cs="Arial"/>
          <w:sz w:val="22"/>
        </w:rPr>
        <w:t>Na području Grada Buje – Buie veći dio poljoprivrednih površina je u privatnom vlasništvu, a dio je u državnom i daje se u najam, zakup ili prodaju sukladno posebnim propisima. Poljoprivredna područja su s oranicama, vrtovima, voćnjacima i livadama. Vrijednih i osobito vrijednih površina tek je mali postotak od ukupnih opće mogućih za iskorištavanje u poljoprivredi i stočarstvu.</w:t>
      </w:r>
    </w:p>
    <w:p>
      <w:pPr>
        <w:pStyle w:val="Obicnitekst"/>
        <w:spacing w:lineRule="auto" w:line="276"/>
        <w:ind w:hanging="0"/>
        <w:rPr>
          <w:rFonts w:cs="Arial"/>
          <w:i/>
          <w:i/>
          <w:color w:val="4F6228" w:themeColor="accent3" w:themeShade="80"/>
          <w:sz w:val="22"/>
        </w:rPr>
      </w:pPr>
      <w:r>
        <w:rPr>
          <w:rFonts w:cs="Arial"/>
          <w:i/>
          <w:color w:val="4F6228" w:themeColor="accent3" w:themeShade="80"/>
          <w:sz w:val="22"/>
        </w:rPr>
        <w:t>Klimatske prilike</w:t>
      </w:r>
    </w:p>
    <w:p>
      <w:pPr>
        <w:pStyle w:val="Obicnitekst"/>
        <w:spacing w:lineRule="auto" w:line="276"/>
        <w:ind w:hanging="0"/>
        <w:rPr>
          <w:rFonts w:cs="Arial"/>
          <w:sz w:val="22"/>
        </w:rPr>
      </w:pPr>
      <w:r>
        <w:rPr>
          <w:rFonts w:cs="Arial"/>
          <w:sz w:val="22"/>
        </w:rPr>
        <w:t>Klima je blaga mediteranska, koju karakteriziraju topla i suha sunčana ljeta, blage i kišovite zime. Prosječna mjesečna temperatura u najhladnijem mjesecu siječnju je oko 4,7°C, a u najtoplijem srpnju je oko 22,7°C s vršnim vrijednostima i preko 30°C. Srednja godišnja temperatura zraka iznosi oko 13,5°C.</w:t>
      </w:r>
    </w:p>
    <w:p>
      <w:pPr>
        <w:pStyle w:val="Obicnitekst"/>
        <w:spacing w:lineRule="auto" w:line="276"/>
        <w:ind w:hanging="0"/>
        <w:rPr>
          <w:rFonts w:cs="Arial"/>
          <w:sz w:val="22"/>
        </w:rPr>
      </w:pPr>
      <w:r>
        <w:rPr>
          <w:rFonts w:cs="Arial"/>
          <w:sz w:val="22"/>
        </w:rPr>
        <w:t>Srednja godišnja količina oborina je oko 1000mm s minimumom u srpnju a maksimumom u kasnu jesen, srednja relativna vlažnost zraka iznosi 60-70%.</w:t>
      </w:r>
    </w:p>
    <w:p>
      <w:pPr>
        <w:pStyle w:val="Obicnitekst"/>
        <w:spacing w:lineRule="auto" w:line="276"/>
        <w:ind w:hanging="0"/>
        <w:rPr>
          <w:rFonts w:cs="Arial"/>
          <w:sz w:val="22"/>
        </w:rPr>
      </w:pPr>
      <w:r>
        <w:rPr>
          <w:rFonts w:cs="Arial"/>
          <w:sz w:val="22"/>
        </w:rPr>
        <w:t>U toku godine ima približno 40% vedrih dana, 30% oblačnih, 30% s oborinama. Kišno razdoblje ima maksimum u jesen (rujan - studeni). Puna osunčanost je preko 2000 sati godišnje, najsunčaniji dio godine je u kasno proljeće i u ljeto.</w:t>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tabs>
          <w:tab w:val="clear" w:pos="708"/>
          <w:tab w:val="left" w:pos="340" w:leader="none"/>
        </w:tabs>
        <w:rPr>
          <w:lang w:bidi="en-US"/>
        </w:rPr>
      </w:pPr>
      <w:r>
        <w:rPr>
          <w:lang w:bidi="en-US"/>
        </w:rPr>
        <w:t>Vremenski uvjeti u većini požara na otvorenom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pPr>
        <w:pStyle w:val="Normal"/>
        <w:tabs>
          <w:tab w:val="clear" w:pos="708"/>
          <w:tab w:val="left" w:pos="340" w:leader="none"/>
        </w:tabs>
        <w:rPr>
          <w:u w:val="single"/>
          <w:lang w:bidi="en-US"/>
        </w:rPr>
      </w:pPr>
      <w:r>
        <w:rPr>
          <w:lang w:bidi="en-US"/>
        </w:rPr>
        <w:t xml:space="preserve">Vjetar je meteorološki element koji u sprezi s gorivim materijalom najjače utječe na ponašanje požara. </w:t>
      </w:r>
      <w:r>
        <w:rPr>
          <w:u w:val="single"/>
          <w:lang w:bidi="en-US"/>
        </w:rPr>
        <w:t>Vjetar utječe na požar raslinja na više načina:</w:t>
      </w:r>
    </w:p>
    <w:p>
      <w:pPr>
        <w:pStyle w:val="ListParagraph"/>
        <w:numPr>
          <w:ilvl w:val="1"/>
          <w:numId w:val="21"/>
        </w:numPr>
        <w:rPr>
          <w:lang w:bidi="en-US"/>
        </w:rPr>
      </w:pPr>
      <w:r>
        <w:rPr>
          <w:lang w:bidi="en-US"/>
        </w:rPr>
        <w:t>odnosi zrak bogat vlagom i ubrzava isparavanje i sušenje goriva</w:t>
      </w:r>
    </w:p>
    <w:p>
      <w:pPr>
        <w:pStyle w:val="ListParagraph"/>
        <w:numPr>
          <w:ilvl w:val="1"/>
          <w:numId w:val="21"/>
        </w:numPr>
        <w:rPr>
          <w:lang w:bidi="en-US"/>
        </w:rPr>
      </w:pPr>
      <w:r>
        <w:rPr>
          <w:lang w:bidi="en-US"/>
        </w:rPr>
        <w:t>pomaže sagorijevanju dovođenjem nove količine kisika</w:t>
      </w:r>
    </w:p>
    <w:p>
      <w:pPr>
        <w:pStyle w:val="ListParagraph"/>
        <w:numPr>
          <w:ilvl w:val="1"/>
          <w:numId w:val="21"/>
        </w:numPr>
        <w:rPr>
          <w:lang w:bidi="en-US"/>
        </w:rPr>
      </w:pPr>
      <w:r>
        <w:rPr>
          <w:lang w:bidi="en-US"/>
        </w:rPr>
        <w:t>širi požar noseći toplinu i goreće čestice na ne zahvaćena goriva</w:t>
      </w:r>
    </w:p>
    <w:p>
      <w:pPr>
        <w:pStyle w:val="ListParagraph"/>
        <w:numPr>
          <w:ilvl w:val="1"/>
          <w:numId w:val="21"/>
        </w:numPr>
        <w:rPr>
          <w:lang w:bidi="en-US"/>
        </w:rPr>
      </w:pPr>
      <w:r>
        <w:rPr>
          <w:lang w:bidi="en-US"/>
        </w:rPr>
        <w:t>uglavnom određuje smjer širenja požara</w:t>
      </w:r>
    </w:p>
    <w:p>
      <w:pPr>
        <w:pStyle w:val="ListParagraph"/>
        <w:numPr>
          <w:ilvl w:val="1"/>
          <w:numId w:val="21"/>
        </w:numPr>
        <w:rPr>
          <w:lang w:bidi="en-US"/>
        </w:rPr>
      </w:pPr>
      <w:r>
        <w:rPr>
          <w:lang w:bidi="en-US"/>
        </w:rPr>
        <w:t>otežava vatrogasnu intervenciju i djelovanje zemaljskih snaga i zrakoplova.</w:t>
      </w:r>
    </w:p>
    <w:p>
      <w:pPr>
        <w:pStyle w:val="Normal"/>
        <w:rPr>
          <w:u w:val="single"/>
        </w:rPr>
      </w:pPr>
      <w:r>
        <w:rPr>
          <w:u w:val="single"/>
        </w:rPr>
      </w:r>
    </w:p>
    <w:p>
      <w:pPr>
        <w:pStyle w:val="Normal"/>
        <w:rPr>
          <w:b/>
          <w:b/>
          <w:u w:val="single"/>
        </w:rPr>
      </w:pPr>
      <w:r>
        <w:rPr>
          <w:b/>
          <w:u w:val="single"/>
        </w:rPr>
        <w:t>RAZVOJ DOGAĐAJA KOJI JE PRETHODIO VELIKOJ NESREĆI</w:t>
      </w:r>
    </w:p>
    <w:p>
      <w:pPr>
        <w:pStyle w:val="Normal"/>
        <w:rPr>
          <w:u w:val="single"/>
        </w:rPr>
      </w:pPr>
      <w:r>
        <w:rPr>
          <w:u w:val="single"/>
        </w:rPr>
        <w:t>Pojava manjeg ili većeg broja požara raslinja, ponajviše ovisi o slijedećim čimbenicima:</w:t>
      </w:r>
    </w:p>
    <w:p>
      <w:pPr>
        <w:pStyle w:val="ListParagraph"/>
        <w:numPr>
          <w:ilvl w:val="1"/>
          <w:numId w:val="22"/>
        </w:numPr>
        <w:rPr/>
      </w:pPr>
      <w:r>
        <w:rPr/>
        <w:t>parametrima vegetacije (vrsta i vlažnost vegetacije),</w:t>
      </w:r>
    </w:p>
    <w:p>
      <w:pPr>
        <w:pStyle w:val="ListParagraph"/>
        <w:numPr>
          <w:ilvl w:val="1"/>
          <w:numId w:val="22"/>
        </w:numPr>
        <w:rPr/>
      </w:pPr>
      <w:r>
        <w:rPr/>
        <w:t>ukupnost klimatskih i meteoroloških čimbenika i pojava u atmosferi na određenom mjestu,</w:t>
      </w:r>
    </w:p>
    <w:p>
      <w:pPr>
        <w:pStyle w:val="ListParagraph"/>
        <w:numPr>
          <w:ilvl w:val="1"/>
          <w:numId w:val="22"/>
        </w:numPr>
        <w:rPr/>
      </w:pPr>
      <w:r>
        <w:rPr/>
        <w:t>antropološkim parametrima (gustoća stanovništva i ljudske aktivnosti, sociološki, ekonomski i socijalni elementi).</w:t>
      </w:r>
    </w:p>
    <w:p>
      <w:pPr>
        <w:pStyle w:val="Normal"/>
        <w:rPr/>
      </w:pPr>
      <w:r>
        <w:rPr/>
      </w:r>
    </w:p>
    <w:p>
      <w:pPr>
        <w:pStyle w:val="Normal"/>
        <w:rPr>
          <w:b/>
          <w:b/>
          <w:u w:val="single"/>
        </w:rPr>
      </w:pPr>
      <w:r>
        <w:rPr>
          <w:b/>
          <w:u w:val="single"/>
        </w:rPr>
        <w:t>OKIDAČ KOJI JE UZROKOVAO VELIKU NESREĆU</w:t>
      </w:r>
    </w:p>
    <w:p>
      <w:pPr>
        <w:pStyle w:val="Normal"/>
        <w:rPr/>
      </w:pPr>
      <w:r>
        <w:rPr/>
        <w:t xml:space="preserve">Statistički podaci Ministarstva unutarnjih poslova u pogledu požara raslinja – nastanak požara raslinja uglavnom povezan s ljudskom djelatnošću. Najčešći način izazivanja je nemar ili nepažnja poradi paljenja korova i biootpada, radova u šumi, nepažnji sa ložištima za roštilje, neugašenoj vatri, dječje igre i zapuštenih neuređenih deponija organskog i anorganskog otpada. </w:t>
      </w:r>
    </w:p>
    <w:p>
      <w:pPr>
        <w:pStyle w:val="Normal"/>
        <w:rPr/>
      </w:pPr>
      <w:r>
        <w:rPr/>
        <w:t>Najčešći uzroci požara su otvoreni plamen, a nešto manji postotak požara je uzrokovan pražnjenjem atmosferskog elektriciteta ili toplinom koja nastaje trenjem.</w:t>
      </w:r>
    </w:p>
    <w:p>
      <w:pPr>
        <w:pStyle w:val="Normal"/>
        <w:rPr>
          <w:lang w:bidi="en-US"/>
        </w:rPr>
      </w:pPr>
      <w:r>
        <w:rPr>
          <w:lang w:bidi="en-US"/>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30" w:name="_Toc498599779"/>
      <w:bookmarkStart w:id="131" w:name="_Toc503777227"/>
      <w:bookmarkStart w:id="132" w:name="_Toc99955690"/>
      <w:bookmarkStart w:id="133" w:name="_Toc116990138"/>
      <w:r>
        <w:rPr>
          <w:rFonts w:cs="Times New Roman" w:cstheme="majorBidi"/>
          <w:color w:val="54883D"/>
          <w:sz w:val="28"/>
          <w:lang w:bidi="en-US"/>
        </w:rPr>
        <w:t>6.1.6 Događaj s najgorim mogućim posljedicama</w:t>
      </w:r>
      <w:bookmarkEnd w:id="130"/>
      <w:bookmarkEnd w:id="131"/>
      <w:bookmarkEnd w:id="132"/>
      <w:bookmarkEnd w:id="133"/>
    </w:p>
    <w:p>
      <w:pPr>
        <w:pStyle w:val="Normal"/>
        <w:spacing w:before="120" w:after="120"/>
        <w:rPr>
          <w:color w:val="auto"/>
        </w:rPr>
      </w:pPr>
      <w:r>
        <w:rPr/>
        <w:t xml:space="preserve">Visoke temperature u proljetnom i ljetnom dijelu godine na području Grada Buja te suha vegetacija pogoduju velikom broju požara otvorenog prostora. </w:t>
      </w:r>
      <w:r>
        <w:rPr>
          <w:lang w:bidi="en-US"/>
        </w:rPr>
        <w:t>Ekstremni meteorološki uvjeti (jak vjetar, visoka temperatura zraka, suša, udari groma) pogoduju razvoju više istovremenih požara. Gašenje takvih požara zahtijevaju angažiranje značajnog materijalnog, tehničkog i kadrovskog potencijala, ponekad iz više županija pa čak iz cijele zemlje. Snage su razvučene na više požara, ali poradi ekstremnih meteoroloških uvjeta nije ih moguće staviti pod nadzor više dana. Budući da požari traju i više dana, vatrogasne snage</w:t>
      </w:r>
      <w:r>
        <w:rPr>
          <w:color w:val="auto"/>
          <w:lang w:bidi="en-US"/>
        </w:rPr>
        <w:t xml:space="preserve"> su iscrpljene, </w:t>
      </w:r>
      <w:r>
        <w:rPr>
          <w:color w:val="auto"/>
        </w:rPr>
        <w:t xml:space="preserve">a opožarena površina se povećava, moguće je smrtno stradavanje. Požari mjestimično mogu ugroziti veći broj ljudi i imovinu, te je potrebna evakuacija lokalnog stanovništva, turista i imovine i njihovo 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pPr>
        <w:pStyle w:val="Normal"/>
        <w:spacing w:before="120" w:after="120"/>
        <w:rPr>
          <w:rFonts w:eastAsia="Calibri" w:eastAsiaTheme="minorHAnsi"/>
          <w:color w:val="auto"/>
          <w:szCs w:val="22"/>
          <w:highlight w:val="yellow"/>
        </w:rPr>
      </w:pPr>
      <w:r>
        <w:rPr>
          <w:rFonts w:eastAsia="Calibri" w:eastAsiaTheme="minorHAnsi"/>
          <w:color w:val="auto"/>
          <w:szCs w:val="22"/>
        </w:rPr>
        <w:t xml:space="preserve">Pored promatranih meteoroloških pojava za ovo razmatranje valja spomenuti i grmljavinu, budući je grom jedini prirodni uzročnik požara. Pod grmljavinom podrazumijevamo pojavu, odnosno skup pojava, jednog ili više iznenadnih električnih pražnjenja koja se manifestiraju bljeskom svjetlosti (sijevanjem) i zvukom (grmljenje). Grmljavina se javlja uz konvektivne oblake i najčešće je praćena oborinom i olujnim vjetrom. Broj dana s ovom pojavom pokazuje određene pravilnosti tijekom godine, iako u istom mjesecu taj broj varira iz godine u godinu. </w:t>
      </w:r>
    </w:p>
    <w:p>
      <w:pPr>
        <w:pStyle w:val="Normal"/>
        <w:jc w:val="left"/>
        <w:rPr>
          <w:color w:val="auto"/>
        </w:rPr>
      </w:pPr>
      <w:r>
        <w:rPr>
          <w:color w:val="auto"/>
        </w:rPr>
      </w:r>
    </w:p>
    <w:p>
      <w:pPr>
        <w:pStyle w:val="Normal"/>
        <w:keepNext w:val="true"/>
        <w:spacing w:before="120" w:after="120"/>
        <w:jc w:val="center"/>
        <w:rPr>
          <w:b/>
          <w:b/>
          <w:bCs/>
          <w:i/>
          <w:i/>
          <w:color w:val="54883D"/>
          <w:sz w:val="18"/>
          <w:szCs w:val="18"/>
        </w:rPr>
      </w:pPr>
      <w:r>
        <w:rPr>
          <w:b/>
          <w:bCs/>
          <w:i/>
          <w:color w:val="54883D"/>
          <w:sz w:val="18"/>
          <w:szCs w:val="18"/>
        </w:rPr>
        <w:t>Slika 5.</w:t>
      </w:r>
      <w:r>
        <w:rPr>
          <w:b/>
          <w:i/>
          <w:sz w:val="20"/>
        </w:rPr>
        <w:t xml:space="preserve"> </w:t>
      </w:r>
      <w:r>
        <w:rPr>
          <w:b/>
          <w:bCs/>
          <w:i/>
          <w:color w:val="54883D"/>
          <w:sz w:val="18"/>
          <w:szCs w:val="18"/>
        </w:rPr>
        <w:t>Broj dana s grmljavinom, 1971.-2000.</w:t>
      </w:r>
    </w:p>
    <w:p>
      <w:pPr>
        <w:pStyle w:val="Normal"/>
        <w:jc w:val="center"/>
        <w:rPr>
          <w:highlight w:val="yellow"/>
          <w:lang w:bidi="en-US"/>
        </w:rPr>
      </w:pPr>
      <w:r>
        <w:rPr>
          <w:highlight w:val="yellow"/>
          <w:lang w:bidi="en-US"/>
        </w:rPr>
        <w:drawing>
          <wp:anchor behindDoc="0" distT="0" distB="0" distL="0" distR="0" simplePos="0" locked="0" layoutInCell="1" allowOverlap="1" relativeHeight="48">
            <wp:simplePos x="0" y="0"/>
            <wp:positionH relativeFrom="margin">
              <wp:align>right</wp:align>
            </wp:positionH>
            <wp:positionV relativeFrom="paragraph">
              <wp:posOffset>11430</wp:posOffset>
            </wp:positionV>
            <wp:extent cx="5727065" cy="5727065"/>
            <wp:effectExtent l="0" t="0" r="0" b="0"/>
            <wp:wrapNone/>
            <wp:docPr id="41" name="Picture 2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47" descr=""/>
                    <pic:cNvPicPr>
                      <a:picLocks noChangeAspect="1" noChangeArrowheads="1"/>
                    </pic:cNvPicPr>
                  </pic:nvPicPr>
                  <pic:blipFill>
                    <a:blip r:embed="rId40"/>
                    <a:stretch>
                      <a:fillRect/>
                    </a:stretch>
                  </pic:blipFill>
                  <pic:spPr bwMode="auto">
                    <a:xfrm>
                      <a:off x="0" y="0"/>
                      <a:ext cx="5727065" cy="5727065"/>
                    </a:xfrm>
                    <a:prstGeom prst="rect">
                      <a:avLst/>
                    </a:prstGeom>
                  </pic:spPr>
                </pic:pic>
              </a:graphicData>
            </a:graphic>
          </wp:anchor>
        </w:drawing>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highlight w:val="yellow"/>
          <w:lang w:bidi="en-US"/>
        </w:rPr>
      </w:pPr>
      <w:r>
        <w:rPr>
          <w:highlight w:val="yellow"/>
          <w:lang w:bidi="en-US"/>
        </w:rPr>
      </w:r>
    </w:p>
    <w:p>
      <w:pPr>
        <w:pStyle w:val="Normal"/>
        <w:jc w:val="center"/>
        <w:rPr>
          <w:i/>
          <w:i/>
          <w:color w:val="54883D"/>
          <w:sz w:val="18"/>
        </w:rPr>
      </w:pPr>
      <w:r>
        <w:rPr>
          <w:i/>
          <w:color w:val="54883D"/>
          <w:sz w:val="18"/>
        </w:rPr>
        <w:t xml:space="preserve"> </w:t>
      </w:r>
      <w:r>
        <w:rPr>
          <w:i/>
          <w:color w:val="54883D"/>
          <w:sz w:val="18"/>
        </w:rPr>
        <w:t>Izvor: DHMZ</w:t>
      </w:r>
    </w:p>
    <w:p>
      <w:pPr>
        <w:pStyle w:val="Normal"/>
        <w:jc w:val="left"/>
        <w:rPr>
          <w:color w:val="auto"/>
        </w:rPr>
      </w:pPr>
      <w:r>
        <w:rPr>
          <w:color w:val="auto"/>
        </w:rPr>
      </w:r>
    </w:p>
    <w:p>
      <w:pPr>
        <w:pStyle w:val="Normal"/>
        <w:rPr>
          <w:color w:val="auto"/>
        </w:rPr>
      </w:pPr>
      <w:r>
        <w:rPr>
          <w:color w:val="auto"/>
        </w:rPr>
        <w:t>Pod grmljavinom se podrazumijeva pojava, odnosno skup pojava jednog ili više iznenadnih električnih pražnjenja koja se manifestiraju svjetlosnim bljeskom (sijevanjem) i zvukom (grmljenje). Grmljavina se javlja uz konvektivne oblake i najčešće je prate oborine i pojačani vjetar. Broj dana s ovom pojavom pokazuje određene pravilnosti tijekom godine , iako u istom mjesecu taj broj varira iz godine u godinu. Grmljavinu se pojavljuje u toplom dijelu godine prosječno pet do osam puta mjesečno a zimi jednom mjesečno.</w:t>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t>Posljedice</w:t>
      </w:r>
    </w:p>
    <w:p>
      <w:pPr>
        <w:pStyle w:val="Normal"/>
        <w:rPr>
          <w:i/>
          <w:i/>
          <w:color w:val="54883D"/>
        </w:rPr>
      </w:pPr>
      <w:r>
        <w:rPr>
          <w:i/>
          <w:color w:val="54883D"/>
        </w:rPr>
        <w:t>Život i zdravlje ljudi</w:t>
      </w:r>
    </w:p>
    <w:p>
      <w:pPr>
        <w:pStyle w:val="Normal"/>
        <w:rPr/>
      </w:pPr>
      <w:r>
        <w:rPr/>
        <w:t xml:space="preserve">U slučaju požara na otvorenom prostoru može doći do evakuacije ugroženog stanovništva i turista. </w:t>
      </w:r>
    </w:p>
    <w:p>
      <w:pPr>
        <w:pStyle w:val="Normal"/>
        <w:spacing w:before="0" w:after="0"/>
        <w:jc w:val="center"/>
        <w:rPr>
          <w:rFonts w:eastAsia="Calibri"/>
          <w:b/>
          <w:b/>
          <w:bCs/>
          <w:i/>
          <w:i/>
          <w:color w:val="54883D"/>
          <w:sz w:val="20"/>
          <w:szCs w:val="18"/>
        </w:rPr>
      </w:pPr>
      <w:r>
        <w:rPr>
          <w:rFonts w:eastAsia="Calibri"/>
          <w:b/>
          <w:bCs/>
          <w:i/>
          <w:color w:val="54883D"/>
          <w:sz w:val="20"/>
          <w:szCs w:val="18"/>
        </w:rPr>
        <w:t xml:space="preserve">Tablica </w:t>
      </w:r>
      <w:r>
        <w:rPr>
          <w:rFonts w:eastAsia="Calibri"/>
          <w:b/>
          <w:bCs/>
          <w:i/>
          <w:color w:val="54883D"/>
          <w:sz w:val="20"/>
          <w:szCs w:val="18"/>
        </w:rPr>
        <w:fldChar w:fldCharType="begin"/>
      </w:r>
      <w:r>
        <w:rPr>
          <w:sz w:val="20"/>
          <w:i/>
          <w:b/>
          <w:szCs w:val="18"/>
          <w:bCs/>
          <w:rFonts w:eastAsia="Calibri"/>
          <w:color w:val="54883D"/>
        </w:rPr>
        <w:instrText> SEQ Tabela \* ARABIC </w:instrText>
      </w:r>
      <w:r>
        <w:rPr>
          <w:sz w:val="20"/>
          <w:i/>
          <w:b/>
          <w:szCs w:val="18"/>
          <w:bCs/>
          <w:rFonts w:eastAsia="Calibri"/>
          <w:color w:val="54883D"/>
        </w:rPr>
        <w:fldChar w:fldCharType="separate"/>
      </w:r>
      <w:r>
        <w:rPr>
          <w:sz w:val="20"/>
          <w:i/>
          <w:b/>
          <w:szCs w:val="18"/>
          <w:bCs/>
          <w:rFonts w:eastAsia="Calibri"/>
          <w:color w:val="54883D"/>
        </w:rPr>
        <w:t>13</w:t>
      </w:r>
      <w:r>
        <w:rPr>
          <w:sz w:val="20"/>
          <w:i/>
          <w:b/>
          <w:szCs w:val="18"/>
          <w:bCs/>
          <w:rFonts w:eastAsia="Calibri"/>
          <w:color w:val="54883D"/>
        </w:rPr>
        <w:fldChar w:fldCharType="end"/>
      </w:r>
      <w:r>
        <w:rPr>
          <w:rFonts w:eastAsia="Calibri"/>
          <w:b/>
          <w:bCs/>
          <w:i/>
          <w:color w:val="54883D"/>
          <w:sz w:val="20"/>
          <w:szCs w:val="18"/>
        </w:rPr>
        <w:t xml:space="preserve">.  </w:t>
      </w:r>
      <w:r>
        <w:rPr>
          <w:b/>
          <w:bCs/>
          <w:i/>
          <w:color w:val="54883D"/>
          <w:sz w:val="20"/>
          <w:szCs w:val="18"/>
        </w:rPr>
        <w:t>Vrijednost kriterija za posljedice na život i zdravlje ljudi po kategorijama - požar</w:t>
      </w:r>
    </w:p>
    <w:tbl>
      <w:tblPr>
        <w:tblStyle w:val="ivopisnatablicareetke6-isticanje31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79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45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BROJ UGROŽENIH OSOBA %</w:t>
            </w:r>
          </w:p>
        </w:tc>
        <w:tc>
          <w:tcPr>
            <w:tcW w:w="216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i/>
          <w:i/>
          <w:color w:val="auto"/>
          <w:highlight w:val="yellow"/>
          <w:u w:val="single"/>
        </w:rPr>
      </w:pPr>
      <w:r>
        <w:rPr>
          <w:i/>
          <w:color w:val="auto"/>
          <w:highlight w:val="yellow"/>
          <w:u w:val="single"/>
        </w:rPr>
      </w:r>
    </w:p>
    <w:p>
      <w:pPr>
        <w:pStyle w:val="Normal"/>
        <w:rPr>
          <w:i/>
          <w:i/>
          <w:color w:val="54883D"/>
        </w:rPr>
      </w:pPr>
      <w:r>
        <w:rPr>
          <w:i/>
          <w:color w:val="54883D"/>
        </w:rPr>
        <w:t>Gospodarstvo</w:t>
      </w:r>
    </w:p>
    <w:p>
      <w:pPr>
        <w:pStyle w:val="Normal"/>
        <w:rPr/>
      </w:pPr>
      <w:r>
        <w:rPr/>
        <w:t xml:space="preserve">Od direktnih šteta nastat će štete na pokretnoj i nepokretnoj imovini. Također nastat će trošak sanacije, oporavka i asanacije. </w:t>
      </w:r>
    </w:p>
    <w:p>
      <w:pPr>
        <w:pStyle w:val="Normal"/>
        <w:spacing w:before="0" w:after="160"/>
        <w:jc w:val="center"/>
        <w:rPr>
          <w:rFonts w:eastAsia="Calibri"/>
          <w:b/>
          <w:b/>
          <w:bCs/>
          <w:i/>
          <w:i/>
          <w:color w:val="54883D"/>
          <w:sz w:val="20"/>
          <w:szCs w:val="18"/>
        </w:rPr>
      </w:pPr>
      <w:r>
        <w:rPr>
          <w:rFonts w:eastAsia="Calibri"/>
          <w:b/>
          <w:bCs/>
          <w:i/>
          <w:color w:val="54883D"/>
          <w:sz w:val="20"/>
          <w:szCs w:val="18"/>
        </w:rPr>
        <w:t xml:space="preserve">Tablica </w:t>
      </w:r>
      <w:r>
        <w:rPr>
          <w:rFonts w:eastAsia="Calibri"/>
          <w:b/>
          <w:bCs/>
          <w:i/>
          <w:color w:val="54883D"/>
          <w:sz w:val="20"/>
          <w:szCs w:val="18"/>
        </w:rPr>
        <w:fldChar w:fldCharType="begin"/>
      </w:r>
      <w:r>
        <w:rPr>
          <w:sz w:val="20"/>
          <w:i/>
          <w:b/>
          <w:szCs w:val="18"/>
          <w:bCs/>
          <w:rFonts w:eastAsia="Calibri"/>
          <w:color w:val="54883D"/>
        </w:rPr>
        <w:instrText> SEQ Tabela \* ARABIC </w:instrText>
      </w:r>
      <w:r>
        <w:rPr>
          <w:sz w:val="20"/>
          <w:i/>
          <w:b/>
          <w:szCs w:val="18"/>
          <w:bCs/>
          <w:rFonts w:eastAsia="Calibri"/>
          <w:color w:val="54883D"/>
        </w:rPr>
        <w:fldChar w:fldCharType="separate"/>
      </w:r>
      <w:r>
        <w:rPr>
          <w:sz w:val="20"/>
          <w:i/>
          <w:b/>
          <w:szCs w:val="18"/>
          <w:bCs/>
          <w:rFonts w:eastAsia="Calibri"/>
          <w:color w:val="54883D"/>
        </w:rPr>
        <w:t>14</w:t>
      </w:r>
      <w:r>
        <w:rPr>
          <w:sz w:val="20"/>
          <w:i/>
          <w:b/>
          <w:szCs w:val="18"/>
          <w:bCs/>
          <w:rFonts w:eastAsia="Calibri"/>
          <w:color w:val="54883D"/>
        </w:rPr>
        <w:fldChar w:fldCharType="end"/>
      </w:r>
      <w:r>
        <w:rPr>
          <w:rFonts w:eastAsia="Calibri"/>
          <w:b/>
          <w:bCs/>
          <w:i/>
          <w:color w:val="54883D"/>
          <w:sz w:val="20"/>
          <w:szCs w:val="18"/>
        </w:rPr>
        <w:t xml:space="preserve">.  </w:t>
      </w:r>
      <w:r>
        <w:rPr>
          <w:b/>
          <w:bCs/>
          <w:i/>
          <w:color w:val="54883D"/>
          <w:sz w:val="20"/>
          <w:szCs w:val="18"/>
        </w:rPr>
        <w:t>Vrijednost kriterija za posljedice na gospodarstvo po kategorijama - požar</w:t>
      </w:r>
    </w:p>
    <w:tbl>
      <w:tblPr>
        <w:tblStyle w:val="ivopisnatablicareetke6-isticanje323"/>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1"/>
        <w:gridCol w:w="2328"/>
        <w:gridCol w:w="3138"/>
        <w:gridCol w:w="1962"/>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32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313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32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13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FF0000"/>
                <w:sz w:val="20"/>
                <w:szCs w:val="20"/>
                <w:highlight w:val="yellow"/>
              </w:rPr>
            </w:pPr>
            <w:r>
              <w:rPr>
                <w:color w:val="FF0000"/>
                <w:sz w:val="20"/>
                <w:szCs w:val="20"/>
              </w:rPr>
              <w:t>265.321,03 – 530.642,06</w:t>
            </w:r>
          </w:p>
        </w:tc>
        <w:tc>
          <w:tcPr>
            <w:tcW w:w="19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32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13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FF0000"/>
                <w:sz w:val="20"/>
                <w:szCs w:val="20"/>
                <w:highlight w:val="yellow"/>
              </w:rPr>
            </w:pPr>
            <w:r>
              <w:rPr>
                <w:color w:val="FF0000"/>
                <w:sz w:val="20"/>
                <w:szCs w:val="20"/>
              </w:rPr>
              <w:t>530.642,06– 2.653.210,29</w:t>
            </w:r>
          </w:p>
        </w:tc>
        <w:tc>
          <w:tcPr>
            <w:tcW w:w="196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32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13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FF0000"/>
                <w:sz w:val="20"/>
                <w:szCs w:val="20"/>
                <w:highlight w:val="yellow"/>
              </w:rPr>
            </w:pPr>
            <w:r>
              <w:rPr>
                <w:color w:val="FF0000"/>
                <w:sz w:val="20"/>
                <w:szCs w:val="20"/>
              </w:rPr>
              <w:t>2.653.210,29– 7.959.630,90</w:t>
            </w:r>
          </w:p>
        </w:tc>
        <w:tc>
          <w:tcPr>
            <w:tcW w:w="196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32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13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FF0000"/>
                <w:sz w:val="20"/>
                <w:szCs w:val="20"/>
                <w:highlight w:val="yellow"/>
              </w:rPr>
            </w:pPr>
            <w:r>
              <w:rPr>
                <w:color w:val="FF0000"/>
                <w:sz w:val="20"/>
                <w:szCs w:val="20"/>
              </w:rPr>
              <w:t>7.959.630,90– 13.266.051,44</w:t>
            </w:r>
          </w:p>
        </w:tc>
        <w:tc>
          <w:tcPr>
            <w:tcW w:w="196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1"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32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13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FF0000"/>
                <w:sz w:val="20"/>
                <w:szCs w:val="20"/>
                <w:highlight w:val="yellow"/>
              </w:rPr>
            </w:pPr>
            <w:r>
              <w:rPr>
                <w:color w:val="FF0000"/>
                <w:sz w:val="20"/>
                <w:szCs w:val="20"/>
              </w:rPr>
              <w:t>&gt; 13.266.051,44</w:t>
            </w:r>
          </w:p>
        </w:tc>
        <w:tc>
          <w:tcPr>
            <w:tcW w:w="196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color w:val="auto"/>
          <w:highlight w:val="yellow"/>
          <w:u w:val="single"/>
        </w:rPr>
      </w:pPr>
      <w:r>
        <w:rPr>
          <w:color w:val="auto"/>
          <w:highlight w:val="yellow"/>
          <w:u w:val="single"/>
        </w:rPr>
      </w:r>
    </w:p>
    <w:p>
      <w:pPr>
        <w:pStyle w:val="Normal"/>
        <w:rPr>
          <w:i/>
          <w:i/>
          <w:color w:val="54883D"/>
        </w:rPr>
      </w:pPr>
      <w:r>
        <w:rPr>
          <w:i/>
          <w:color w:val="54883D"/>
        </w:rPr>
        <w:t>Društvena stabilnost i politika</w:t>
      </w:r>
    </w:p>
    <w:p>
      <w:pPr>
        <w:pStyle w:val="Normal"/>
        <w:rPr>
          <w:color w:val="auto"/>
        </w:rPr>
      </w:pPr>
      <w:r>
        <w:rPr>
          <w:color w:val="auto"/>
        </w:rPr>
        <w:t>Procjena se temelji na procjeni štete koju može uzrokovati požar otvorenog tipa u odnosu na proračun Grada.</w:t>
      </w:r>
    </w:p>
    <w:p>
      <w:pPr>
        <w:pStyle w:val="Normal"/>
        <w:rPr>
          <w:color w:val="auto"/>
        </w:rPr>
      </w:pPr>
      <w:r>
        <w:rPr>
          <w:color w:val="auto"/>
        </w:rPr>
      </w:r>
    </w:p>
    <w:p>
      <w:pPr>
        <w:pStyle w:val="Normal"/>
        <w:spacing w:before="80" w:after="120"/>
        <w:rPr>
          <w:b/>
          <w:b/>
          <w:color w:val="auto"/>
          <w:szCs w:val="20"/>
          <w:u w:val="single"/>
        </w:rPr>
      </w:pPr>
      <w:r>
        <w:rPr>
          <w:b/>
          <w:color w:val="auto"/>
          <w:szCs w:val="20"/>
          <w:u w:val="single"/>
        </w:rPr>
      </w:r>
    </w:p>
    <w:p>
      <w:pPr>
        <w:pStyle w:val="Normal"/>
        <w:spacing w:before="80" w:after="120"/>
        <w:rPr>
          <w:b/>
          <w:b/>
          <w:color w:val="auto"/>
          <w:szCs w:val="20"/>
          <w:u w:val="single"/>
        </w:rPr>
      </w:pPr>
      <w:r>
        <w:rPr>
          <w:b/>
          <w:color w:val="auto"/>
          <w:szCs w:val="20"/>
          <w:u w:val="single"/>
        </w:rPr>
      </w:r>
    </w:p>
    <w:p>
      <w:pPr>
        <w:pStyle w:val="Normal"/>
        <w:spacing w:before="80" w:after="120"/>
        <w:rPr>
          <w:b/>
          <w:b/>
          <w:color w:val="auto"/>
          <w:szCs w:val="20"/>
          <w:u w:val="single"/>
        </w:rPr>
      </w:pPr>
      <w:r>
        <w:rPr>
          <w:b/>
          <w:color w:val="auto"/>
          <w:szCs w:val="20"/>
          <w:u w:val="single"/>
        </w:rPr>
      </w:r>
    </w:p>
    <w:p>
      <w:pPr>
        <w:pStyle w:val="Normal"/>
        <w:spacing w:before="80" w:after="120"/>
        <w:rPr>
          <w:b/>
          <w:b/>
          <w:color w:val="auto"/>
          <w:szCs w:val="20"/>
          <w:u w:val="single"/>
        </w:rPr>
      </w:pPr>
      <w:r>
        <w:rPr>
          <w:b/>
          <w:color w:val="auto"/>
          <w:szCs w:val="20"/>
          <w:u w:val="single"/>
        </w:rPr>
        <w:t xml:space="preserve">Posljedice na kritičnu infrastrukturu: </w:t>
      </w:r>
    </w:p>
    <w:p>
      <w:pPr>
        <w:pStyle w:val="Normal"/>
        <w:spacing w:before="80" w:after="0"/>
        <w:rPr>
          <w:i/>
          <w:i/>
          <w:iCs/>
          <w:color w:val="54883D"/>
        </w:rPr>
      </w:pPr>
      <w:r>
        <w:rPr>
          <w:i/>
          <w:iCs/>
          <w:color w:val="54883D"/>
        </w:rPr>
      </w:r>
    </w:p>
    <w:p>
      <w:pPr>
        <w:pStyle w:val="Normal"/>
        <w:spacing w:before="80" w:after="0"/>
        <w:rPr>
          <w:color w:val="54883D"/>
          <w:szCs w:val="20"/>
        </w:rPr>
      </w:pPr>
      <w:r>
        <w:rPr>
          <w:i/>
          <w:iCs/>
          <w:color w:val="54883D"/>
        </w:rPr>
        <w:t>Energetika</w:t>
      </w:r>
      <w:r>
        <w:rPr>
          <w:color w:val="54883D"/>
          <w:szCs w:val="20"/>
        </w:rPr>
        <w:t xml:space="preserve"> </w:t>
      </w:r>
    </w:p>
    <w:p>
      <w:pPr>
        <w:pStyle w:val="Normal"/>
        <w:spacing w:before="80" w:after="0"/>
        <w:rPr>
          <w:color w:val="auto"/>
        </w:rPr>
      </w:pPr>
      <w:r>
        <w:rPr>
          <w:color w:val="000000"/>
          <w:szCs w:val="20"/>
        </w:rPr>
        <w:t xml:space="preserve">Može doći do </w:t>
      </w:r>
      <w:r>
        <w:rPr>
          <w:color w:val="auto"/>
        </w:rPr>
        <w:t>oštećenja dijelova sustava (trafostanica, stupova el. mreže) i do kratkotrajnog prekida napajanja električnom energijom što može dovesti do otežanog redovitog funkcioniranja tvrtki i domaćinstava.</w:t>
      </w:r>
    </w:p>
    <w:p>
      <w:pPr>
        <w:pStyle w:val="Normal"/>
        <w:spacing w:before="80" w:after="0"/>
        <w:rPr>
          <w:color w:val="auto"/>
        </w:rPr>
      </w:pPr>
      <w:r>
        <w:rPr>
          <w:color w:val="auto"/>
        </w:rPr>
      </w:r>
    </w:p>
    <w:p>
      <w:pPr>
        <w:pStyle w:val="Normal"/>
        <w:spacing w:before="80" w:after="0"/>
        <w:rPr>
          <w:i/>
          <w:i/>
          <w:iCs/>
          <w:color w:val="54883D"/>
        </w:rPr>
      </w:pPr>
      <w:r>
        <w:rPr>
          <w:i/>
          <w:iCs/>
          <w:color w:val="54883D"/>
        </w:rPr>
        <w:t>Promet</w:t>
      </w:r>
    </w:p>
    <w:p>
      <w:pPr>
        <w:pStyle w:val="Normal"/>
        <w:spacing w:before="80" w:after="0"/>
        <w:rPr>
          <w:color w:val="auto"/>
        </w:rPr>
      </w:pPr>
      <w:r>
        <w:rPr>
          <w:color w:val="auto"/>
        </w:rPr>
        <w:t>Može doći do pojačane pojave dima ili do „preskakanja“ prometnice što može dovesti do otežanog odvijanja redovitog funkcioniranja prometa i otežanog dolaska snaga sustava civilne zaštite.</w:t>
      </w:r>
    </w:p>
    <w:p>
      <w:pPr>
        <w:pStyle w:val="Normal"/>
        <w:spacing w:before="80" w:after="0"/>
        <w:rPr>
          <w:color w:val="auto"/>
        </w:rPr>
      </w:pPr>
      <w:r>
        <w:rPr>
          <w:color w:val="auto"/>
        </w:rPr>
      </w:r>
    </w:p>
    <w:p>
      <w:pPr>
        <w:pStyle w:val="Normal"/>
        <w:spacing w:before="0" w:after="0"/>
        <w:jc w:val="center"/>
        <w:rPr>
          <w:rFonts w:eastAsia="Calibri"/>
          <w:b/>
          <w:b/>
          <w:bCs/>
          <w:i/>
          <w:i/>
          <w:color w:val="54883D"/>
          <w:sz w:val="20"/>
          <w:szCs w:val="18"/>
        </w:rPr>
      </w:pPr>
      <w:r>
        <w:rPr>
          <w:rFonts w:eastAsia="Calibri"/>
          <w:b/>
          <w:bCs/>
          <w:i/>
          <w:color w:val="54883D"/>
          <w:sz w:val="20"/>
          <w:szCs w:val="18"/>
        </w:rPr>
        <w:t xml:space="preserve">Tablica </w:t>
      </w:r>
      <w:r>
        <w:rPr>
          <w:rFonts w:eastAsia="Calibri"/>
          <w:b/>
          <w:bCs/>
          <w:i/>
          <w:color w:val="54883D"/>
          <w:sz w:val="20"/>
          <w:szCs w:val="18"/>
        </w:rPr>
        <w:fldChar w:fldCharType="begin"/>
      </w:r>
      <w:r>
        <w:rPr>
          <w:sz w:val="20"/>
          <w:i/>
          <w:b/>
          <w:szCs w:val="18"/>
          <w:bCs/>
          <w:rFonts w:eastAsia="Calibri"/>
          <w:color w:val="54883D"/>
        </w:rPr>
        <w:instrText> SEQ Tabela \* ARABIC </w:instrText>
      </w:r>
      <w:r>
        <w:rPr>
          <w:sz w:val="20"/>
          <w:i/>
          <w:b/>
          <w:szCs w:val="18"/>
          <w:bCs/>
          <w:rFonts w:eastAsia="Calibri"/>
          <w:color w:val="54883D"/>
        </w:rPr>
        <w:fldChar w:fldCharType="separate"/>
      </w:r>
      <w:r>
        <w:rPr>
          <w:sz w:val="20"/>
          <w:i/>
          <w:b/>
          <w:szCs w:val="18"/>
          <w:bCs/>
          <w:rFonts w:eastAsia="Calibri"/>
          <w:color w:val="54883D"/>
        </w:rPr>
        <w:t>15</w:t>
      </w:r>
      <w:r>
        <w:rPr>
          <w:sz w:val="20"/>
          <w:i/>
          <w:b/>
          <w:szCs w:val="18"/>
          <w:bCs/>
          <w:rFonts w:eastAsia="Calibri"/>
          <w:color w:val="54883D"/>
        </w:rPr>
        <w:fldChar w:fldCharType="end"/>
      </w:r>
      <w:r>
        <w:rPr>
          <w:rFonts w:eastAsia="Calibri"/>
          <w:b/>
          <w:bCs/>
          <w:i/>
          <w:color w:val="54883D"/>
          <w:sz w:val="20"/>
          <w:szCs w:val="18"/>
        </w:rPr>
        <w:t xml:space="preserve">.  </w:t>
      </w:r>
      <w:r>
        <w:rPr>
          <w:b/>
          <w:bCs/>
          <w:i/>
          <w:color w:val="54883D"/>
          <w:sz w:val="20"/>
          <w:szCs w:val="18"/>
        </w:rPr>
        <w:t>Vrijednost kriterija za posljedice na društvenu stabilnost i politiku - oštećena kritična infrastruktura - požar</w:t>
      </w:r>
    </w:p>
    <w:tbl>
      <w:tblPr>
        <w:tblStyle w:val="ivopisnatablicareetke6-isticanje323"/>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rFonts w:eastAsia="Calibri" w:eastAsiaTheme="minorHAnsi"/>
          <w:b/>
          <w:b/>
          <w:color w:val="54883D"/>
          <w:szCs w:val="22"/>
          <w:highlight w:val="yellow"/>
          <w:u w:val="single"/>
        </w:rPr>
      </w:pPr>
      <w:r>
        <w:rPr>
          <w:rFonts w:eastAsia="Calibri" w:eastAsiaTheme="minorHAnsi"/>
          <w:b/>
          <w:color w:val="54883D"/>
          <w:szCs w:val="22"/>
          <w:highlight w:val="yellow"/>
          <w:u w:val="single"/>
        </w:rPr>
      </w:r>
    </w:p>
    <w:p>
      <w:pPr>
        <w:pStyle w:val="Normal"/>
        <w:rPr>
          <w:rFonts w:eastAsia="Calibri" w:eastAsiaTheme="minorHAnsi"/>
          <w:b/>
          <w:b/>
          <w:color w:val="auto"/>
          <w:szCs w:val="22"/>
          <w:u w:val="single"/>
        </w:rPr>
      </w:pPr>
      <w:r>
        <w:rPr>
          <w:rFonts w:eastAsia="Calibri" w:eastAsiaTheme="minorHAnsi"/>
          <w:b/>
          <w:color w:val="auto"/>
          <w:szCs w:val="22"/>
          <w:u w:val="single"/>
        </w:rPr>
        <w:t>Posljedice po građevine javnog i društvenog značaja:</w:t>
      </w:r>
    </w:p>
    <w:p>
      <w:pPr>
        <w:pStyle w:val="Normal"/>
        <w:rPr>
          <w:lang w:bidi="en-US"/>
        </w:rPr>
      </w:pPr>
      <w:r>
        <w:rPr>
          <w:rFonts w:eastAsia="Calibri" w:eastAsiaTheme="minorHAnsi"/>
        </w:rPr>
        <w:t xml:space="preserve">Ne očekuju se šteta na građevinama od javnog društvenog značaja i </w:t>
      </w:r>
      <w:r>
        <w:rPr>
          <w:lang w:bidi="en-US"/>
        </w:rPr>
        <w:t xml:space="preserve">odabrane su neznatne posljedice. </w:t>
      </w:r>
    </w:p>
    <w:p>
      <w:pPr>
        <w:pStyle w:val="Normal"/>
        <w:spacing w:before="0" w:after="0"/>
        <w:jc w:val="center"/>
        <w:rPr>
          <w:rFonts w:eastAsia="Calibri"/>
          <w:b/>
          <w:b/>
          <w:bCs/>
          <w:i/>
          <w:i/>
          <w:color w:val="54883D"/>
          <w:sz w:val="20"/>
          <w:szCs w:val="18"/>
        </w:rPr>
      </w:pPr>
      <w:r>
        <w:rPr>
          <w:rFonts w:eastAsia="Calibri"/>
          <w:b/>
          <w:bCs/>
          <w:i/>
          <w:color w:val="54883D"/>
          <w:sz w:val="20"/>
          <w:szCs w:val="18"/>
        </w:rPr>
        <w:t xml:space="preserve">Tablica </w:t>
      </w:r>
      <w:r>
        <w:rPr>
          <w:rFonts w:eastAsia="Calibri"/>
          <w:b/>
          <w:bCs/>
          <w:i/>
          <w:color w:val="54883D"/>
          <w:sz w:val="20"/>
          <w:szCs w:val="18"/>
        </w:rPr>
        <w:fldChar w:fldCharType="begin"/>
      </w:r>
      <w:r>
        <w:rPr>
          <w:sz w:val="20"/>
          <w:i/>
          <w:b/>
          <w:szCs w:val="18"/>
          <w:bCs/>
          <w:rFonts w:eastAsia="Calibri"/>
          <w:color w:val="54883D"/>
        </w:rPr>
        <w:instrText> SEQ Tabela \* ARABIC </w:instrText>
      </w:r>
      <w:r>
        <w:rPr>
          <w:sz w:val="20"/>
          <w:i/>
          <w:b/>
          <w:szCs w:val="18"/>
          <w:bCs/>
          <w:rFonts w:eastAsia="Calibri"/>
          <w:color w:val="54883D"/>
        </w:rPr>
        <w:fldChar w:fldCharType="separate"/>
      </w:r>
      <w:r>
        <w:rPr>
          <w:sz w:val="20"/>
          <w:i/>
          <w:b/>
          <w:szCs w:val="18"/>
          <w:bCs/>
          <w:rFonts w:eastAsia="Calibri"/>
          <w:color w:val="54883D"/>
        </w:rPr>
        <w:t>16</w:t>
      </w:r>
      <w:r>
        <w:rPr>
          <w:sz w:val="20"/>
          <w:i/>
          <w:b/>
          <w:szCs w:val="18"/>
          <w:bCs/>
          <w:rFonts w:eastAsia="Calibri"/>
          <w:color w:val="54883D"/>
        </w:rPr>
        <w:fldChar w:fldCharType="end"/>
      </w:r>
      <w:r>
        <w:rPr>
          <w:rFonts w:eastAsia="Calibri"/>
          <w:b/>
          <w:bCs/>
          <w:i/>
          <w:color w:val="54883D"/>
          <w:sz w:val="20"/>
          <w:szCs w:val="18"/>
        </w:rPr>
        <w:t xml:space="preserve">.  </w:t>
      </w:r>
      <w:r>
        <w:rPr>
          <w:b/>
          <w:bCs/>
          <w:i/>
          <w:color w:val="54883D"/>
          <w:sz w:val="20"/>
          <w:szCs w:val="18"/>
        </w:rPr>
        <w:t>Vrijednost kriterija za društvenu stabilnost i politiku – štete/gubitci na ustanovama/građevinama javnog društvenog značaja - požar</w:t>
      </w:r>
    </w:p>
    <w:tbl>
      <w:tblPr>
        <w:tblStyle w:val="ivopisnatablicareetke6-isticanje323"/>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keepNext w:val="true"/>
        <w:spacing w:before="120" w:after="0"/>
        <w:rPr>
          <w:b/>
          <w:b/>
          <w:bCs/>
          <w:color w:val="54883D"/>
          <w:sz w:val="20"/>
          <w:szCs w:val="18"/>
        </w:rPr>
      </w:pPr>
      <w:r>
        <w:rPr>
          <w:b/>
          <w:bCs/>
          <w:color w:val="54883D"/>
          <w:sz w:val="20"/>
          <w:szCs w:val="18"/>
        </w:rPr>
      </w:r>
    </w:p>
    <w:p>
      <w:pPr>
        <w:pStyle w:val="Normal"/>
        <w:keepNext w:val="true"/>
        <w:spacing w:before="120" w:after="0"/>
        <w:jc w:val="center"/>
        <w:rPr>
          <w:b/>
          <w:b/>
          <w:bCs/>
          <w:color w:val="54883D"/>
          <w:sz w:val="20"/>
          <w:szCs w:val="18"/>
        </w:rPr>
      </w:pPr>
      <w:r>
        <w:rPr>
          <w:b/>
          <w:bCs/>
          <w:color w:val="54883D"/>
          <w:sz w:val="20"/>
          <w:szCs w:val="18"/>
        </w:rPr>
        <w:t xml:space="preserve">Tablica </w:t>
      </w:r>
      <w:r>
        <w:rPr>
          <w:b/>
          <w:bCs/>
          <w:color w:val="54883D"/>
          <w:sz w:val="20"/>
          <w:szCs w:val="18"/>
        </w:rPr>
        <w:fldChar w:fldCharType="begin"/>
      </w:r>
      <w:r>
        <w:rPr>
          <w:sz w:val="20"/>
          <w:b/>
          <w:szCs w:val="18"/>
          <w:bCs/>
          <w:color w:val="54883D"/>
        </w:rPr>
        <w:instrText> SEQ Tabela \* ARABIC </w:instrText>
      </w:r>
      <w:r>
        <w:rPr>
          <w:sz w:val="20"/>
          <w:b/>
          <w:szCs w:val="18"/>
          <w:bCs/>
          <w:color w:val="54883D"/>
        </w:rPr>
        <w:fldChar w:fldCharType="separate"/>
      </w:r>
      <w:r>
        <w:rPr>
          <w:sz w:val="20"/>
          <w:b/>
          <w:szCs w:val="18"/>
          <w:bCs/>
          <w:color w:val="54883D"/>
        </w:rPr>
        <w:t>17</w:t>
      </w:r>
      <w:r>
        <w:rPr>
          <w:sz w:val="20"/>
          <w:b/>
          <w:szCs w:val="18"/>
          <w:bCs/>
          <w:color w:val="54883D"/>
        </w:rPr>
        <w:fldChar w:fldCharType="end"/>
      </w:r>
      <w:r>
        <w:rPr>
          <w:b/>
          <w:bCs/>
          <w:color w:val="54883D"/>
          <w:sz w:val="20"/>
          <w:szCs w:val="18"/>
          <w:lang w:bidi="en-US"/>
        </w:rPr>
        <w:t xml:space="preserve">. </w:t>
      </w:r>
      <w:r>
        <w:rPr>
          <w:b/>
          <w:bCs/>
          <w:color w:val="54883D"/>
          <w:sz w:val="20"/>
          <w:szCs w:val="18"/>
        </w:rPr>
        <w:t xml:space="preserve">Vrijednost kriterija za društvenu stabilnost i politiku – zbirno </w:t>
      </w:r>
    </w:p>
    <w:tbl>
      <w:tblPr>
        <w:tblStyle w:val="ivopisnatablicareetke6-isticanje31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82"/>
        <w:gridCol w:w="2415"/>
        <w:gridCol w:w="3243"/>
        <w:gridCol w:w="1629"/>
      </w:tblGrid>
      <w:tr>
        <w:trPr>
          <w:cnfStyle w:val="100000000000" w:firstRow="1" w:lastRow="0" w:firstColumn="0" w:lastColumn="0" w:oddVBand="0" w:evenVBand="0" w:oddHBand="0"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rPr>
                <w:sz w:val="20"/>
              </w:rPr>
            </w:pPr>
            <w:r>
              <w:rPr>
                <w:b/>
                <w:bCs/>
                <w:color w:val="76923C"/>
                <w:sz w:val="20"/>
              </w:rPr>
              <w:t>KATEGORIJA</w:t>
            </w:r>
          </w:p>
        </w:tc>
        <w:tc>
          <w:tcPr>
            <w:tcW w:w="241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KRITIČNA INFRASTRUKTURA</w:t>
            </w:r>
          </w:p>
        </w:tc>
        <w:tc>
          <w:tcPr>
            <w:tcW w:w="324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USTANOVE/GRAĐEVINE JAVNOG DRUŠTVENOG ZNAČAJA</w:t>
            </w:r>
          </w:p>
        </w:tc>
        <w:tc>
          <w:tcPr>
            <w:tcW w:w="16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sz w:val="20"/>
              </w:rPr>
              <w:t>1.</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t>x</w:t>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sz w:val="20"/>
              </w:rPr>
              <w:t>2.</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t>x</w:t>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t>x</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sz w:val="20"/>
              </w:rPr>
              <w:t>3.</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sz w:val="20"/>
              </w:rPr>
              <w:t>4.</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sz w:val="20"/>
              </w:rPr>
              <w:t>5.</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r>
    </w:tbl>
    <w:p>
      <w:pPr>
        <w:pStyle w:val="Normal"/>
        <w:rPr>
          <w:i/>
          <w:i/>
          <w:iCs/>
          <w:color w:val="54883D"/>
          <w:highlight w:val="yellow"/>
          <w:u w:val="single"/>
        </w:rPr>
      </w:pPr>
      <w:r>
        <w:rPr>
          <w:i/>
          <w:iCs/>
          <w:color w:val="54883D"/>
          <w:highlight w:val="yellow"/>
          <w:u w:val="single"/>
        </w:rPr>
      </w:r>
    </w:p>
    <w:p>
      <w:pPr>
        <w:pStyle w:val="Normal"/>
        <w:rPr>
          <w:i/>
          <w:i/>
          <w:iCs/>
          <w:color w:val="54883D"/>
          <w:u w:val="single"/>
        </w:rPr>
      </w:pPr>
      <w:r>
        <w:rPr>
          <w:i/>
          <w:iCs/>
          <w:color w:val="54883D"/>
          <w:u w:val="single"/>
        </w:rPr>
      </w:r>
    </w:p>
    <w:p>
      <w:pPr>
        <w:pStyle w:val="Normal"/>
        <w:rPr>
          <w:i/>
          <w:i/>
          <w:iCs/>
          <w:color w:val="54883D"/>
          <w:u w:val="single"/>
        </w:rPr>
      </w:pPr>
      <w:r>
        <w:rPr>
          <w:i/>
          <w:iCs/>
          <w:color w:val="54883D"/>
          <w:u w:val="single"/>
        </w:rPr>
        <w:t>Vjerojatnost događaja</w:t>
      </w:r>
    </w:p>
    <w:p>
      <w:pPr>
        <w:pStyle w:val="Normal"/>
        <w:rPr>
          <w:lang w:bidi="en-US"/>
        </w:rPr>
      </w:pPr>
      <w:r>
        <w:rPr>
          <w:lang w:bidi="en-US"/>
        </w:rPr>
        <w:t>Razmatrajući podatke, vjerojatnost je iskazana na osnovi analize statističkih podataka.</w:t>
      </w:r>
    </w:p>
    <w:p>
      <w:pPr>
        <w:pStyle w:val="Normal"/>
        <w:rPr>
          <w:lang w:bidi="en-US"/>
        </w:rPr>
      </w:pPr>
      <w:r>
        <w:rPr>
          <w:lang w:bidi="en-US"/>
        </w:rPr>
      </w:r>
    </w:p>
    <w:p>
      <w:pPr>
        <w:pStyle w:val="Normal"/>
        <w:keepNext w:val="true"/>
        <w:spacing w:before="120" w:after="0"/>
        <w:jc w:val="center"/>
        <w:rPr>
          <w:b/>
          <w:b/>
          <w:bCs/>
          <w:i/>
          <w:i/>
          <w:color w:val="54883D"/>
          <w:sz w:val="20"/>
          <w:szCs w:val="18"/>
        </w:rPr>
      </w:pPr>
      <w:r>
        <w:rPr>
          <w:b/>
          <w:bCs/>
          <w:i/>
          <w:color w:val="54883D"/>
          <w:sz w:val="20"/>
          <w:szCs w:val="18"/>
        </w:rPr>
        <w:t xml:space="preserve">Tablica </w:t>
      </w:r>
      <w:r>
        <w:rPr>
          <w:b/>
          <w:bCs/>
          <w:i/>
          <w:color w:val="54883D"/>
          <w:sz w:val="20"/>
          <w:szCs w:val="18"/>
        </w:rPr>
        <w:fldChar w:fldCharType="begin"/>
      </w:r>
      <w:r>
        <w:rPr>
          <w:sz w:val="20"/>
          <w:i/>
          <w:b/>
          <w:szCs w:val="18"/>
          <w:bCs/>
          <w:color w:val="54883D"/>
        </w:rPr>
        <w:instrText> SEQ Tabela \* ARABIC </w:instrText>
      </w:r>
      <w:r>
        <w:rPr>
          <w:sz w:val="20"/>
          <w:i/>
          <w:b/>
          <w:szCs w:val="18"/>
          <w:bCs/>
          <w:color w:val="54883D"/>
        </w:rPr>
        <w:fldChar w:fldCharType="separate"/>
      </w:r>
      <w:r>
        <w:rPr>
          <w:sz w:val="20"/>
          <w:i/>
          <w:b/>
          <w:szCs w:val="18"/>
          <w:bCs/>
          <w:color w:val="54883D"/>
        </w:rPr>
        <w:t>18</w:t>
      </w:r>
      <w:r>
        <w:rPr>
          <w:sz w:val="20"/>
          <w:i/>
          <w:b/>
          <w:szCs w:val="18"/>
          <w:bCs/>
          <w:color w:val="54883D"/>
        </w:rPr>
        <w:fldChar w:fldCharType="end"/>
      </w:r>
      <w:r>
        <w:rPr>
          <w:b/>
          <w:bCs/>
          <w:i/>
          <w:color w:val="54883D"/>
          <w:sz w:val="20"/>
          <w:szCs w:val="18"/>
          <w:lang w:bidi="en-US"/>
        </w:rPr>
        <w:t xml:space="preserve">. </w:t>
      </w:r>
      <w:r>
        <w:rPr>
          <w:b/>
          <w:bCs/>
          <w:i/>
          <w:color w:val="54883D"/>
          <w:sz w:val="20"/>
          <w:szCs w:val="18"/>
        </w:rPr>
        <w:t xml:space="preserve">Vjerojatnost/frekvencija </w:t>
      </w:r>
    </w:p>
    <w:tbl>
      <w:tblPr>
        <w:tblStyle w:val="ivopisnatablicareetke6-isticanje31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556"/>
        <w:gridCol w:w="1701"/>
        <w:gridCol w:w="1843"/>
        <w:gridCol w:w="2553"/>
        <w:gridCol w:w="1417"/>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56"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sz w:val="20"/>
                <w:szCs w:val="20"/>
              </w:rPr>
              <w:t>KATEGORIJA</w:t>
            </w:r>
          </w:p>
        </w:tc>
        <w:tc>
          <w:tcPr>
            <w:tcW w:w="7514" w:type="dxa"/>
            <w:gridSpan w:val="4"/>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sz w:val="20"/>
                <w:szCs w:val="20"/>
              </w:rPr>
              <w:t>VJEROJATNOST/FREKVENCIJA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56"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sz w:val="20"/>
                <w:szCs w:val="20"/>
              </w:rPr>
            </w:pPr>
            <w:r>
              <w:rPr>
                <w:b/>
                <w:bCs/>
                <w:color w:val="76923C"/>
                <w:sz w:val="20"/>
                <w:szCs w:val="20"/>
              </w:rPr>
            </w:r>
          </w:p>
        </w:tc>
        <w:tc>
          <w:tcPr>
            <w:tcW w:w="1701"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KVALITATIVNO</w:t>
            </w:r>
          </w:p>
        </w:tc>
        <w:tc>
          <w:tcPr>
            <w:tcW w:w="184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VJEROJATNOST</w:t>
            </w:r>
          </w:p>
        </w:tc>
        <w:tc>
          <w:tcPr>
            <w:tcW w:w="255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FREKVENCIJA</w:t>
            </w:r>
          </w:p>
        </w:tc>
        <w:tc>
          <w:tcPr>
            <w:tcW w:w="141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ODABRANO</w:t>
            </w:r>
          </w:p>
        </w:tc>
      </w:tr>
      <w:tr>
        <w:trPr>
          <w:trHeight w:val="254" w:hRule="atLeast"/>
        </w:trPr>
        <w:tc>
          <w:tcPr>
            <w:tcW w:w="155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sz w:val="20"/>
                <w:szCs w:val="20"/>
              </w:rPr>
              <w:t>1</w:t>
            </w:r>
          </w:p>
        </w:tc>
        <w:tc>
          <w:tcPr>
            <w:tcW w:w="1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mala</w:t>
            </w:r>
          </w:p>
        </w:tc>
        <w:tc>
          <w:tcPr>
            <w:tcW w:w="18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&lt;1 %</w:t>
            </w:r>
          </w:p>
        </w:tc>
        <w:tc>
          <w:tcPr>
            <w:tcW w:w="25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100 godina i rjeđe</w:t>
            </w:r>
          </w:p>
        </w:tc>
        <w:tc>
          <w:tcPr>
            <w:tcW w:w="141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5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sz w:val="20"/>
                <w:szCs w:val="20"/>
              </w:rPr>
              <w:t>2</w:t>
            </w:r>
          </w:p>
        </w:tc>
        <w:tc>
          <w:tcPr>
            <w:tcW w:w="1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Mala</w:t>
            </w:r>
          </w:p>
        </w:tc>
        <w:tc>
          <w:tcPr>
            <w:tcW w:w="18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 5 %</w:t>
            </w:r>
          </w:p>
        </w:tc>
        <w:tc>
          <w:tcPr>
            <w:tcW w:w="25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događaj u 20 do 100 godina</w:t>
            </w:r>
          </w:p>
        </w:tc>
        <w:tc>
          <w:tcPr>
            <w:tcW w:w="141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r>
          </w:p>
        </w:tc>
      </w:tr>
      <w:tr>
        <w:trPr>
          <w:trHeight w:val="254" w:hRule="atLeast"/>
        </w:trPr>
        <w:tc>
          <w:tcPr>
            <w:tcW w:w="155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sz w:val="20"/>
                <w:szCs w:val="20"/>
              </w:rPr>
              <w:t>3</w:t>
            </w:r>
          </w:p>
        </w:tc>
        <w:tc>
          <w:tcPr>
            <w:tcW w:w="1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Umjerena</w:t>
            </w:r>
          </w:p>
        </w:tc>
        <w:tc>
          <w:tcPr>
            <w:tcW w:w="18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5 – 50 %</w:t>
            </w:r>
          </w:p>
        </w:tc>
        <w:tc>
          <w:tcPr>
            <w:tcW w:w="25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2 do 20 godina</w:t>
            </w:r>
          </w:p>
        </w:tc>
        <w:tc>
          <w:tcPr>
            <w:tcW w:w="141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x</w:t>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5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sz w:val="20"/>
                <w:szCs w:val="20"/>
              </w:rPr>
              <w:t>4</w:t>
            </w:r>
          </w:p>
        </w:tc>
        <w:tc>
          <w:tcPr>
            <w:tcW w:w="1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Velika</w:t>
            </w:r>
          </w:p>
        </w:tc>
        <w:tc>
          <w:tcPr>
            <w:tcW w:w="18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51 – 98 %</w:t>
            </w:r>
          </w:p>
        </w:tc>
        <w:tc>
          <w:tcPr>
            <w:tcW w:w="25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događaj 1 do 2 godine</w:t>
            </w:r>
          </w:p>
        </w:tc>
        <w:tc>
          <w:tcPr>
            <w:tcW w:w="141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r>
          </w:p>
        </w:tc>
      </w:tr>
      <w:tr>
        <w:trPr>
          <w:trHeight w:val="270" w:hRule="atLeast"/>
        </w:trPr>
        <w:tc>
          <w:tcPr>
            <w:tcW w:w="155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sz w:val="20"/>
                <w:szCs w:val="20"/>
              </w:rPr>
              <w:t>5</w:t>
            </w:r>
          </w:p>
        </w:tc>
        <w:tc>
          <w:tcPr>
            <w:tcW w:w="1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velika</w:t>
            </w:r>
          </w:p>
        </w:tc>
        <w:tc>
          <w:tcPr>
            <w:tcW w:w="18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&gt; 98 %</w:t>
            </w:r>
          </w:p>
        </w:tc>
        <w:tc>
          <w:tcPr>
            <w:tcW w:w="25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godišnje ili češće</w:t>
            </w:r>
          </w:p>
        </w:tc>
        <w:tc>
          <w:tcPr>
            <w:tcW w:w="141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r>
          </w:p>
        </w:tc>
      </w:tr>
    </w:tbl>
    <w:p>
      <w:pPr>
        <w:pStyle w:val="Normal"/>
        <w:rPr>
          <w:highlight w:val="yellow"/>
        </w:rPr>
      </w:pPr>
      <w:r>
        <w:rPr>
          <w:highlight w:val="yellow"/>
        </w:rPr>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34" w:name="_Toc498599780"/>
      <w:bookmarkStart w:id="135" w:name="_Toc503777228"/>
      <w:bookmarkStart w:id="136" w:name="_Toc99955691"/>
      <w:bookmarkStart w:id="137" w:name="_Toc116990139"/>
      <w:r>
        <w:rPr>
          <w:rFonts w:cs="Times New Roman" w:cstheme="majorBidi"/>
          <w:color w:val="54883D"/>
          <w:sz w:val="28"/>
          <w:lang w:bidi="en-US"/>
        </w:rPr>
        <w:t>6.1.7 Podaci, izvori i metode proračuna</w:t>
      </w:r>
      <w:bookmarkEnd w:id="134"/>
      <w:bookmarkEnd w:id="135"/>
      <w:bookmarkEnd w:id="136"/>
      <w:bookmarkEnd w:id="137"/>
    </w:p>
    <w:p>
      <w:pPr>
        <w:pStyle w:val="Normal"/>
        <w:rPr/>
      </w:pPr>
      <w:r>
        <w:rPr/>
        <w:t>Prilikom izračuna zona ugroženosti i procjene rizika korišteni su podaci iz:</w:t>
      </w:r>
    </w:p>
    <w:p>
      <w:pPr>
        <w:pStyle w:val="Normal"/>
        <w:numPr>
          <w:ilvl w:val="0"/>
          <w:numId w:val="5"/>
        </w:numPr>
        <w:spacing w:before="120" w:after="120"/>
        <w:contextualSpacing/>
        <w:rPr>
          <w:color w:val="auto"/>
        </w:rPr>
      </w:pPr>
      <w:r>
        <w:rPr>
          <w:color w:val="auto"/>
        </w:rPr>
        <w:t>Procjene ugroženosti stanovništva, materijalnih i kulturnih dobara te okoliša za područje Grada Buja, 2015. godine</w:t>
      </w:r>
    </w:p>
    <w:p>
      <w:pPr>
        <w:pStyle w:val="Normal"/>
        <w:numPr>
          <w:ilvl w:val="0"/>
          <w:numId w:val="5"/>
        </w:numPr>
        <w:spacing w:before="120" w:after="120"/>
        <w:contextualSpacing/>
        <w:rPr>
          <w:color w:val="auto"/>
        </w:rPr>
      </w:pPr>
      <w:r>
        <w:rPr>
          <w:color w:val="auto"/>
        </w:rPr>
        <w:t>Grad Buje</w:t>
      </w:r>
    </w:p>
    <w:p>
      <w:pPr>
        <w:pStyle w:val="Normal"/>
        <w:numPr>
          <w:ilvl w:val="0"/>
          <w:numId w:val="5"/>
        </w:numPr>
        <w:spacing w:before="120" w:after="120"/>
        <w:contextualSpacing/>
        <w:rPr>
          <w:color w:val="auto"/>
        </w:rPr>
      </w:pPr>
      <w:r>
        <w:rPr>
          <w:color w:val="auto"/>
        </w:rPr>
        <w:t>Procjena ugroženosti od požara za Grad Buje - Buie (2016.);</w:t>
      </w:r>
    </w:p>
    <w:p>
      <w:pPr>
        <w:pStyle w:val="Normal"/>
        <w:numPr>
          <w:ilvl w:val="0"/>
          <w:numId w:val="5"/>
        </w:numPr>
        <w:spacing w:before="120" w:after="120"/>
        <w:contextualSpacing/>
        <w:rPr>
          <w:color w:val="auto"/>
        </w:rPr>
      </w:pPr>
      <w:r>
        <w:rPr>
          <w:color w:val="auto"/>
        </w:rPr>
        <w:t>Plan zaštite od požara za Grad Buje - Buie (2016.);</w:t>
      </w:r>
    </w:p>
    <w:p>
      <w:pPr>
        <w:pStyle w:val="Normal"/>
        <w:numPr>
          <w:ilvl w:val="0"/>
          <w:numId w:val="5"/>
        </w:numPr>
        <w:spacing w:before="120" w:after="120"/>
        <w:contextualSpacing/>
        <w:rPr>
          <w:color w:val="auto"/>
        </w:rPr>
      </w:pPr>
      <w:r>
        <w:rPr>
          <w:color w:val="auto"/>
        </w:rPr>
        <w:t>Procjena rizika od katastrofa za Republiku Hrvatsku</w:t>
      </w:r>
    </w:p>
    <w:p>
      <w:pPr>
        <w:pStyle w:val="Normal"/>
        <w:numPr>
          <w:ilvl w:val="0"/>
          <w:numId w:val="5"/>
        </w:numPr>
        <w:spacing w:before="120" w:after="120"/>
        <w:contextualSpacing/>
        <w:rPr>
          <w:color w:val="auto"/>
        </w:rPr>
      </w:pPr>
      <w:r>
        <w:rPr>
          <w:color w:val="auto"/>
        </w:rPr>
        <w:t>DHMZ</w:t>
      </w:r>
    </w:p>
    <w:p>
      <w:pPr>
        <w:pStyle w:val="Normal"/>
        <w:spacing w:before="0" w:after="200"/>
        <w:jc w:val="left"/>
        <w:rPr>
          <w:highlight w:val="yellow"/>
        </w:rPr>
      </w:pPr>
      <w:r>
        <w:rPr>
          <w:highlight w:val="yellow"/>
        </w:rPr>
      </w:r>
      <w:r>
        <w:br w:type="page"/>
      </w:r>
    </w:p>
    <w:p>
      <w:pPr>
        <w:pStyle w:val="Normal"/>
        <w:keepNext w:val="true"/>
        <w:keepLines/>
        <w:numPr>
          <w:ilvl w:val="0"/>
          <w:numId w:val="0"/>
        </w:numPr>
        <w:spacing w:before="40" w:after="160"/>
        <w:ind w:left="0" w:hanging="0"/>
        <w:outlineLvl w:val="2"/>
        <w:rPr>
          <w:rFonts w:cs="Times New Roman" w:cstheme="majorBidi"/>
          <w:color w:val="54883D"/>
          <w:sz w:val="28"/>
          <w:lang w:bidi="en-US"/>
        </w:rPr>
      </w:pPr>
      <w:bookmarkStart w:id="138" w:name="_Toc498599781"/>
      <w:bookmarkStart w:id="139" w:name="_Toc503777229"/>
      <w:bookmarkStart w:id="140" w:name="_Toc99955692"/>
      <w:bookmarkStart w:id="141" w:name="_Toc116990140"/>
      <w:r>
        <w:rPr>
          <w:rFonts w:cs="Times New Roman" w:cstheme="majorBidi"/>
          <w:color w:val="54883D"/>
          <w:sz w:val="28"/>
          <w:lang w:bidi="en-US"/>
        </w:rPr>
        <w:t>6.1.8 Matrice rizika</w:t>
      </w:r>
      <w:bookmarkEnd w:id="138"/>
      <w:bookmarkEnd w:id="139"/>
      <w:bookmarkEnd w:id="140"/>
      <w:bookmarkEnd w:id="141"/>
    </w:p>
    <w:p>
      <w:pPr>
        <w:pStyle w:val="Normal"/>
        <w:rPr>
          <w:lang w:eastAsia="hr-HR"/>
        </w:rPr>
      </w:pPr>
      <w:r>
        <w:rPr>
          <w:lang w:eastAsia="hr-HR"/>
        </w:rPr>
        <w:t>Rizik: Požari otvorenog tipa</w:t>
      </w:r>
    </w:p>
    <w:p>
      <w:pPr>
        <w:pStyle w:val="Normal"/>
        <w:rPr>
          <w:lang w:eastAsia="hr-HR"/>
        </w:rPr>
      </w:pPr>
      <w:r>
        <w:rPr>
          <w:lang w:eastAsia="hr-HR"/>
        </w:rPr>
        <w:t xml:space="preserve">Naziv scenarija: Požari na poljoprivrednim površinama na otvorenom prostoru </w:t>
      </w:r>
    </w:p>
    <w:p>
      <w:pPr>
        <w:pStyle w:val="Normal"/>
        <w:rPr/>
      </w:pPr>
      <w:r>
        <w:rPr/>
        <w:drawing>
          <wp:inline distT="0" distB="0" distL="0" distR="0">
            <wp:extent cx="5210175" cy="4443730"/>
            <wp:effectExtent l="0" t="0" r="0" b="0"/>
            <wp:docPr id="43" name="Picture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71" descr=""/>
                    <pic:cNvPicPr>
                      <a:picLocks noChangeAspect="1" noChangeArrowheads="1"/>
                    </pic:cNvPicPr>
                  </pic:nvPicPr>
                  <pic:blipFill>
                    <a:blip r:embed="rId41"/>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36" wp14:anchorId="13ACC8DA">
                <wp:simplePos x="0" y="0"/>
                <wp:positionH relativeFrom="column">
                  <wp:posOffset>2429510</wp:posOffset>
                </wp:positionH>
                <wp:positionV relativeFrom="paragraph">
                  <wp:posOffset>1818640</wp:posOffset>
                </wp:positionV>
                <wp:extent cx="315595" cy="254000"/>
                <wp:effectExtent l="19050" t="0" r="28575" b="13970"/>
                <wp:wrapNone/>
                <wp:docPr id="42" name="Hexagon 67"/>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type id="shapetype_9" coordsize="21600,21600" o:spt="9" adj="5400" path="m,10800l@1@6l@3@6l21600,10800l@3@7l@1@7xe">
                <v:stroke joinstyle="miter"/>
                <v:formulas>
                  <v:f eqn="val 10800"/>
                  <v:f eqn="val #0"/>
                  <v:f eqn="prod 1 24942 2"/>
                  <v:f eqn="sum width 0 @1"/>
                  <v:f eqn="sumangle 0 60 0"/>
                  <v:f eqn="sin @2 @4"/>
                  <v:f eqn="sum 10800 0 @5"/>
                  <v:f eqn="sum 10800 @5 0"/>
                  <v:f eqn="prod @0 -1 2"/>
                  <v:f eqn="sum @1 @8 0"/>
                  <v:f eqn="if @9 4 2"/>
                  <v:f eqn="if @9 3 2"/>
                  <v:f eqn="if @9 @8 0"/>
                  <v:f eqn="sum @1 @12 0"/>
                  <v:f eqn="prod 1 @13 @8"/>
                  <v:f eqn="prod @14 @11 -1"/>
                  <v:f eqn="sum @10 @15 0"/>
                  <v:f eqn="prod 2700 @16 3"/>
                  <v:f eqn="sum width 0 @17"/>
                  <v:f eqn="sum height 0 @17"/>
                </v:formulas>
                <v:path gradientshapeok="t" o:connecttype="rect" textboxrect="@17,@17,@18,@19"/>
                <v:handles>
                  <v:h position="@1,0"/>
                </v:handles>
              </v:shapetype>
              <v:shape id="shape_0" ID="Hexagon 67" fillcolor="#4f81bd" stroked="t" style="position:absolute;margin-left:191.3pt;margin-top:143.2pt;width:24.75pt;height:19.9pt" wp14:anchorId="13ACC8DA" type="shapetype_9">
                <w10:wrap type="none"/>
                <v:fill o:detectmouseclick="t" type="solid" color2="#b07e42"/>
                <v:stroke color="#4f81bd" weight="9360" joinstyle="miter" endcap="flat"/>
              </v:shape>
            </w:pict>
          </mc:Fallback>
        </mc:AlternateContent>
      </w:r>
    </w:p>
    <w:p>
      <w:pPr>
        <w:pStyle w:val="Normal"/>
        <w:rPr>
          <w:b/>
          <w:b/>
          <w:sz w:val="20"/>
        </w:rPr>
      </w:pPr>
      <w:r>
        <w:rPr>
          <w:b/>
          <w:sz w:val="20"/>
        </w:rPr>
        <w:t xml:space="preserve">           </w:t>
      </w:r>
      <w:r>
        <w:rPr>
          <w:b/>
          <w:sz w:val="20"/>
        </w:rPr>
        <w:t>Život i zdravlje ljudi</w:t>
        <w:tab/>
        <w:tab/>
        <w:t xml:space="preserve">       Gospodarstvo</w:t>
        <w:tab/>
        <w:t xml:space="preserve">          Društvena stabilnost i politika</w:t>
      </w:r>
    </w:p>
    <w:p>
      <w:pPr>
        <w:pStyle w:val="Normal"/>
        <w:rPr/>
      </w:pPr>
      <w:r>
        <mc:AlternateContent>
          <mc:Choice Requires="wps">
            <w:drawing>
              <wp:anchor behindDoc="0" distT="0" distB="0" distL="0" distR="0" simplePos="0" locked="0" layoutInCell="1" allowOverlap="1" relativeHeight="35" wp14:anchorId="1FF8F75C">
                <wp:simplePos x="0" y="0"/>
                <wp:positionH relativeFrom="column">
                  <wp:posOffset>851535</wp:posOffset>
                </wp:positionH>
                <wp:positionV relativeFrom="paragraph">
                  <wp:posOffset>501650</wp:posOffset>
                </wp:positionV>
                <wp:extent cx="112395" cy="92075"/>
                <wp:effectExtent l="19050" t="0" r="41275" b="23495"/>
                <wp:wrapNone/>
                <wp:docPr id="44" name="Hexagon 70"/>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70" fillcolor="#4f81bd" stroked="t" style="position:absolute;margin-left:67.05pt;margin-top:39.5pt;width:8.75pt;height:7.15pt" wp14:anchorId="1FF8F75C"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37" wp14:anchorId="16418AC1">
                <wp:simplePos x="0" y="0"/>
                <wp:positionH relativeFrom="margin">
                  <wp:align>center</wp:align>
                </wp:positionH>
                <wp:positionV relativeFrom="paragraph">
                  <wp:posOffset>873125</wp:posOffset>
                </wp:positionV>
                <wp:extent cx="112395" cy="92075"/>
                <wp:effectExtent l="19050" t="0" r="41275" b="23495"/>
                <wp:wrapNone/>
                <wp:docPr id="45" name="Hexagon 69"/>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69" fillcolor="#4f81bd" stroked="t" style="position:absolute;margin-left:222.35pt;margin-top:68.75pt;width:8.75pt;height:7.15pt;mso-position-horizontal:center;mso-position-horizontal-relative:margin" wp14:anchorId="16418AC1"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38" wp14:anchorId="7833BB09">
                <wp:simplePos x="0" y="0"/>
                <wp:positionH relativeFrom="column">
                  <wp:posOffset>4754245</wp:posOffset>
                </wp:positionH>
                <wp:positionV relativeFrom="paragraph">
                  <wp:posOffset>862965</wp:posOffset>
                </wp:positionV>
                <wp:extent cx="112395" cy="92075"/>
                <wp:effectExtent l="19050" t="0" r="41275" b="23495"/>
                <wp:wrapNone/>
                <wp:docPr id="46" name="Hexagon 68"/>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68" fillcolor="#4f81bd" stroked="t" style="position:absolute;margin-left:374.35pt;margin-top:67.95pt;width:8.75pt;height:7.15pt" wp14:anchorId="7833BB09"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47" name="Picture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72" descr=""/>
                    <pic:cNvPicPr>
                      <a:picLocks noChangeAspect="1" noChangeArrowheads="1"/>
                    </pic:cNvPicPr>
                  </pic:nvPicPr>
                  <pic:blipFill>
                    <a:blip r:embed="rId42"/>
                    <a:stretch>
                      <a:fillRect/>
                    </a:stretch>
                  </pic:blipFill>
                  <pic:spPr bwMode="auto">
                    <a:xfrm>
                      <a:off x="0" y="0"/>
                      <a:ext cx="1828800" cy="1554480"/>
                    </a:xfrm>
                    <a:prstGeom prst="rect">
                      <a:avLst/>
                    </a:prstGeom>
                  </pic:spPr>
                </pic:pic>
              </a:graphicData>
            </a:graphic>
          </wp:inline>
        </w:drawing>
      </w:r>
      <w:r>
        <w:rPr/>
        <w:t xml:space="preserve">  </w:t>
      </w:r>
      <w:r>
        <w:rPr/>
        <w:drawing>
          <wp:inline distT="0" distB="0" distL="0" distR="0">
            <wp:extent cx="1905000" cy="1619250"/>
            <wp:effectExtent l="0" t="0" r="0" b="0"/>
            <wp:docPr id="48" name="Picture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73" descr=""/>
                    <pic:cNvPicPr>
                      <a:picLocks noChangeAspect="1" noChangeArrowheads="1"/>
                    </pic:cNvPicPr>
                  </pic:nvPicPr>
                  <pic:blipFill>
                    <a:blip r:embed="rId43"/>
                    <a:stretch>
                      <a:fillRect/>
                    </a:stretch>
                  </pic:blipFill>
                  <pic:spPr bwMode="auto">
                    <a:xfrm>
                      <a:off x="0" y="0"/>
                      <a:ext cx="1905000" cy="1619250"/>
                    </a:xfrm>
                    <a:prstGeom prst="rect">
                      <a:avLst/>
                    </a:prstGeom>
                  </pic:spPr>
                </pic:pic>
              </a:graphicData>
            </a:graphic>
          </wp:inline>
        </w:drawing>
      </w:r>
      <w:r>
        <w:rPr/>
        <w:t xml:space="preserve">  </w:t>
      </w:r>
      <w:r>
        <w:rPr/>
        <w:drawing>
          <wp:inline distT="0" distB="0" distL="0" distR="0">
            <wp:extent cx="1906270" cy="1620520"/>
            <wp:effectExtent l="0" t="0" r="0" b="0"/>
            <wp:docPr id="49" name="Picture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74" descr=""/>
                    <pic:cNvPicPr>
                      <a:picLocks noChangeAspect="1" noChangeArrowheads="1"/>
                    </pic:cNvPicPr>
                  </pic:nvPicPr>
                  <pic:blipFill>
                    <a:blip r:embed="rId44"/>
                    <a:stretch>
                      <a:fillRect/>
                    </a:stretch>
                  </pic:blipFill>
                  <pic:spPr bwMode="auto">
                    <a:xfrm>
                      <a:off x="0" y="0"/>
                      <a:ext cx="1906270" cy="1620520"/>
                    </a:xfrm>
                    <a:prstGeom prst="rect">
                      <a:avLst/>
                    </a:prstGeom>
                  </pic:spPr>
                </pic:pic>
              </a:graphicData>
            </a:graphic>
          </wp:inline>
        </w:drawing>
      </w:r>
    </w:p>
    <w:p>
      <w:pPr>
        <w:pStyle w:val="Normal"/>
        <w:rPr/>
      </w:pPr>
      <w:r>
        <w:rPr/>
      </w:r>
    </w:p>
    <w:p>
      <w:pPr>
        <w:pStyle w:val="Normal"/>
        <w:rPr/>
      </w:pPr>
      <w:r>
        <w:rPr/>
      </w:r>
    </w:p>
    <w:p>
      <w:pPr>
        <w:pStyle w:val="Normal"/>
        <w:rPr>
          <w:highlight w:val="yellow"/>
        </w:rPr>
      </w:pPr>
      <w:r>
        <w:rPr>
          <w:highlight w:val="yellow"/>
        </w:rPr>
      </w:r>
    </w:p>
    <w:p>
      <w:pPr>
        <w:pStyle w:val="Normal"/>
        <w:rPr/>
      </w:pPr>
      <w:r>
        <w:rPr/>
      </w:r>
    </w:p>
    <w:p>
      <w:pPr>
        <w:pStyle w:val="Normal"/>
        <w:rPr/>
      </w:pPr>
      <w:r>
        <w:rPr/>
      </w:r>
    </w:p>
    <w:p>
      <w:pPr>
        <w:pStyle w:val="Stilnaslova2"/>
        <w:numPr>
          <w:ilvl w:val="1"/>
          <w:numId w:val="2"/>
        </w:numPr>
        <w:rPr/>
      </w:pPr>
      <w:bookmarkStart w:id="142" w:name="_Toc99955693"/>
      <w:bookmarkStart w:id="143" w:name="_Toc116990141"/>
      <w:r>
        <w:rPr/>
        <w:t>Epidemija i pandemija</w:t>
      </w:r>
      <w:bookmarkEnd w:id="142"/>
      <w:bookmarkEnd w:id="143"/>
    </w:p>
    <w:p>
      <w:pPr>
        <w:pStyle w:val="Normal"/>
        <w:rPr/>
      </w:pPr>
      <w:r>
        <w:rPr/>
      </w:r>
    </w:p>
    <w:p>
      <w:pPr>
        <w:pStyle w:val="Stilnaslova3"/>
        <w:numPr>
          <w:ilvl w:val="2"/>
          <w:numId w:val="2"/>
        </w:numPr>
        <w:ind w:left="709" w:hanging="721"/>
        <w:rPr/>
      </w:pPr>
      <w:bookmarkStart w:id="144" w:name="_Toc99955694"/>
      <w:bookmarkStart w:id="145" w:name="_Toc116990142"/>
      <w:r>
        <w:rPr/>
        <w:t>Naziv scenarija</w:t>
      </w:r>
      <w:bookmarkEnd w:id="144"/>
      <w:bookmarkEnd w:id="145"/>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rPr>
              <w:t>Pandemija uzrokovana novim koronavirusom (SARS-CoV-2)</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szCs w:val="20"/>
              </w:rPr>
            </w:pPr>
            <w:r>
              <w:rPr>
                <w:color w:val="76923C" w:themeColor="accent3" w:themeShade="bf"/>
                <w:szCs w:val="20"/>
              </w:rPr>
              <w:t>Epidemije i pandemije</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szCs w:val="20"/>
              </w:rPr>
            </w:pPr>
            <w:r>
              <w:rPr>
                <w:color w:val="76923C" w:themeColor="accent3" w:themeShade="bf"/>
                <w:szCs w:val="20"/>
              </w:rPr>
              <w:t>Epidemije i pandemije</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szCs w:val="20"/>
              </w:rPr>
            </w:pPr>
            <w:r>
              <w:rPr>
                <w:bCs/>
                <w:color w:val="auto" w:themeColor="accent3" w:themeShade="bf"/>
                <w:szCs w:val="20"/>
              </w:rPr>
              <w:t>Elvis Glavičić, voditelj</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Denis Stipanov, član</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Pr>
                <w:bCs/>
                <w:color w:val="auto" w:themeColor="accent3" w:themeShade="bf"/>
                <w:szCs w:val="20"/>
              </w:rPr>
              <w:t>Davor Lakošeljac, član</w:t>
            </w:r>
            <w:bookmarkStart w:id="146" w:name="_Hlk65153398"/>
            <w:bookmarkEnd w:id="146"/>
          </w:p>
        </w:tc>
      </w:tr>
    </w:tbl>
    <w:p>
      <w:pPr>
        <w:pStyle w:val="Normal"/>
        <w:rPr/>
      </w:pPr>
      <w:r>
        <w:rPr/>
      </w:r>
    </w:p>
    <w:p>
      <w:pPr>
        <w:pStyle w:val="Normal"/>
        <w:keepNext w:val="true"/>
        <w:keepLines/>
        <w:numPr>
          <w:ilvl w:val="0"/>
          <w:numId w:val="0"/>
        </w:numPr>
        <w:tabs>
          <w:tab w:val="clear" w:pos="708"/>
          <w:tab w:val="left" w:pos="0" w:leader="none"/>
        </w:tabs>
        <w:spacing w:before="40" w:after="160"/>
        <w:ind w:left="0" w:hanging="0"/>
        <w:outlineLvl w:val="2"/>
        <w:rPr>
          <w:rFonts w:cs="Times New Roman" w:cstheme="majorBidi"/>
          <w:color w:val="54883D"/>
          <w:sz w:val="28"/>
          <w:lang w:bidi="en-US"/>
        </w:rPr>
      </w:pPr>
      <w:bookmarkStart w:id="147" w:name="_Toc66302893"/>
      <w:bookmarkStart w:id="148" w:name="_Toc99955695"/>
      <w:bookmarkStart w:id="149" w:name="_Toc116990143"/>
      <w:r>
        <w:rPr>
          <w:rFonts w:cs="Times New Roman" w:cstheme="majorBidi"/>
          <w:color w:val="54883D"/>
          <w:sz w:val="28"/>
          <w:lang w:bidi="en-US"/>
        </w:rPr>
        <w:t>6.3.2 Uvod</w:t>
      </w:r>
      <w:bookmarkEnd w:id="147"/>
      <w:bookmarkEnd w:id="148"/>
      <w:bookmarkEnd w:id="149"/>
    </w:p>
    <w:p>
      <w:pPr>
        <w:pStyle w:val="Normal"/>
        <w:rPr>
          <w:lang w:eastAsia="hr-HR" w:bidi="my-MM"/>
        </w:rPr>
      </w:pPr>
      <w:r>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 virusom.</w:t>
      </w:r>
    </w:p>
    <w:p>
      <w:pPr>
        <w:pStyle w:val="Normal"/>
        <w:rPr/>
      </w:pPr>
      <w:r>
        <w:rPr/>
        <w:t>Koronavirusi su virusi koji cirkuliraju među životinjama no neki od njih mogu prijeći na ljude. Nakon što prijeđu sa životinja na čovjeka mogu se prenositi među ljudima.</w:t>
      </w:r>
    </w:p>
    <w:p>
      <w:pPr>
        <w:pStyle w:val="Normal"/>
        <w:rPr/>
      </w:pPr>
      <w:r>
        <w:rPr/>
        <w:t>Šišmiši se smatraju prirodnim domaćinima ovih virusa, no velik broj životinja može biti nositelji koronavirusa. Na primjer, koronavirus bliskoistočnog respiratornog sindroma (MERS-CoV) prenose deve dok SARS-CoV-1  cibetke, životinje iz reda zvijeri srodnih mačkama.</w:t>
      </w:r>
    </w:p>
    <w:p>
      <w:pPr>
        <w:pStyle w:val="Normal"/>
        <w:rPr>
          <w:lang w:eastAsia="hr-HR" w:bidi="en-US"/>
        </w:rPr>
      </w:pPr>
      <w:r>
        <w:rPr>
          <w:lang w:eastAsia="hr-HR" w:bidi="en-US"/>
        </w:rPr>
      </w:r>
    </w:p>
    <w:p>
      <w:pPr>
        <w:pStyle w:val="Normal"/>
        <w:keepNext w:val="true"/>
        <w:keepLines/>
        <w:numPr>
          <w:ilvl w:val="0"/>
          <w:numId w:val="0"/>
        </w:numPr>
        <w:spacing w:before="40" w:after="160"/>
        <w:ind w:left="0" w:hanging="0"/>
        <w:outlineLvl w:val="2"/>
        <w:rPr>
          <w:rFonts w:cs="Times New Roman" w:cstheme="majorBidi"/>
          <w:color w:val="54883D"/>
          <w:sz w:val="28"/>
          <w:lang w:eastAsia="hr-HR" w:bidi="en-US"/>
        </w:rPr>
      </w:pPr>
      <w:bookmarkStart w:id="150" w:name="_Toc536691727"/>
      <w:bookmarkStart w:id="151" w:name="_Toc66302894"/>
      <w:bookmarkStart w:id="152" w:name="_Toc99955696"/>
      <w:bookmarkStart w:id="153" w:name="_Toc116990144"/>
      <w:r>
        <w:rPr>
          <w:rFonts w:cs="Times New Roman" w:cstheme="majorBidi"/>
          <w:color w:val="54883D"/>
          <w:sz w:val="28"/>
          <w:lang w:eastAsia="hr-HR" w:bidi="en-US"/>
        </w:rPr>
        <w:t>6.3.3 Prikaz utjecaja na kritičnu infrastrukturu</w:t>
      </w:r>
      <w:bookmarkEnd w:id="150"/>
      <w:bookmarkEnd w:id="151"/>
      <w:bookmarkEnd w:id="152"/>
      <w:bookmarkEnd w:id="153"/>
    </w:p>
    <w:tbl>
      <w:tblPr>
        <w:tblStyle w:val="ivopisnatablicareetke6-isticanje36"/>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blHeader w:val="true"/>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rPr>
            </w:pPr>
            <w:r>
              <w:rPr>
                <w:b/>
                <w:bCs/>
                <w:color w:val="76923C" w:themeColor="accent3" w:themeShade="bf"/>
                <w:sz w:val="20"/>
              </w:rPr>
              <w:t>UTJECAJ</w:t>
            </w:r>
          </w:p>
        </w:tc>
        <w:tc>
          <w:tcPr>
            <w:tcW w:w="82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t>x</w:t>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Proizvodnja, skladištenje i 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t>x</w:t>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rPr>
            </w:pPr>
            <w:r>
              <w:rPr>
                <w:b/>
                <w:bCs/>
                <w:color w:val="76923C" w:themeColor="accent3" w:themeShade="bf"/>
                <w:sz w:val="20"/>
              </w:rPr>
            </w:r>
          </w:p>
        </w:tc>
        <w:tc>
          <w:tcPr>
            <w:tcW w:w="829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lang w:bidi="en-US"/>
        </w:rPr>
      </w:pPr>
      <w:r>
        <w:rPr>
          <w:lang w:bidi="en-US"/>
        </w:rPr>
      </w:r>
    </w:p>
    <w:p>
      <w:pPr>
        <w:pStyle w:val="Normal"/>
        <w:keepNext w:val="true"/>
        <w:keepLines/>
        <w:numPr>
          <w:ilvl w:val="0"/>
          <w:numId w:val="0"/>
        </w:numPr>
        <w:spacing w:before="40" w:after="160"/>
        <w:ind w:left="0" w:hanging="0"/>
        <w:outlineLvl w:val="2"/>
        <w:rPr>
          <w:rFonts w:cs="Times New Roman" w:cstheme="majorBidi"/>
          <w:color w:val="54883D"/>
          <w:sz w:val="28"/>
          <w:lang w:eastAsia="hr-HR" w:bidi="en-US"/>
        </w:rPr>
      </w:pPr>
      <w:bookmarkStart w:id="154" w:name="_Toc536691728"/>
      <w:bookmarkStart w:id="155" w:name="_Toc66302895"/>
      <w:bookmarkStart w:id="156" w:name="_Toc99955697"/>
      <w:bookmarkStart w:id="157" w:name="_Toc116990145"/>
      <w:r>
        <w:rPr>
          <w:rFonts w:cs="Times New Roman" w:cstheme="majorBidi"/>
          <w:color w:val="54883D"/>
          <w:sz w:val="28"/>
          <w:lang w:eastAsia="hr-HR" w:bidi="en-US"/>
        </w:rPr>
        <w:t>6.3.4 Kontekst</w:t>
      </w:r>
      <w:bookmarkEnd w:id="154"/>
      <w:bookmarkEnd w:id="155"/>
      <w:bookmarkEnd w:id="156"/>
      <w:bookmarkEnd w:id="157"/>
    </w:p>
    <w:p>
      <w:pPr>
        <w:pStyle w:val="Normal"/>
        <w:rPr>
          <w:color w:val="000000"/>
          <w:lang w:bidi="en-US"/>
        </w:rPr>
      </w:pPr>
      <w:r>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pPr>
        <w:pStyle w:val="Normal"/>
        <w:rPr>
          <w:color w:val="000000"/>
          <w:lang w:bidi="en-US"/>
        </w:rPr>
      </w:pPr>
      <w:r>
        <w:rPr>
          <w:color w:val="000000"/>
          <w:lang w:bidi="en-US"/>
        </w:rPr>
        <w:t>Bolest je karakterizirana povišenom tjelesnom temperaturom i kašljem, a u težim slučajevima može se razviti upala pluća s otežanim disanjem i nedostatkom zraka.</w:t>
      </w:r>
    </w:p>
    <w:p>
      <w:pPr>
        <w:pStyle w:val="Normal"/>
        <w:rPr>
          <w:color w:val="auto"/>
          <w:u w:val="single"/>
          <w:lang w:bidi="en-US"/>
        </w:rPr>
      </w:pPr>
      <w:r>
        <w:rPr>
          <w:color w:val="auto"/>
          <w:u w:val="single"/>
          <w:lang w:bidi="en-US"/>
        </w:rPr>
        <w:t>Put prijenosa koronavirusa SARS-CoV-2</w:t>
      </w:r>
    </w:p>
    <w:p>
      <w:pPr>
        <w:pStyle w:val="Normal"/>
        <w:rPr>
          <w:color w:val="000000"/>
          <w:lang w:bidi="en-US"/>
        </w:rPr>
      </w:pPr>
      <w:r>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pPr>
        <w:pStyle w:val="Normal"/>
        <w:spacing w:before="80" w:after="0"/>
        <w:rPr>
          <w:color w:val="000000"/>
          <w:lang w:bidi="en-US"/>
        </w:rPr>
      </w:pPr>
      <w:r>
        <w:rPr>
          <w:color w:val="000000"/>
          <w:lang w:bidi="en-US"/>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pPr>
        <w:pStyle w:val="Normal"/>
        <w:spacing w:before="80" w:after="0"/>
        <w:rPr>
          <w:color w:val="000000"/>
          <w:lang w:bidi="en-US"/>
        </w:rPr>
      </w:pPr>
      <w:r>
        <w:rPr>
          <w:color w:val="000000"/>
          <w:lang w:bidi="en-US"/>
        </w:rPr>
        <w:t xml:space="preserve">Trenutno se procjenjuje da je vrijeme inkubacije (vrijeme između izlaganja virusu i pojave simptoma) između 2 i 14 dana, s medijanom 5-6 dana. Za sada postoje ograničena saznanja o punom spektru kliničke slike oboljelih, iako su najčešće zabilježeni simptomi povišena tjelesna temperatura, kašalj, otežano disanje, bolovi u mišićima, gubitak mirisa ili okusa, te umor i opća slabost. Teža klinička slika i potreba intenzivnog liječenja češća je u osoba starije životne dobe, kao i u onih osoba koje imaju komorbiditete. Trenutno je poznato da se virus prenosi kada oboljeli ima simptome koji sliče simptomima gripe te je osoba najzaraznija kad ima izražene simptome bolesti. Postoje naznake da neki ljudi mogu prenijeti virus neposredno prije nego se oni pojave. </w:t>
      </w:r>
    </w:p>
    <w:p>
      <w:pPr>
        <w:pStyle w:val="Normal"/>
        <w:spacing w:before="80" w:after="0"/>
        <w:rPr>
          <w:color w:val="000000"/>
          <w:lang w:bidi="en-US"/>
        </w:rPr>
      </w:pPr>
      <w:r>
        <w:rPr>
          <w:color w:val="000000"/>
          <w:lang w:bidi="en-US"/>
        </w:rPr>
        <w:t>Sustavna provedba mjera za prevenciju i kontrolu pokazala se učinkovitom u suzbijanju SARS-CoV i MERS-CoV virusa.</w:t>
      </w:r>
    </w:p>
    <w:p>
      <w:pPr>
        <w:pStyle w:val="Normal"/>
        <w:spacing w:before="80" w:after="0"/>
        <w:rPr>
          <w:color w:val="000000"/>
          <w:u w:val="single"/>
          <w:lang w:bidi="en-US"/>
        </w:rPr>
      </w:pPr>
      <w:r>
        <w:rPr>
          <w:color w:val="000000"/>
          <w:u w:val="single"/>
          <w:lang w:bidi="en-US"/>
        </w:rPr>
      </w:r>
    </w:p>
    <w:p>
      <w:pPr>
        <w:pStyle w:val="Normal"/>
        <w:spacing w:before="80" w:after="0"/>
        <w:rPr>
          <w:color w:val="auto"/>
          <w:u w:val="single"/>
          <w:lang w:bidi="en-US"/>
        </w:rPr>
      </w:pPr>
      <w:r>
        <w:rPr>
          <w:color w:val="auto"/>
          <w:u w:val="single"/>
          <w:lang w:bidi="en-US"/>
        </w:rPr>
        <w:t>Usporedba koronavirusa SARS-CoV-2 sa SARS-om ili sezonskom gripom</w:t>
      </w:r>
    </w:p>
    <w:p>
      <w:pPr>
        <w:pStyle w:val="Normal"/>
        <w:rPr>
          <w:color w:val="000000"/>
          <w:lang w:bidi="en-US"/>
        </w:rPr>
      </w:pPr>
      <w:r>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pPr>
        <w:pStyle w:val="Normal"/>
        <w:spacing w:before="120" w:after="120"/>
        <w:rPr>
          <w:color w:val="000000"/>
          <w:lang w:bidi="en-US"/>
        </w:rPr>
      </w:pPr>
      <w:r>
        <w:rPr>
          <w:color w:val="000000"/>
          <w:lang w:bidi="en-US"/>
        </w:rPr>
        <w:t>Iako se SARS-CoV-2 i virus gripe prenose s osobe na osobu i mogu imati slične simptome, ta dva virusa su vrlo različita i ponašaju se drugačije. Virus sezonske gripe poznat je desetljećima, javlja se sezonski u umjerenim klimatskim područjima, te postoji provjereno cjepivo protiv njega kao i specifični antivirusni lijekovi. S druge strane, SARS-CoV-2 je potpuno novi virus zbog čega je prisutna opća osjetljivost stanovništva, a zbog još uvijek puno nepoznanica o njemu, teško je predvidjeti intenzitet njegovog širenja. Za razliku od virusa gripe, nema specifičnih lijekova protiv SARS-CoV-2.</w:t>
      </w:r>
    </w:p>
    <w:p>
      <w:pPr>
        <w:pStyle w:val="Normal"/>
        <w:rPr>
          <w:color w:val="000000"/>
          <w:lang w:bidi="en-US"/>
        </w:rPr>
      </w:pPr>
      <w:r>
        <w:rPr>
          <w:color w:val="000000"/>
          <w:lang w:bidi="en-US"/>
        </w:rPr>
        <w:t>Prema dosadašnjim analizama slučajeva, infekcija COVID-19 u oko 80% slučajeva uzrokuje blagu bolest (bez pneumonije ili blagu upalu pluća) i većina oboljelih se oporavlja, 14% ima težu bolest, a 6% ima teški oblik bolesti.</w:t>
      </w:r>
    </w:p>
    <w:p>
      <w:pPr>
        <w:pStyle w:val="Normal"/>
        <w:rPr>
          <w:color w:val="000000"/>
          <w:lang w:bidi="en-US"/>
        </w:rPr>
      </w:pPr>
      <w:r>
        <w:rPr>
          <w:color w:val="000000"/>
          <w:lang w:bidi="en-US"/>
        </w:rPr>
        <w:t>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p>
      <w:pPr>
        <w:pStyle w:val="Normal"/>
        <w:rPr>
          <w:color w:val="000000"/>
          <w:lang w:bidi="en-US"/>
        </w:rPr>
      </w:pPr>
      <w:r>
        <w:rPr>
          <w:color w:val="000000"/>
          <w:lang w:bidi="en-US"/>
        </w:rPr>
      </w:r>
    </w:p>
    <w:p>
      <w:pPr>
        <w:pStyle w:val="Normal"/>
        <w:rPr>
          <w:color w:val="auto"/>
          <w:u w:val="single"/>
          <w:lang w:bidi="en-US"/>
        </w:rPr>
      </w:pPr>
      <w:r>
        <w:rPr>
          <w:color w:val="auto"/>
          <w:u w:val="single"/>
          <w:lang w:bidi="en-US"/>
        </w:rPr>
        <w:t xml:space="preserve">Podaci o broju zaraženih i umrlih osoba </w:t>
      </w:r>
    </w:p>
    <w:p>
      <w:pPr>
        <w:pStyle w:val="Normal"/>
        <w:spacing w:before="80" w:after="0"/>
        <w:rPr>
          <w:color w:val="000000"/>
          <w:lang w:bidi="en-US"/>
        </w:rPr>
      </w:pPr>
      <w:r>
        <w:rPr>
          <w:color w:val="000000"/>
          <w:lang w:bidi="en-US"/>
        </w:rPr>
        <w:t>Najnoviji podaci o broju oboljelih i umrlih (na dan 04.04.2022.)</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Laboratorijski potvrđenih oboljelih od COVID-19 bolesti u svijetu (izvor ECDC): 491.143.690</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Broj umrlih u svijetu (izvor ECDC): 6.174.887</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Broj oboljelih u Europi (EU/EEA i UK  – izvor ECDC): 195.101.385</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Broj umrlih u Europi (EU/EEA i UK) : 1.910.086</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Broj oboljelih u Hrvatskoj: 1.102.730</w:t>
      </w:r>
    </w:p>
    <w:p>
      <w:pPr>
        <w:pStyle w:val="Normal"/>
        <w:numPr>
          <w:ilvl w:val="0"/>
          <w:numId w:val="23"/>
        </w:numPr>
        <w:tabs>
          <w:tab w:val="clear" w:pos="708"/>
          <w:tab w:val="left" w:pos="448" w:leader="none"/>
          <w:tab w:val="left" w:pos="2445" w:leader="none"/>
        </w:tabs>
        <w:spacing w:before="72" w:after="72"/>
        <w:ind w:left="360" w:hanging="360"/>
        <w:contextualSpacing/>
        <w:rPr>
          <w:szCs w:val="22"/>
          <w:lang w:eastAsia="hr-HR" w:bidi="en-US"/>
        </w:rPr>
      </w:pPr>
      <w:r>
        <w:rPr>
          <w:szCs w:val="22"/>
          <w:lang w:eastAsia="hr-HR" w:bidi="en-US"/>
        </w:rPr>
        <w:t>Broj umrlih u Hrvatskoj: 15.601</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Slika 7. Geografska raspodjela 14-dnevnog kumulativnog broja prijavljenih slučajeva COVID-19 na 100 tisuća stanovnika širom svijeta </w:t>
      </w:r>
    </w:p>
    <w:p>
      <w:pPr>
        <w:pStyle w:val="Normal"/>
        <w:jc w:val="center"/>
        <w:rPr>
          <w:lang w:bidi="en-US"/>
        </w:rPr>
      </w:pPr>
      <w:r>
        <w:rPr/>
        <w:drawing>
          <wp:inline distT="0" distB="0" distL="0" distR="0">
            <wp:extent cx="5759450" cy="4132580"/>
            <wp:effectExtent l="0" t="0" r="0" b="0"/>
            <wp:docPr id="50"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5" descr=""/>
                    <pic:cNvPicPr>
                      <a:picLocks noChangeAspect="1" noChangeArrowheads="1"/>
                    </pic:cNvPicPr>
                  </pic:nvPicPr>
                  <pic:blipFill>
                    <a:blip r:embed="rId45"/>
                    <a:stretch>
                      <a:fillRect/>
                    </a:stretch>
                  </pic:blipFill>
                  <pic:spPr bwMode="auto">
                    <a:xfrm>
                      <a:off x="0" y="0"/>
                      <a:ext cx="5759450" cy="4132580"/>
                    </a:xfrm>
                    <a:prstGeom prst="rect">
                      <a:avLst/>
                    </a:prstGeom>
                  </pic:spPr>
                </pic:pic>
              </a:graphicData>
            </a:graphic>
          </wp:inline>
        </w:drawing>
      </w:r>
    </w:p>
    <w:p>
      <w:pPr>
        <w:pStyle w:val="Normal"/>
        <w:jc w:val="center"/>
        <w:rPr>
          <w:rFonts w:eastAsia="Calibri" w:eastAsiaTheme="minorHAnsi"/>
          <w:bCs/>
          <w:color w:val="54883D"/>
          <w:sz w:val="18"/>
          <w:szCs w:val="18"/>
          <w:lang w:bidi="en-US"/>
        </w:rPr>
      </w:pPr>
      <w:r>
        <w:rPr>
          <w:rFonts w:eastAsia="Calibri" w:eastAsiaTheme="minorHAnsi"/>
          <w:bCs/>
          <w:color w:val="54883D"/>
          <w:sz w:val="18"/>
          <w:szCs w:val="18"/>
          <w:lang w:bidi="en-US"/>
        </w:rPr>
        <w:t>Izvor:https://www.ecdc.europa.eu/en/geographical-distribution-2019-ncov-cases</w:t>
      </w:r>
    </w:p>
    <w:p>
      <w:pPr>
        <w:pStyle w:val="Normal"/>
        <w:jc w:val="center"/>
        <w:rPr>
          <w:rFonts w:eastAsia="Calibri" w:eastAsiaTheme="minorHAnsi"/>
          <w:bCs/>
          <w:color w:val="54883D"/>
          <w:sz w:val="18"/>
          <w:szCs w:val="18"/>
          <w:lang w:bidi="en-US"/>
        </w:rPr>
      </w:pPr>
      <w:r>
        <w:rPr>
          <w:rFonts w:eastAsia="Calibri" w:eastAsiaTheme="minorHAnsi"/>
          <w:bCs/>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Slika 8. Tjedni trend novozaraženih osoba u svijetu </w:t>
      </w:r>
    </w:p>
    <w:p>
      <w:pPr>
        <w:pStyle w:val="Normal"/>
        <w:jc w:val="center"/>
        <w:rPr>
          <w:color w:val="auto"/>
          <w:szCs w:val="22"/>
        </w:rPr>
      </w:pPr>
      <w:r>
        <w:rPr/>
        <w:drawing>
          <wp:inline distT="0" distB="0" distL="0" distR="0">
            <wp:extent cx="5759450" cy="2369820"/>
            <wp:effectExtent l="0" t="0" r="0" b="0"/>
            <wp:docPr id="51" name="Picture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6" descr=""/>
                    <pic:cNvPicPr>
                      <a:picLocks noChangeAspect="1" noChangeArrowheads="1"/>
                    </pic:cNvPicPr>
                  </pic:nvPicPr>
                  <pic:blipFill>
                    <a:blip r:embed="rId46"/>
                    <a:stretch>
                      <a:fillRect/>
                    </a:stretch>
                  </pic:blipFill>
                  <pic:spPr bwMode="auto">
                    <a:xfrm>
                      <a:off x="0" y="0"/>
                      <a:ext cx="5759450" cy="2369820"/>
                    </a:xfrm>
                    <a:prstGeom prst="rect">
                      <a:avLst/>
                    </a:prstGeom>
                  </pic:spPr>
                </pic:pic>
              </a:graphicData>
            </a:graphic>
          </wp:inline>
        </w:drawing>
      </w:r>
    </w:p>
    <w:p>
      <w:pPr>
        <w:pStyle w:val="Normal"/>
        <w:rPr>
          <w:color w:val="auto"/>
          <w:szCs w:val="22"/>
        </w:rPr>
      </w:pPr>
      <w:r>
        <w:rPr>
          <w:color w:val="auto"/>
          <w:szCs w:val="22"/>
        </w:rPr>
      </w:r>
    </w:p>
    <w:p>
      <w:pPr>
        <w:pStyle w:val="Normal"/>
        <w:rPr>
          <w:color w:val="auto"/>
          <w:szCs w:val="22"/>
        </w:rPr>
      </w:pPr>
      <w:r>
        <w:rPr>
          <w:color w:val="auto"/>
          <w:szCs w:val="22"/>
        </w:rPr>
      </w:r>
    </w:p>
    <w:p>
      <w:pPr>
        <w:pStyle w:val="Normal"/>
        <w:spacing w:before="0" w:after="0"/>
        <w:rPr>
          <w:color w:val="auto"/>
          <w:szCs w:val="22"/>
        </w:rPr>
      </w:pPr>
      <w:r>
        <w:rPr>
          <w:color w:val="auto"/>
          <w:szCs w:val="22"/>
        </w:rPr>
      </w:r>
    </w:p>
    <w:p>
      <w:pPr>
        <w:pStyle w:val="Normal"/>
        <w:spacing w:before="0" w:after="0"/>
        <w:rPr>
          <w:color w:val="auto"/>
          <w:szCs w:val="22"/>
        </w:rPr>
      </w:pPr>
      <w:r>
        <w:rPr>
          <w:color w:val="auto"/>
          <w:szCs w:val="22"/>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Slika 9. Tjedni trend preminulih osoba u svijetu</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drawing>
          <wp:inline distT="0" distB="0" distL="0" distR="0">
            <wp:extent cx="5759450" cy="2224405"/>
            <wp:effectExtent l="0" t="0" r="0" b="0"/>
            <wp:docPr id="52" name="Picture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7" descr=""/>
                    <pic:cNvPicPr>
                      <a:picLocks noChangeAspect="1" noChangeArrowheads="1"/>
                    </pic:cNvPicPr>
                  </pic:nvPicPr>
                  <pic:blipFill>
                    <a:blip r:embed="rId47"/>
                    <a:stretch>
                      <a:fillRect/>
                    </a:stretch>
                  </pic:blipFill>
                  <pic:spPr bwMode="auto">
                    <a:xfrm>
                      <a:off x="0" y="0"/>
                      <a:ext cx="5759450" cy="2224405"/>
                    </a:xfrm>
                    <a:prstGeom prst="rect">
                      <a:avLst/>
                    </a:prstGeom>
                  </pic:spPr>
                </pic:pic>
              </a:graphicData>
            </a:graphic>
          </wp:inline>
        </w:drawing>
      </w:r>
    </w:p>
    <w:p>
      <w:pPr>
        <w:pStyle w:val="Normal"/>
        <w:jc w:val="center"/>
        <w:rPr>
          <w:rFonts w:eastAsia="Calibri" w:eastAsiaTheme="minorHAnsi"/>
          <w:bCs/>
          <w:color w:val="54883D"/>
          <w:sz w:val="18"/>
          <w:szCs w:val="18"/>
          <w:lang w:bidi="en-US"/>
        </w:rPr>
      </w:pPr>
      <w:r>
        <w:rPr>
          <w:rFonts w:eastAsia="Calibri" w:eastAsiaTheme="minorHAnsi"/>
          <w:bCs/>
          <w:color w:val="54883D"/>
          <w:sz w:val="18"/>
          <w:szCs w:val="18"/>
          <w:lang w:bidi="en-US"/>
        </w:rPr>
        <w:t>Izvor:https://www.ecdc.europa.eu/en/geographical-distribution-2019-ncov-cases</w:t>
      </w:r>
    </w:p>
    <w:p>
      <w:pPr>
        <w:pStyle w:val="Normal"/>
        <w:rPr>
          <w:color w:val="000000"/>
          <w:lang w:bidi="en-US"/>
        </w:rPr>
      </w:pPr>
      <w:r>
        <w:rPr>
          <w:color w:val="000000"/>
          <w:lang w:bidi="en-US"/>
        </w:rPr>
      </w:r>
    </w:p>
    <w:p>
      <w:pPr>
        <w:pStyle w:val="Normal"/>
        <w:rPr>
          <w:color w:val="000000"/>
          <w:u w:val="single"/>
          <w:lang w:bidi="en-US"/>
        </w:rPr>
      </w:pPr>
      <w:r>
        <w:rPr>
          <w:color w:val="000000"/>
          <w:u w:val="single"/>
          <w:lang w:bidi="en-US"/>
        </w:rPr>
        <w:t>Cijepljenje:</w:t>
      </w:r>
    </w:p>
    <w:p>
      <w:pPr>
        <w:pStyle w:val="Normal"/>
        <w:rPr>
          <w:color w:val="000000"/>
          <w:lang w:bidi="en-US"/>
        </w:rPr>
      </w:pPr>
      <w:r>
        <w:rPr>
          <w:color w:val="000000"/>
          <w:lang w:bidi="en-US"/>
        </w:rPr>
        <w:t>Nakon što je 26. prosinca 2020. u Hrvatski zavod za javno zdravstvo stiglo prvih 9 750 doza cjepiva protiv bolesti COVID-19 tvrtke Pfizer-BioNTech u EU registrirano pod nazivom Comirnaty,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pPr>
        <w:pStyle w:val="Normal"/>
        <w:rPr>
          <w:color w:val="000000"/>
          <w:lang w:bidi="en-US"/>
        </w:rPr>
      </w:pPr>
      <w:r>
        <w:rPr>
          <w:color w:val="000000"/>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pPr>
        <w:pStyle w:val="Normal"/>
        <w:rPr>
          <w:color w:val="000000"/>
          <w:lang w:bidi="en-US"/>
        </w:rPr>
      </w:pPr>
      <w:r>
        <w:rPr>
          <w:color w:val="000000"/>
          <w:lang w:bidi="en-US"/>
        </w:rPr>
        <w:t xml:space="preserve">U tijeku pandemije uzorkovane novim koronavirusom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w:t>
      </w:r>
    </w:p>
    <w:p>
      <w:pPr>
        <w:pStyle w:val="Normal"/>
        <w:rPr>
          <w:color w:val="000000"/>
          <w:lang w:bidi="en-US"/>
        </w:rPr>
      </w:pPr>
      <w:r>
        <w:rPr>
          <w:color w:val="000000"/>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pPr>
        <w:pStyle w:val="Normal"/>
        <w:rPr>
          <w:color w:val="000000"/>
          <w:lang w:bidi="en-US"/>
        </w:rPr>
      </w:pPr>
      <w:r>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pPr>
        <w:pStyle w:val="Normal"/>
        <w:rPr>
          <w:rFonts w:cs="Calibri"/>
          <w:color w:val="auto"/>
          <w:szCs w:val="22"/>
        </w:rPr>
      </w:pPr>
      <w:r>
        <w:rPr>
          <w:rFonts w:cs="Calibri"/>
          <w:color w:val="auto"/>
          <w:szCs w:val="22"/>
        </w:rPr>
        <w:t>Zdravstveni sustav ima ključnu ulogu u epidemiološkom, kliničkom i virološkom praćenju COVID-19, na temelju kojeg donosi i provodi protuepidemijske mjere i liječenje kojima će se smanjiti rizik od širenja pandemijskog virusa te time smanjiti morbiditet i mortalitet.</w:t>
      </w:r>
    </w:p>
    <w:p>
      <w:pPr>
        <w:pStyle w:val="Normal"/>
        <w:rPr>
          <w:rFonts w:cs="Calibri"/>
          <w:color w:val="auto"/>
          <w:szCs w:val="22"/>
        </w:rPr>
      </w:pPr>
      <w:r>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pPr>
        <w:pStyle w:val="Normal"/>
        <w:spacing w:before="0" w:after="0"/>
        <w:rPr>
          <w:color w:val="auto"/>
          <w:szCs w:val="22"/>
          <w:u w:val="single"/>
        </w:rPr>
      </w:pPr>
      <w:r>
        <w:rPr>
          <w:color w:val="auto"/>
          <w:szCs w:val="22"/>
          <w:u w:val="single"/>
        </w:rPr>
      </w:r>
    </w:p>
    <w:p>
      <w:pPr>
        <w:pStyle w:val="Normal"/>
        <w:spacing w:before="0" w:after="0"/>
        <w:rPr>
          <w:color w:val="auto"/>
          <w:szCs w:val="22"/>
          <w:u w:val="single"/>
        </w:rPr>
      </w:pPr>
      <w:r>
        <w:rPr>
          <w:color w:val="auto"/>
          <w:szCs w:val="22"/>
          <w:u w:val="single"/>
        </w:rPr>
        <w:t>Ozbiljnost događaja pandemije kao i posljedični događaji uvelike ovise o pitanjima koje svaka pandemija postavlja:</w:t>
      </w:r>
    </w:p>
    <w:p>
      <w:pPr>
        <w:pStyle w:val="Normal"/>
        <w:spacing w:before="0" w:after="0"/>
        <w:rPr>
          <w:color w:val="auto"/>
          <w:szCs w:val="22"/>
          <w:u w:val="single"/>
        </w:rPr>
      </w:pPr>
      <w:r>
        <w:rPr>
          <w:color w:val="auto"/>
          <w:szCs w:val="22"/>
          <w:u w:val="single"/>
        </w:rPr>
      </w:r>
    </w:p>
    <w:p>
      <w:pPr>
        <w:pStyle w:val="Normal"/>
        <w:spacing w:lineRule="auto" w:line="240"/>
        <w:rPr>
          <w:color w:val="auto"/>
          <w:szCs w:val="22"/>
        </w:rPr>
      </w:pPr>
      <w:r>
        <w:rPr>
          <w:color w:val="auto"/>
          <w:szCs w:val="22"/>
        </w:rPr>
        <w:t>a) Koliko učestalo se pojavljuju novi slučajevi,</w:t>
      </w:r>
    </w:p>
    <w:p>
      <w:pPr>
        <w:pStyle w:val="Normal"/>
        <w:spacing w:lineRule="auto" w:line="240"/>
        <w:rPr>
          <w:color w:val="auto"/>
          <w:szCs w:val="22"/>
        </w:rPr>
      </w:pPr>
      <w:r>
        <w:rPr>
          <w:color w:val="auto"/>
          <w:szCs w:val="22"/>
        </w:rPr>
        <w:t>b) Koje grupe ljudi će teže i ozbiljnije oboljeti ili imaju veći rizik za umiranje,</w:t>
      </w:r>
    </w:p>
    <w:p>
      <w:pPr>
        <w:pStyle w:val="Normal"/>
        <w:spacing w:lineRule="auto" w:line="240"/>
        <w:rPr>
          <w:color w:val="auto"/>
          <w:szCs w:val="22"/>
        </w:rPr>
      </w:pPr>
      <w:r>
        <w:rPr>
          <w:color w:val="auto"/>
          <w:szCs w:val="22"/>
        </w:rPr>
        <w:t>c) Koji oblici oboljenja i posljedičnih komplikacija su viđeni u trenutku pojave,</w:t>
      </w:r>
    </w:p>
    <w:p>
      <w:pPr>
        <w:pStyle w:val="Normal"/>
        <w:spacing w:lineRule="auto" w:line="240"/>
        <w:rPr>
          <w:color w:val="auto"/>
          <w:szCs w:val="22"/>
        </w:rPr>
      </w:pPr>
      <w:r>
        <w:rPr>
          <w:color w:val="auto"/>
          <w:szCs w:val="22"/>
        </w:rPr>
        <w:t>d) Da li je koronavirus osjetljiv na antiviralnu terapiju,</w:t>
      </w:r>
    </w:p>
    <w:p>
      <w:pPr>
        <w:pStyle w:val="Normal"/>
        <w:spacing w:lineRule="auto" w:line="240"/>
        <w:rPr>
          <w:color w:val="auto"/>
          <w:szCs w:val="22"/>
        </w:rPr>
      </w:pPr>
      <w:r>
        <w:rPr>
          <w:color w:val="auto"/>
          <w:szCs w:val="22"/>
        </w:rPr>
        <w:t>e) Koliko će uopće po procjeni ljudi oboljeti od COVID-19,</w:t>
      </w:r>
    </w:p>
    <w:p>
      <w:pPr>
        <w:pStyle w:val="Normal"/>
        <w:spacing w:lineRule="auto" w:line="240"/>
        <w:rPr>
          <w:color w:val="auto"/>
          <w:szCs w:val="22"/>
        </w:rPr>
      </w:pPr>
      <w:r>
        <w:rPr>
          <w:color w:val="auto"/>
          <w:szCs w:val="22"/>
        </w:rPr>
        <w:t>f) Kakav će biti utjecaj na zdravstveni sektor u cjelini uključujući i cjelokupni angažman kompletnog zdravstvenog sustava koji ima.</w:t>
      </w:r>
    </w:p>
    <w:p>
      <w:pPr>
        <w:pStyle w:val="Normal"/>
        <w:rPr>
          <w:color w:val="auto"/>
          <w:szCs w:val="22"/>
        </w:rPr>
      </w:pPr>
      <w:r>
        <w:rPr>
          <w:color w:val="auto"/>
          <w:szCs w:val="22"/>
        </w:rPr>
      </w:r>
    </w:p>
    <w:p>
      <w:pPr>
        <w:pStyle w:val="Normal"/>
        <w:rPr>
          <w:color w:val="auto"/>
          <w:szCs w:val="22"/>
        </w:rPr>
      </w:pPr>
      <w:r>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pPr>
        <w:pStyle w:val="Normal"/>
        <w:tabs>
          <w:tab w:val="clear" w:pos="708"/>
          <w:tab w:val="left" w:pos="1410" w:leader="none"/>
        </w:tabs>
        <w:spacing w:before="120" w:after="120"/>
        <w:rPr/>
      </w:pPr>
      <w:r>
        <w:rPr/>
        <w:t>Sposobnost sustava zdravstvene zaštite u Gradu Buje - Buie za odgovor na krizu koju epidemija kao izvanredna okolnost može izazvati, čine zdravstveni kapaciteti:</w:t>
      </w:r>
    </w:p>
    <w:p>
      <w:pPr>
        <w:pStyle w:val="Normal"/>
        <w:numPr>
          <w:ilvl w:val="0"/>
          <w:numId w:val="52"/>
        </w:numPr>
        <w:tabs>
          <w:tab w:val="clear" w:pos="708"/>
          <w:tab w:val="left" w:pos="2445" w:leader="none"/>
        </w:tabs>
        <w:spacing w:before="120" w:after="120"/>
        <w:contextualSpacing/>
        <w:rPr>
          <w:color w:val="auto"/>
          <w:szCs w:val="20"/>
        </w:rPr>
      </w:pPr>
      <w:r>
        <w:rPr>
          <w:color w:val="auto"/>
          <w:szCs w:val="20"/>
          <w:lang w:eastAsia="hr-HR"/>
        </w:rPr>
        <w:t>Zavod za javno zdravstvo Istarske županije, Ispostava Buje,</w:t>
      </w:r>
    </w:p>
    <w:p>
      <w:pPr>
        <w:pStyle w:val="Normal"/>
        <w:numPr>
          <w:ilvl w:val="0"/>
          <w:numId w:val="52"/>
        </w:numPr>
        <w:tabs>
          <w:tab w:val="clear" w:pos="708"/>
          <w:tab w:val="left" w:pos="2445" w:leader="none"/>
        </w:tabs>
        <w:spacing w:before="120" w:after="120"/>
        <w:contextualSpacing/>
        <w:rPr>
          <w:color w:val="auto"/>
          <w:szCs w:val="20"/>
        </w:rPr>
      </w:pPr>
      <w:r>
        <w:rPr>
          <w:color w:val="auto"/>
          <w:szCs w:val="20"/>
          <w:lang w:eastAsia="hr-HR"/>
        </w:rPr>
        <w:t>Istarski domovi zdravlja, Ispostava Buje,</w:t>
      </w:r>
    </w:p>
    <w:p>
      <w:pPr>
        <w:pStyle w:val="Normal"/>
        <w:numPr>
          <w:ilvl w:val="0"/>
          <w:numId w:val="52"/>
        </w:numPr>
        <w:tabs>
          <w:tab w:val="clear" w:pos="708"/>
          <w:tab w:val="left" w:pos="2445" w:leader="none"/>
        </w:tabs>
        <w:spacing w:before="120" w:after="120"/>
        <w:contextualSpacing/>
        <w:rPr>
          <w:color w:val="auto"/>
          <w:szCs w:val="20"/>
        </w:rPr>
      </w:pPr>
      <w:r>
        <w:rPr>
          <w:color w:val="auto"/>
          <w:szCs w:val="20"/>
          <w:lang w:eastAsia="hr-HR"/>
        </w:rPr>
        <w:t>Zavod za hitnu medicinu Istarske županije, Ispostava Umag,</w:t>
      </w:r>
    </w:p>
    <w:p>
      <w:pPr>
        <w:pStyle w:val="Normal"/>
        <w:numPr>
          <w:ilvl w:val="0"/>
          <w:numId w:val="52"/>
        </w:numPr>
        <w:tabs>
          <w:tab w:val="clear" w:pos="708"/>
          <w:tab w:val="left" w:pos="2445" w:leader="none"/>
        </w:tabs>
        <w:spacing w:before="120" w:after="120"/>
        <w:contextualSpacing/>
        <w:rPr>
          <w:color w:val="auto"/>
          <w:szCs w:val="20"/>
        </w:rPr>
      </w:pPr>
      <w:r>
        <w:rPr>
          <w:color w:val="auto"/>
          <w:szCs w:val="20"/>
        </w:rPr>
        <w:t xml:space="preserve">1 </w:t>
      </w:r>
      <w:r>
        <w:rPr>
          <w:color w:val="auto"/>
          <w:szCs w:val="20"/>
          <w:lang w:eastAsia="hr-HR"/>
        </w:rPr>
        <w:t>ordinacije obiteljske medicine na području Grada,</w:t>
      </w:r>
    </w:p>
    <w:p>
      <w:pPr>
        <w:pStyle w:val="Normal"/>
        <w:numPr>
          <w:ilvl w:val="0"/>
          <w:numId w:val="52"/>
        </w:numPr>
        <w:tabs>
          <w:tab w:val="clear" w:pos="708"/>
          <w:tab w:val="left" w:pos="2445" w:leader="none"/>
        </w:tabs>
        <w:spacing w:before="120" w:after="120"/>
        <w:contextualSpacing/>
        <w:rPr>
          <w:color w:val="auto"/>
          <w:szCs w:val="20"/>
        </w:rPr>
      </w:pPr>
      <w:r>
        <w:rPr>
          <w:color w:val="auto"/>
          <w:szCs w:val="20"/>
        </w:rPr>
        <w:t xml:space="preserve">3 </w:t>
      </w:r>
      <w:r>
        <w:rPr>
          <w:color w:val="auto"/>
          <w:szCs w:val="20"/>
          <w:lang w:eastAsia="hr-HR"/>
        </w:rPr>
        <w:t>ordinacije dentalne medicine na području Grada,</w:t>
      </w:r>
    </w:p>
    <w:p>
      <w:pPr>
        <w:pStyle w:val="Normal"/>
        <w:numPr>
          <w:ilvl w:val="0"/>
          <w:numId w:val="52"/>
        </w:numPr>
        <w:tabs>
          <w:tab w:val="clear" w:pos="708"/>
          <w:tab w:val="left" w:pos="2445" w:leader="none"/>
        </w:tabs>
        <w:spacing w:before="120" w:after="120"/>
        <w:contextualSpacing/>
        <w:rPr>
          <w:color w:val="auto"/>
          <w:szCs w:val="20"/>
        </w:rPr>
      </w:pPr>
      <w:r>
        <w:rPr>
          <w:color w:val="auto"/>
          <w:szCs w:val="20"/>
        </w:rPr>
        <w:t>Ljekarna.</w:t>
      </w:r>
    </w:p>
    <w:p>
      <w:pPr>
        <w:pStyle w:val="Normal"/>
        <w:rPr>
          <w:color w:val="auto"/>
          <w:szCs w:val="22"/>
        </w:rPr>
      </w:pPr>
      <w:r>
        <w:rPr>
          <w:color w:val="auto"/>
          <w:szCs w:val="22"/>
        </w:rPr>
      </w:r>
    </w:p>
    <w:p>
      <w:pPr>
        <w:pStyle w:val="Normal"/>
        <w:rPr>
          <w:color w:val="auto"/>
          <w:szCs w:val="22"/>
        </w:rPr>
      </w:pPr>
      <w:r>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pPr>
        <w:pStyle w:val="Normal"/>
        <w:rPr>
          <w:color w:val="auto"/>
          <w:szCs w:val="22"/>
        </w:rPr>
      </w:pPr>
      <w:r>
        <w:rPr>
          <w:color w:val="auto"/>
          <w:szCs w:val="22"/>
        </w:rPr>
        <w:t>Nadalje, posljedice pandemije uzorkovane novim koronavirusom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pPr>
        <w:pStyle w:val="Normal"/>
        <w:rPr>
          <w:color w:val="auto"/>
          <w:szCs w:val="22"/>
        </w:rPr>
      </w:pPr>
      <w:r>
        <w:rPr>
          <w:color w:val="auto"/>
          <w:szCs w:val="22"/>
        </w:rPr>
      </w:r>
    </w:p>
    <w:p>
      <w:pPr>
        <w:pStyle w:val="Normal"/>
        <w:keepNext w:val="true"/>
        <w:keepLines/>
        <w:numPr>
          <w:ilvl w:val="0"/>
          <w:numId w:val="0"/>
        </w:numPr>
        <w:spacing w:before="40" w:after="160"/>
        <w:ind w:left="0" w:hanging="0"/>
        <w:outlineLvl w:val="2"/>
        <w:rPr>
          <w:rFonts w:cs="Times New Roman" w:cstheme="majorBidi"/>
          <w:color w:val="54883D"/>
          <w:sz w:val="28"/>
          <w:lang w:eastAsia="hr-HR" w:bidi="en-US"/>
        </w:rPr>
      </w:pPr>
      <w:bookmarkStart w:id="158" w:name="_Toc536691729"/>
      <w:bookmarkStart w:id="159" w:name="_Toc66302896"/>
      <w:bookmarkStart w:id="160" w:name="_Toc99955698"/>
      <w:bookmarkStart w:id="161" w:name="_Toc116990146"/>
      <w:r>
        <w:rPr>
          <w:rFonts w:cs="Times New Roman" w:cstheme="majorBidi"/>
          <w:color w:val="54883D"/>
          <w:sz w:val="28"/>
          <w:lang w:eastAsia="hr-HR" w:bidi="en-US"/>
        </w:rPr>
        <w:t>6.3.5 Uzrok</w:t>
      </w:r>
      <w:bookmarkEnd w:id="158"/>
      <w:bookmarkEnd w:id="159"/>
      <w:bookmarkEnd w:id="160"/>
      <w:bookmarkEnd w:id="161"/>
    </w:p>
    <w:p>
      <w:pPr>
        <w:pStyle w:val="Normal"/>
        <w:rPr>
          <w:lang w:bidi="en-US"/>
        </w:rPr>
      </w:pPr>
      <w:r>
        <w:rPr>
          <w:lang w:bidi="en-US"/>
        </w:rPr>
        <w:t>Uzrok pandemije je novi koronavirus SARS—CoV-2, koji se pojavio krajem 2019. godine u Kini. Radi se o novom soju koronavirusa koji prije nije bio otkriven kod ljudi te uzrokuje bolest COVID-2019.</w:t>
      </w:r>
    </w:p>
    <w:p>
      <w:pPr>
        <w:pStyle w:val="Normal"/>
        <w:rPr>
          <w:lang w:bidi="en-US"/>
        </w:rPr>
      </w:pPr>
      <w:r>
        <w:rPr>
          <w:lang w:bidi="en-US"/>
        </w:rPr>
      </w:r>
    </w:p>
    <w:p>
      <w:pPr>
        <w:pStyle w:val="Normal"/>
        <w:rPr>
          <w:b/>
          <w:b/>
          <w:u w:val="single"/>
        </w:rPr>
      </w:pPr>
      <w:r>
        <w:rPr>
          <w:b/>
          <w:u w:val="single"/>
        </w:rPr>
        <w:t>RAZVOJ DOGAĐAJA KOJI JE PRETHODIO VELIKOJ NESREĆI</w:t>
      </w:r>
    </w:p>
    <w:p>
      <w:pPr>
        <w:pStyle w:val="Normal"/>
        <w:rPr>
          <w:lang w:bidi="en-US"/>
        </w:rPr>
      </w:pPr>
      <w:r>
        <w:rPr>
          <w:lang w:bidi="en-US"/>
        </w:rPr>
        <w:t>Koronavirusi su virusi koji cirkuliraju među životinjama no neki od njih mogu prijeći na ljude. Nakon što prijeđu sa životinje na čovjeka mogu se prenositi među ljudima.</w:t>
      </w:r>
    </w:p>
    <w:p>
      <w:pPr>
        <w:pStyle w:val="Normal"/>
        <w:rPr>
          <w:lang w:bidi="en-US"/>
        </w:rPr>
      </w:pPr>
      <w:r>
        <w:rPr>
          <w:lang w:bidi="en-US"/>
        </w:rPr>
      </w:r>
    </w:p>
    <w:p>
      <w:pPr>
        <w:pStyle w:val="Normal"/>
        <w:rPr>
          <w:b/>
          <w:b/>
          <w:u w:val="single"/>
        </w:rPr>
      </w:pPr>
      <w:r>
        <w:rPr>
          <w:b/>
          <w:u w:val="single"/>
        </w:rPr>
        <w:t>OKIDAČ KOJI JE UZROKOVAO VELIKU NESREĆU</w:t>
      </w:r>
    </w:p>
    <w:p>
      <w:pPr>
        <w:pStyle w:val="Normal"/>
        <w:rPr>
          <w:lang w:bidi="en-US"/>
        </w:rPr>
      </w:pPr>
      <w:r>
        <w:rPr>
          <w:lang w:bidi="en-US"/>
        </w:rPr>
        <w:t xml:space="preserve">Pojava novog koronavirusa koji se sada širi s osobe na osobu (prijenos s čovjeka na čovjeka) iako virus potječe od životinja te je uzrokovao pandemiju. </w:t>
      </w:r>
    </w:p>
    <w:p>
      <w:pPr>
        <w:pStyle w:val="Normal"/>
        <w:rPr>
          <w:lang w:bidi="en-US"/>
        </w:rPr>
      </w:pPr>
      <w:r>
        <w:rPr>
          <w:lang w:bidi="en-US"/>
        </w:rPr>
        <w:t>Pandemija (od grčke riječi pan "svi" i demos "ljudi") označava širenje infekcijske bolesti u širokim geografskim regijama, kontinentalnih ili globalnih razmjera.</w:t>
      </w:r>
    </w:p>
    <w:p>
      <w:pPr>
        <w:pStyle w:val="Normal"/>
        <w:rPr>
          <w:lang w:eastAsia="hr-HR" w:bidi="en-US"/>
        </w:rPr>
      </w:pPr>
      <w:r>
        <w:rPr>
          <w:lang w:eastAsia="hr-HR" w:bidi="en-US"/>
        </w:rPr>
      </w:r>
    </w:p>
    <w:p>
      <w:pPr>
        <w:pStyle w:val="Normal"/>
        <w:keepNext w:val="true"/>
        <w:keepLines/>
        <w:numPr>
          <w:ilvl w:val="0"/>
          <w:numId w:val="0"/>
        </w:numPr>
        <w:spacing w:before="40" w:after="160"/>
        <w:ind w:left="0" w:hanging="0"/>
        <w:outlineLvl w:val="2"/>
        <w:rPr>
          <w:rFonts w:cs="Times New Roman" w:cstheme="majorBidi"/>
          <w:iCs/>
          <w:color w:val="54883D"/>
          <w:sz w:val="28"/>
          <w:lang w:eastAsia="hr-HR" w:bidi="en-US"/>
        </w:rPr>
      </w:pPr>
      <w:bookmarkStart w:id="162" w:name="_Toc536691730"/>
      <w:bookmarkStart w:id="163" w:name="_Toc66302897"/>
      <w:bookmarkStart w:id="164" w:name="_Toc99955699"/>
      <w:bookmarkStart w:id="165" w:name="_Toc116990147"/>
      <w:r>
        <w:rPr>
          <w:rFonts w:cs="Times New Roman" w:cstheme="majorBidi"/>
          <w:iCs/>
          <w:color w:val="54883D"/>
          <w:sz w:val="28"/>
          <w:lang w:eastAsia="hr-HR" w:bidi="en-US"/>
        </w:rPr>
        <w:t>6.3.6 Događaj s najgorim mogućim posljedicama</w:t>
      </w:r>
      <w:bookmarkEnd w:id="162"/>
      <w:bookmarkEnd w:id="163"/>
      <w:bookmarkEnd w:id="164"/>
      <w:bookmarkEnd w:id="165"/>
    </w:p>
    <w:p>
      <w:pPr>
        <w:pStyle w:val="Normal"/>
        <w:rPr>
          <w:color w:val="auto"/>
          <w:lang w:bidi="en-US"/>
        </w:rPr>
      </w:pPr>
      <w:r>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pPr>
        <w:pStyle w:val="Normal"/>
        <w:rPr>
          <w:color w:val="auto"/>
          <w:lang w:bidi="en-US"/>
        </w:rPr>
      </w:pPr>
      <w:r>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pPr>
        <w:pStyle w:val="Normal"/>
        <w:rPr>
          <w:color w:val="auto"/>
          <w:lang w:bidi="en-US"/>
        </w:rPr>
      </w:pPr>
      <w:r>
        <w:rPr>
          <w:color w:val="auto"/>
          <w:lang w:bidi="en-US"/>
        </w:rPr>
        <w:t>Trenutačno je u Hrvatskoj (travanj 2022.) potvrđeno 1.102.730  slučajeva oboljelih osoba, od kojih je 15.601 preminulo, a 1.078.183 osobe su se oporavile.</w:t>
      </w:r>
    </w:p>
    <w:p>
      <w:pPr>
        <w:pStyle w:val="Normal"/>
        <w:rPr>
          <w:i/>
          <w:i/>
          <w:iCs/>
          <w:color w:val="54883D"/>
        </w:rPr>
      </w:pPr>
      <w:r>
        <w:rPr>
          <w:i/>
          <w:iCs/>
          <w:color w:val="54883D"/>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r>
    </w:p>
    <w:p>
      <w:pPr>
        <w:pStyle w:val="Normal"/>
        <w:rPr>
          <w:b/>
          <w:b/>
          <w:iCs/>
          <w:color w:val="auto"/>
          <w:u w:val="single"/>
        </w:rPr>
      </w:pPr>
      <w:r>
        <w:rPr>
          <w:b/>
          <w:iCs/>
          <w:color w:val="auto"/>
          <w:u w:val="single"/>
        </w:rPr>
        <w:t>Posljedice</w:t>
      </w:r>
    </w:p>
    <w:p>
      <w:pPr>
        <w:pStyle w:val="Normal"/>
        <w:rPr>
          <w:i/>
          <w:i/>
          <w:color w:val="54883D"/>
        </w:rPr>
      </w:pPr>
      <w:r>
        <w:rPr>
          <w:i/>
          <w:color w:val="54883D"/>
        </w:rPr>
        <w:t>Život i zdravlje ljudi</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Tablica </w:t>
      </w:r>
      <w:r>
        <w:rPr>
          <w:rFonts w:eastAsia="Calibri"/>
          <w:b/>
          <w:bCs/>
          <w:i/>
          <w:color w:val="54883D"/>
          <w:sz w:val="18"/>
          <w:szCs w:val="18"/>
          <w:lang w:bidi="en-US"/>
        </w:rPr>
        <w:fldChar w:fldCharType="begin"/>
      </w:r>
      <w:r>
        <w:rPr>
          <w:sz w:val="18"/>
          <w:i/>
          <w:b/>
          <w:szCs w:val="18"/>
          <w:bCs/>
          <w:rFonts w:eastAsia="Calibri"/>
          <w:color w:val="54883D"/>
          <w:lang w:bidi="en-US"/>
        </w:rPr>
        <w:instrText> SEQ Tabela \* ARABIC </w:instrText>
      </w:r>
      <w:r>
        <w:rPr>
          <w:sz w:val="18"/>
          <w:i/>
          <w:b/>
          <w:szCs w:val="18"/>
          <w:bCs/>
          <w:rFonts w:eastAsia="Calibri"/>
          <w:color w:val="54883D"/>
          <w:lang w:bidi="en-US"/>
        </w:rPr>
        <w:fldChar w:fldCharType="separate"/>
      </w:r>
      <w:r>
        <w:rPr>
          <w:sz w:val="18"/>
          <w:i/>
          <w:b/>
          <w:szCs w:val="18"/>
          <w:bCs/>
          <w:rFonts w:eastAsia="Calibri"/>
          <w:color w:val="54883D"/>
          <w:lang w:bidi="en-US"/>
        </w:rPr>
        <w:t>19</w:t>
      </w:r>
      <w:r>
        <w:rPr>
          <w:sz w:val="18"/>
          <w:i/>
          <w:b/>
          <w:szCs w:val="18"/>
          <w:bCs/>
          <w:rFonts w:eastAsia="Calibri"/>
          <w:color w:val="54883D"/>
          <w:lang w:bidi="en-US"/>
        </w:rPr>
        <w:fldChar w:fldCharType="end"/>
      </w:r>
      <w:r>
        <w:rPr>
          <w:rFonts w:eastAsia="Calibri"/>
          <w:b/>
          <w:bCs/>
          <w:i/>
          <w:color w:val="54883D"/>
          <w:sz w:val="18"/>
          <w:szCs w:val="18"/>
          <w:lang w:bidi="en-US"/>
        </w:rPr>
        <w:t>. Vrijednost kriterija za posljedice na život i zdravlje ljudi po kategorijama – epidemije i pandemije</w:t>
      </w:r>
    </w:p>
    <w:tbl>
      <w:tblPr>
        <w:tblStyle w:val="ivopisnatablicareetke6-isticanje3121"/>
        <w:tblpPr w:bottomFromText="0" w:horzAnchor="margin" w:leftFromText="180" w:rightFromText="180" w:tblpX="0" w:tblpY="265" w:topFromText="0" w:vertAnchor="text"/>
        <w:tblW w:w="5000" w:type="pct"/>
        <w:jc w:val="left"/>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79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45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BROJ UGROŽENIH OSOBA %</w:t>
            </w:r>
          </w:p>
        </w:tc>
        <w:tc>
          <w:tcPr>
            <w:tcW w:w="216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1.</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2.</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3.</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4.</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5.</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bl>
    <w:p>
      <w:pPr>
        <w:pStyle w:val="Normal"/>
        <w:rPr/>
      </w:pPr>
      <w:r>
        <w:rPr/>
      </w:r>
    </w:p>
    <w:p>
      <w:pPr>
        <w:pStyle w:val="Normal"/>
        <w:rPr>
          <w:i/>
          <w:i/>
          <w:color w:val="54883D"/>
        </w:rPr>
      </w:pPr>
      <w:r>
        <w:rPr>
          <w:i/>
          <w:color w:val="54883D"/>
        </w:rPr>
        <w:t>Gospodarstvo</w:t>
      </w:r>
    </w:p>
    <w:p>
      <w:pPr>
        <w:pStyle w:val="Normal"/>
        <w:rPr>
          <w:szCs w:val="22"/>
        </w:rPr>
      </w:pPr>
      <w:r>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pPr>
        <w:pStyle w:val="Normal"/>
        <w:rPr>
          <w:color w:val="auto"/>
          <w:lang w:bidi="en-US"/>
        </w:rPr>
      </w:pPr>
      <w:r>
        <w:rPr>
          <w:color w:val="auto"/>
          <w:lang w:bidi="en-US"/>
        </w:rPr>
      </w:r>
    </w:p>
    <w:p>
      <w:pPr>
        <w:pStyle w:val="Normal"/>
        <w:spacing w:before="0" w:after="240"/>
        <w:jc w:val="center"/>
        <w:rPr>
          <w:rFonts w:eastAsia="Calibri" w:eastAsiaTheme="minorHAnsi"/>
          <w:b/>
          <w:b/>
          <w:bCs/>
          <w:i/>
          <w:i/>
          <w:iCs/>
          <w:color w:val="54883D"/>
          <w:sz w:val="18"/>
          <w:szCs w:val="18"/>
          <w:lang w:bidi="en-US"/>
        </w:rPr>
      </w:pPr>
      <w:r>
        <w:rPr>
          <w:rFonts w:eastAsia="Calibri" w:eastAsiaTheme="minorHAnsi"/>
          <w:b/>
          <w:bCs/>
          <w:i/>
          <w:color w:val="54883D"/>
          <w:sz w:val="18"/>
          <w:szCs w:val="18"/>
          <w:lang w:bidi="en-US"/>
        </w:rPr>
        <w:t xml:space="preserve">Tablica 37. </w:t>
      </w:r>
      <w:r>
        <w:rPr>
          <w:rFonts w:eastAsia="Calibri" w:eastAsiaTheme="minorHAnsi"/>
          <w:b/>
          <w:bCs/>
          <w:i/>
          <w:iCs/>
          <w:color w:val="54883D"/>
          <w:sz w:val="18"/>
          <w:szCs w:val="18"/>
          <w:lang w:bidi="en-US"/>
        </w:rPr>
        <w:t>Vrijednost kriterija za posljedice na gospodarstvo po kategorijama – epidemije i pandemije</w:t>
      </w:r>
    </w:p>
    <w:tbl>
      <w:tblPr>
        <w:tblStyle w:val="ivopisnatablicareetke6-isticanje323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6"/>
        <w:gridCol w:w="2600"/>
        <w:gridCol w:w="3064"/>
        <w:gridCol w:w="1759"/>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72" w:after="72"/>
              <w:jc w:val="center"/>
              <w:rPr>
                <w:color w:val="auto"/>
                <w:sz w:val="20"/>
                <w:szCs w:val="20"/>
              </w:rPr>
            </w:pPr>
            <w:r>
              <w:rPr>
                <w:b/>
                <w:bCs/>
                <w:color w:val="auto"/>
                <w:sz w:val="20"/>
                <w:szCs w:val="20"/>
              </w:rPr>
              <w:t>KATEGORIJA</w:t>
            </w:r>
          </w:p>
        </w:tc>
        <w:tc>
          <w:tcPr>
            <w:tcW w:w="260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sz w:val="20"/>
                <w:szCs w:val="20"/>
              </w:rPr>
              <w:t>POSLJEDICE</w:t>
            </w:r>
          </w:p>
        </w:tc>
        <w:tc>
          <w:tcPr>
            <w:tcW w:w="3064"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sz w:val="20"/>
                <w:szCs w:val="20"/>
              </w:rPr>
              <w:t>KRITERIJ (kn)</w:t>
            </w:r>
          </w:p>
        </w:tc>
        <w:tc>
          <w:tcPr>
            <w:tcW w:w="175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auto"/>
                <w:sz w:val="20"/>
                <w:szCs w:val="20"/>
              </w:rPr>
            </w:pPr>
            <w:r>
              <w:rPr>
                <w:b/>
                <w:bCs/>
                <w:color w:val="auto"/>
                <w:sz w:val="20"/>
                <w:szCs w:val="20"/>
              </w:rPr>
              <w:t>1.</w:t>
            </w:r>
          </w:p>
        </w:tc>
        <w:tc>
          <w:tcPr>
            <w:tcW w:w="260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Neznatne</w:t>
            </w:r>
          </w:p>
        </w:tc>
        <w:tc>
          <w:tcPr>
            <w:tcW w:w="306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color w:val="FF0000"/>
                <w:sz w:val="20"/>
                <w:szCs w:val="20"/>
              </w:rPr>
              <w:t>265.321,03 – 530.642,06</w:t>
            </w:r>
          </w:p>
        </w:tc>
        <w:tc>
          <w:tcPr>
            <w:tcW w:w="175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auto"/>
                <w:sz w:val="20"/>
                <w:szCs w:val="20"/>
              </w:rPr>
            </w:pPr>
            <w:r>
              <w:rPr>
                <w:b/>
                <w:color w:val="auto"/>
                <w:sz w:val="20"/>
                <w:szCs w:val="20"/>
              </w:rPr>
            </w:r>
          </w:p>
        </w:tc>
      </w:tr>
      <w:tr>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auto"/>
                <w:sz w:val="20"/>
                <w:szCs w:val="20"/>
              </w:rPr>
            </w:pPr>
            <w:r>
              <w:rPr>
                <w:b/>
                <w:bCs/>
                <w:color w:val="auto"/>
                <w:sz w:val="20"/>
                <w:szCs w:val="20"/>
              </w:rPr>
              <w:t>2.</w:t>
            </w:r>
          </w:p>
        </w:tc>
        <w:tc>
          <w:tcPr>
            <w:tcW w:w="260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Male</w:t>
            </w:r>
          </w:p>
        </w:tc>
        <w:tc>
          <w:tcPr>
            <w:tcW w:w="306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Pr>
                <w:color w:val="FF0000"/>
                <w:sz w:val="20"/>
                <w:szCs w:val="20"/>
              </w:rPr>
              <w:t>530.642,06– 2.653.210,29</w:t>
            </w:r>
          </w:p>
        </w:tc>
        <w:tc>
          <w:tcPr>
            <w:tcW w:w="175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color w:val="auto"/>
                <w:sz w:val="20"/>
                <w:szCs w:val="20"/>
              </w:rPr>
            </w:pPr>
            <w:r>
              <w:rPr>
                <w:b/>
                <w:color w:val="auto"/>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auto"/>
                <w:sz w:val="20"/>
                <w:szCs w:val="20"/>
              </w:rPr>
            </w:pPr>
            <w:r>
              <w:rPr>
                <w:b/>
                <w:bCs/>
                <w:color w:val="auto"/>
                <w:sz w:val="20"/>
                <w:szCs w:val="20"/>
              </w:rPr>
              <w:t>3.</w:t>
            </w:r>
          </w:p>
        </w:tc>
        <w:tc>
          <w:tcPr>
            <w:tcW w:w="260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Umjerene</w:t>
            </w:r>
          </w:p>
        </w:tc>
        <w:tc>
          <w:tcPr>
            <w:tcW w:w="306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color w:val="FF0000"/>
                <w:sz w:val="20"/>
                <w:szCs w:val="20"/>
              </w:rPr>
              <w:t>2.653.210,29– 7.959.630,90</w:t>
            </w:r>
          </w:p>
        </w:tc>
        <w:tc>
          <w:tcPr>
            <w:tcW w:w="175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r>
          </w:p>
        </w:tc>
      </w:tr>
      <w:tr>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auto"/>
                <w:sz w:val="20"/>
                <w:szCs w:val="20"/>
              </w:rPr>
            </w:pPr>
            <w:r>
              <w:rPr>
                <w:b/>
                <w:bCs/>
                <w:color w:val="auto"/>
                <w:sz w:val="20"/>
                <w:szCs w:val="20"/>
              </w:rPr>
              <w:t>4.</w:t>
            </w:r>
          </w:p>
        </w:tc>
        <w:tc>
          <w:tcPr>
            <w:tcW w:w="260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t>Značajne</w:t>
            </w:r>
          </w:p>
        </w:tc>
        <w:tc>
          <w:tcPr>
            <w:tcW w:w="306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Pr>
                <w:color w:val="FF0000"/>
                <w:sz w:val="20"/>
                <w:szCs w:val="20"/>
              </w:rPr>
              <w:t>7.959.630,90– 13.266.051,44</w:t>
            </w:r>
          </w:p>
        </w:tc>
        <w:tc>
          <w:tcPr>
            <w:tcW w:w="175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auto"/>
                <w:sz w:val="20"/>
                <w:szCs w:val="20"/>
              </w:rPr>
            </w:pPr>
            <w:r>
              <w:rPr>
                <w:b/>
                <w:bCs/>
                <w:color w:val="auto"/>
                <w:sz w:val="20"/>
                <w:szCs w:val="20"/>
              </w:rPr>
              <w:t>5.</w:t>
            </w:r>
          </w:p>
        </w:tc>
        <w:tc>
          <w:tcPr>
            <w:tcW w:w="260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t>Katastrofalne</w:t>
            </w:r>
          </w:p>
        </w:tc>
        <w:tc>
          <w:tcPr>
            <w:tcW w:w="306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color w:val="FF0000"/>
                <w:sz w:val="20"/>
                <w:szCs w:val="20"/>
              </w:rPr>
              <w:t>&gt; 13.266.051,44</w:t>
            </w:r>
          </w:p>
        </w:tc>
        <w:tc>
          <w:tcPr>
            <w:tcW w:w="175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sz w:val="20"/>
                <w:szCs w:val="20"/>
              </w:rPr>
            </w:r>
          </w:p>
        </w:tc>
      </w:tr>
    </w:tbl>
    <w:p>
      <w:pPr>
        <w:pStyle w:val="Normal"/>
        <w:rPr>
          <w:u w:val="single"/>
        </w:rPr>
      </w:pPr>
      <w:r>
        <w:rPr>
          <w:u w:val="single"/>
        </w:rPr>
      </w:r>
    </w:p>
    <w:p>
      <w:pPr>
        <w:pStyle w:val="Normal"/>
        <w:rPr>
          <w:i/>
          <w:i/>
          <w:color w:val="54883D"/>
        </w:rPr>
      </w:pPr>
      <w:r>
        <w:rPr>
          <w:i/>
          <w:color w:val="54883D"/>
        </w:rPr>
        <w:t>Društvena stabilnost i politika</w:t>
      </w:r>
    </w:p>
    <w:p>
      <w:pPr>
        <w:pStyle w:val="Normal"/>
        <w:rPr>
          <w:rFonts w:eastAsia="Calibri" w:eastAsiaTheme="minorHAnsi"/>
          <w:b/>
          <w:b/>
          <w:color w:val="auto"/>
          <w:u w:val="single"/>
        </w:rPr>
      </w:pPr>
      <w:r>
        <w:rPr>
          <w:rFonts w:eastAsia="Calibri" w:eastAsiaTheme="minorHAnsi"/>
          <w:b/>
          <w:color w:val="auto"/>
          <w:u w:val="single"/>
        </w:rPr>
        <w:t>Posljedice po kritičnu infrastrukturu</w:t>
      </w:r>
    </w:p>
    <w:p>
      <w:pPr>
        <w:pStyle w:val="Normal"/>
        <w:rPr>
          <w:szCs w:val="22"/>
        </w:rPr>
      </w:pPr>
      <w:r>
        <w:rPr>
          <w:szCs w:val="22"/>
        </w:rPr>
        <w:t>Ne očekuju se velike posljedice na kritičnu infrastrukturu zbog povećanog broja oboljelih osoba koji će koristiti bolovanje. Ne očekuje se štete/gubici na građevinama od javnog društvenog značaja, kao niti prekid dulji od 10 dana u radu kritične infrastrukture.</w:t>
      </w:r>
    </w:p>
    <w:p>
      <w:pPr>
        <w:pStyle w:val="Normal"/>
        <w:spacing w:before="80" w:after="0"/>
        <w:rPr>
          <w:i/>
          <w:i/>
          <w:iCs/>
          <w:color w:val="54883D"/>
        </w:rPr>
      </w:pPr>
      <w:r>
        <w:rPr>
          <w:i/>
          <w:iCs/>
          <w:color w:val="54883D"/>
        </w:rPr>
        <w:t>Zdravstvo</w:t>
      </w:r>
    </w:p>
    <w:p>
      <w:pPr>
        <w:pStyle w:val="Normal"/>
        <w:spacing w:before="80" w:after="0"/>
        <w:rPr>
          <w:iCs/>
          <w:color w:val="auto"/>
        </w:rPr>
      </w:pPr>
      <w:r>
        <w:rPr>
          <w:iCs/>
          <w:color w:val="auto"/>
        </w:rPr>
        <w:t xml:space="preserve">Moguće su poteškoće u održavanju zdravstvene zaštite zbog većeg broja oboljelih koji zahtijevaju veći angažman zdravstvenih djelatnika. </w:t>
      </w:r>
    </w:p>
    <w:p>
      <w:pPr>
        <w:pStyle w:val="Normal"/>
        <w:spacing w:before="80" w:after="0"/>
        <w:rPr>
          <w:iCs/>
          <w:color w:val="auto"/>
        </w:rPr>
      </w:pPr>
      <w:r>
        <w:rPr>
          <w:iCs/>
          <w:color w:val="auto"/>
        </w:rPr>
      </w:r>
    </w:p>
    <w:p>
      <w:pPr>
        <w:pStyle w:val="Normal"/>
        <w:spacing w:before="80" w:after="0"/>
        <w:rPr>
          <w:color w:val="54883D"/>
          <w:szCs w:val="20"/>
        </w:rPr>
      </w:pPr>
      <w:r>
        <w:rPr>
          <w:i/>
          <w:iCs/>
          <w:color w:val="54883D"/>
        </w:rPr>
        <w:t>Javne službe</w:t>
      </w:r>
    </w:p>
    <w:p>
      <w:pPr>
        <w:pStyle w:val="Normal"/>
        <w:spacing w:before="80" w:after="0"/>
        <w:rPr>
          <w:szCs w:val="20"/>
        </w:rPr>
      </w:pPr>
      <w:r>
        <w:rPr>
          <w:szCs w:val="20"/>
        </w:rPr>
        <w:t>Može doći do poteškoća u radu javnih službi zbog povećanog broja osoba na bolovanju.</w:t>
      </w:r>
    </w:p>
    <w:p>
      <w:pPr>
        <w:pStyle w:val="Normal"/>
        <w:spacing w:before="0" w:after="0"/>
        <w:jc w:val="center"/>
        <w:rPr>
          <w:szCs w:val="20"/>
        </w:rPr>
      </w:pPr>
      <w:r>
        <w:rPr>
          <w:szCs w:val="20"/>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Tablica </w:t>
      </w:r>
      <w:r>
        <w:rPr>
          <w:rFonts w:eastAsia="Calibri"/>
          <w:b/>
          <w:bCs/>
          <w:i/>
          <w:color w:val="54883D"/>
          <w:sz w:val="18"/>
          <w:szCs w:val="18"/>
          <w:lang w:bidi="en-US"/>
        </w:rPr>
        <w:fldChar w:fldCharType="begin"/>
      </w:r>
      <w:r>
        <w:rPr>
          <w:sz w:val="18"/>
          <w:i/>
          <w:b/>
          <w:szCs w:val="18"/>
          <w:bCs/>
          <w:rFonts w:eastAsia="Calibri"/>
          <w:color w:val="54883D"/>
          <w:lang w:bidi="en-US"/>
        </w:rPr>
        <w:instrText> SEQ Tabela \* ARABIC </w:instrText>
      </w:r>
      <w:r>
        <w:rPr>
          <w:sz w:val="18"/>
          <w:i/>
          <w:b/>
          <w:szCs w:val="18"/>
          <w:bCs/>
          <w:rFonts w:eastAsia="Calibri"/>
          <w:color w:val="54883D"/>
          <w:lang w:bidi="en-US"/>
        </w:rPr>
        <w:fldChar w:fldCharType="separate"/>
      </w:r>
      <w:r>
        <w:rPr>
          <w:sz w:val="18"/>
          <w:i/>
          <w:b/>
          <w:szCs w:val="18"/>
          <w:bCs/>
          <w:rFonts w:eastAsia="Calibri"/>
          <w:color w:val="54883D"/>
          <w:lang w:bidi="en-US"/>
        </w:rPr>
        <w:t>20</w:t>
      </w:r>
      <w:r>
        <w:rPr>
          <w:sz w:val="18"/>
          <w:i/>
          <w:b/>
          <w:szCs w:val="18"/>
          <w:bCs/>
          <w:rFonts w:eastAsia="Calibri"/>
          <w:color w:val="54883D"/>
          <w:lang w:bidi="en-US"/>
        </w:rPr>
        <w:fldChar w:fldCharType="end"/>
      </w:r>
      <w:r>
        <w:rPr>
          <w:rFonts w:eastAsia="Calibri"/>
          <w:b/>
          <w:bCs/>
          <w:i/>
          <w:color w:val="54883D"/>
          <w:sz w:val="18"/>
          <w:szCs w:val="18"/>
          <w:lang w:bidi="en-US"/>
        </w:rPr>
        <w:t>. Vrijednost kriterija za posljedice na društvenu stabilnost i politiku</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oštećena kritična infrastruktura – epidemije i pandemije</w:t>
      </w:r>
    </w:p>
    <w:tbl>
      <w:tblPr>
        <w:tblStyle w:val="GridTable6Colorful-Accent31"/>
        <w:tblpPr w:bottomFromText="0" w:horzAnchor="margin" w:leftFromText="180" w:rightFromText="180" w:tblpX="0" w:tblpY="197" w:topFromText="0" w:vertAnchor="text"/>
        <w:tblW w:w="5000" w:type="pct"/>
        <w:jc w:val="left"/>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rFonts w:eastAsia="Calibri" w:eastAsiaTheme="minorHAnsi"/>
          <w:b/>
          <w:b/>
          <w:color w:val="54883D"/>
        </w:rPr>
      </w:pPr>
      <w:r>
        <w:rPr>
          <w:rFonts w:eastAsia="Calibri" w:eastAsiaTheme="minorHAnsi"/>
          <w:b/>
          <w:color w:val="54883D"/>
        </w:rPr>
      </w:r>
    </w:p>
    <w:p>
      <w:pPr>
        <w:pStyle w:val="Normal"/>
        <w:rPr>
          <w:rFonts w:eastAsia="Calibri" w:eastAsiaTheme="minorHAnsi"/>
          <w:b/>
          <w:b/>
          <w:color w:val="54883D"/>
        </w:rPr>
      </w:pPr>
      <w:r>
        <w:rPr>
          <w:rFonts w:eastAsia="Calibri" w:eastAsiaTheme="minorHAnsi"/>
          <w:b/>
          <w:color w:val="54883D"/>
        </w:rPr>
        <w:t>Posljedice po građevine javnog društvenog značaja</w:t>
      </w:r>
    </w:p>
    <w:p>
      <w:pPr>
        <w:pStyle w:val="Normal"/>
        <w:spacing w:before="80" w:after="0"/>
        <w:rPr/>
      </w:pPr>
      <w:r>
        <w:rPr/>
        <w:t>Neće izazvati posljedice na građevinama javnog društvenog značaja i zbog toga su odabrane male posljedice.</w:t>
      </w:r>
    </w:p>
    <w:p>
      <w:pPr>
        <w:pStyle w:val="Normal"/>
        <w:spacing w:before="80" w:after="0"/>
        <w:rPr/>
      </w:pPr>
      <w:r>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Tablica 39. Vrijednost kriterija za posljedice na društvenu stabilnost i politiku </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 </w:t>
      </w:r>
      <w:r>
        <w:rPr>
          <w:rFonts w:eastAsia="Calibri"/>
          <w:b/>
          <w:bCs/>
          <w:i/>
          <w:color w:val="54883D"/>
          <w:sz w:val="18"/>
          <w:szCs w:val="18"/>
          <w:lang w:bidi="en-US"/>
        </w:rPr>
        <w:t>- štete/gubitci na ustanovama/građevinama javnog društvenog značaja – epidemije i pandemije</w:t>
      </w:r>
    </w:p>
    <w:tbl>
      <w:tblPr>
        <w:tblStyle w:val="GridTable6Colorful-Accent31"/>
        <w:tblpPr w:bottomFromText="0" w:horzAnchor="margin" w:leftFromText="180" w:rightFromText="180" w:tblpX="0" w:tblpY="149" w:topFromText="0" w:vertAnchor="text"/>
        <w:tblW w:w="5000" w:type="pct"/>
        <w:jc w:val="left"/>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lang w:bidi="en-US"/>
        </w:rPr>
      </w:pPr>
      <w:r>
        <w:rPr>
          <w:lang w:bidi="en-US"/>
        </w:rPr>
      </w:r>
    </w:p>
    <w:p>
      <w:pPr>
        <w:pStyle w:val="Normal"/>
        <w:spacing w:before="80" w:after="0"/>
        <w:rPr>
          <w:szCs w:val="22"/>
        </w:rPr>
      </w:pPr>
      <w:r>
        <w:rPr>
          <w:szCs w:val="22"/>
        </w:rPr>
      </w:r>
    </w:p>
    <w:p>
      <w:pPr>
        <w:pStyle w:val="Normal"/>
        <w:spacing w:before="80" w:after="0"/>
        <w:rPr>
          <w:szCs w:val="22"/>
        </w:rPr>
      </w:pPr>
      <w:r>
        <w:rPr>
          <w:szCs w:val="22"/>
        </w:rPr>
        <w:t>Iako je zbog povećanog broja bolovanja došlo do poteškoća u radu kritičnih službi koje su zahtijevale i prekovremeni rad i uvođenje dodatnih smjena, zbog provedbe preventivnih mjera i organizacijskih prilagodbi nije došlo do prestanka rada na rok dulji od 10 dana.</w:t>
      </w:r>
    </w:p>
    <w:p>
      <w:pPr>
        <w:pStyle w:val="Normal"/>
        <w:spacing w:before="80" w:after="0"/>
        <w:rPr>
          <w:iCs/>
          <w:color w:val="auto"/>
        </w:rPr>
      </w:pPr>
      <w:r>
        <w:rPr>
          <w:iCs/>
          <w:color w:val="auto"/>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Tablica </w:t>
      </w:r>
      <w:r>
        <w:rPr>
          <w:rFonts w:eastAsia="Calibri"/>
          <w:b/>
          <w:bCs/>
          <w:i/>
          <w:color w:val="54883D"/>
          <w:sz w:val="18"/>
          <w:szCs w:val="18"/>
          <w:lang w:bidi="en-US"/>
        </w:rPr>
        <w:fldChar w:fldCharType="begin"/>
      </w:r>
      <w:r>
        <w:rPr>
          <w:sz w:val="18"/>
          <w:i/>
          <w:b/>
          <w:szCs w:val="18"/>
          <w:bCs/>
          <w:rFonts w:eastAsia="Calibri"/>
          <w:color w:val="54883D"/>
          <w:lang w:bidi="en-US"/>
        </w:rPr>
        <w:instrText> SEQ Tabela \* ARABIC </w:instrText>
      </w:r>
      <w:r>
        <w:rPr>
          <w:sz w:val="18"/>
          <w:i/>
          <w:b/>
          <w:szCs w:val="18"/>
          <w:bCs/>
          <w:rFonts w:eastAsia="Calibri"/>
          <w:color w:val="54883D"/>
          <w:lang w:bidi="en-US"/>
        </w:rPr>
        <w:fldChar w:fldCharType="separate"/>
      </w:r>
      <w:r>
        <w:rPr>
          <w:sz w:val="18"/>
          <w:i/>
          <w:b/>
          <w:szCs w:val="18"/>
          <w:bCs/>
          <w:rFonts w:eastAsia="Calibri"/>
          <w:color w:val="54883D"/>
          <w:lang w:bidi="en-US"/>
        </w:rPr>
        <w:t>21</w:t>
      </w:r>
      <w:r>
        <w:rPr>
          <w:sz w:val="18"/>
          <w:i/>
          <w:b/>
          <w:szCs w:val="18"/>
          <w:bCs/>
          <w:rFonts w:eastAsia="Calibri"/>
          <w:color w:val="54883D"/>
          <w:lang w:bidi="en-US"/>
        </w:rPr>
        <w:fldChar w:fldCharType="end"/>
      </w:r>
      <w:r>
        <w:rPr>
          <w:rFonts w:eastAsia="Calibri"/>
          <w:b/>
          <w:bCs/>
          <w:i/>
          <w:color w:val="54883D"/>
          <w:sz w:val="18"/>
          <w:szCs w:val="18"/>
          <w:lang w:bidi="en-US"/>
        </w:rPr>
        <w:t>. Vrijednost kriterija za društvenu stabilnost i politiku</w:t>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 </w:t>
      </w:r>
      <w:r>
        <w:rPr>
          <w:rFonts w:eastAsia="Calibri"/>
          <w:b/>
          <w:bCs/>
          <w:i/>
          <w:color w:val="54883D"/>
          <w:sz w:val="18"/>
          <w:szCs w:val="18"/>
          <w:lang w:bidi="en-US"/>
        </w:rPr>
        <w:t>- zbirno – epidemije i pandemije</w:t>
      </w:r>
    </w:p>
    <w:tbl>
      <w:tblPr>
        <w:tblStyle w:val="GridTable6Colorful-Accent31"/>
        <w:tblpPr w:bottomFromText="0" w:horzAnchor="margin" w:leftFromText="180" w:rightFromText="180" w:tblpX="0" w:tblpY="170" w:topFromText="0" w:vertAnchor="text"/>
        <w:tblW w:w="5000" w:type="pct"/>
        <w:jc w:val="left"/>
        <w:tblInd w:w="0" w:type="dxa"/>
        <w:tblCellMar>
          <w:top w:w="0" w:type="dxa"/>
          <w:left w:w="108" w:type="dxa"/>
          <w:bottom w:w="0" w:type="dxa"/>
          <w:right w:w="108" w:type="dxa"/>
        </w:tblCellMar>
        <w:tblLook w:firstRow="1" w:noVBand="1" w:lastRow="0" w:firstColumn="1" w:lastColumn="0" w:noHBand="0" w:val="04a0"/>
      </w:tblPr>
      <w:tblGrid>
        <w:gridCol w:w="1782"/>
        <w:gridCol w:w="2415"/>
        <w:gridCol w:w="3243"/>
        <w:gridCol w:w="1629"/>
      </w:tblGrid>
      <w:tr>
        <w:trPr>
          <w:cnfStyle w:val="100000000000" w:firstRow="1" w:lastRow="0" w:firstColumn="0" w:lastColumn="0" w:oddVBand="0" w:evenVBand="0" w:oddHBand="0"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rPr>
                <w:sz w:val="20"/>
              </w:rPr>
            </w:pPr>
            <w:r>
              <w:rPr>
                <w:b/>
                <w:bCs/>
                <w:color w:val="76923C" w:themeColor="accent3" w:themeShade="bf"/>
                <w:sz w:val="20"/>
              </w:rPr>
              <w:t>KATEGORIJA</w:t>
            </w:r>
          </w:p>
        </w:tc>
        <w:tc>
          <w:tcPr>
            <w:tcW w:w="241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KRITIČNA INFRASTRUKTURA</w:t>
            </w:r>
          </w:p>
        </w:tc>
        <w:tc>
          <w:tcPr>
            <w:tcW w:w="324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USTANOVE/GRAĐEVINE JAVNOG DRUŠTVENOG ZNAČAJA</w:t>
            </w:r>
          </w:p>
        </w:tc>
        <w:tc>
          <w:tcPr>
            <w:tcW w:w="16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29"/>
              <w:jc w:val="center"/>
              <w:rPr>
                <w:sz w:val="20"/>
              </w:rPr>
            </w:pPr>
            <w:r>
              <w:rPr>
                <w:b/>
                <w:bCs/>
                <w:color w:val="76923C" w:themeColor="accent3" w:themeShade="bf"/>
                <w:sz w:val="20"/>
              </w:rPr>
              <w:t>1.</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29"/>
              <w:jc w:val="center"/>
              <w:rPr>
                <w:sz w:val="20"/>
              </w:rPr>
            </w:pPr>
            <w:r>
              <w:rPr>
                <w:b/>
                <w:bCs/>
                <w:color w:val="76923C" w:themeColor="accent3" w:themeShade="bf"/>
                <w:sz w:val="20"/>
              </w:rPr>
              <w:t>2.</w:t>
            </w:r>
          </w:p>
        </w:tc>
        <w:tc>
          <w:tcPr>
            <w:tcW w:w="241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c>
          <w:tcPr>
            <w:tcW w:w="324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t>x</w:t>
            </w:r>
          </w:p>
        </w:tc>
        <w:tc>
          <w:tcPr>
            <w:tcW w:w="162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t>x</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29"/>
              <w:jc w:val="center"/>
              <w:rPr>
                <w:sz w:val="20"/>
              </w:rPr>
            </w:pPr>
            <w:r>
              <w:rPr>
                <w:b/>
                <w:bCs/>
                <w:color w:val="76923C" w:themeColor="accent3" w:themeShade="bf"/>
                <w:sz w:val="20"/>
              </w:rPr>
              <w:t>3.</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29"/>
              <w:jc w:val="center"/>
              <w:rPr>
                <w:sz w:val="20"/>
              </w:rPr>
            </w:pPr>
            <w:r>
              <w:rPr>
                <w:b/>
                <w:bCs/>
                <w:color w:val="76923C" w:themeColor="accent3" w:themeShade="bf"/>
                <w:sz w:val="20"/>
              </w:rPr>
              <w:t>4.</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29"/>
              <w:jc w:val="center"/>
              <w:rPr>
                <w:sz w:val="20"/>
              </w:rPr>
            </w:pPr>
            <w:r>
              <w:rPr>
                <w:b/>
                <w:bCs/>
                <w:color w:val="76923C" w:themeColor="accent3" w:themeShade="bf"/>
                <w:sz w:val="20"/>
              </w:rPr>
              <w:t>5.</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bl>
    <w:p>
      <w:pPr>
        <w:pStyle w:val="Normal"/>
        <w:rPr>
          <w:i/>
          <w:i/>
          <w:iCs/>
          <w:color w:val="54883D"/>
        </w:rPr>
      </w:pPr>
      <w:r>
        <w:rPr>
          <w:i/>
          <w:iCs/>
          <w:color w:val="54883D"/>
        </w:rPr>
      </w:r>
    </w:p>
    <w:p>
      <w:pPr>
        <w:pStyle w:val="Normal"/>
        <w:rPr>
          <w:i/>
          <w:i/>
          <w:iCs/>
          <w:color w:val="54883D"/>
        </w:rPr>
      </w:pPr>
      <w:r>
        <w:rPr>
          <w:i/>
          <w:iCs/>
          <w:color w:val="54883D"/>
        </w:rPr>
      </w:r>
    </w:p>
    <w:p>
      <w:pPr>
        <w:pStyle w:val="Normal"/>
        <w:rPr>
          <w:i/>
          <w:i/>
          <w:iCs/>
          <w:color w:val="54883D"/>
        </w:rPr>
      </w:pPr>
      <w:r>
        <w:rPr>
          <w:i/>
          <w:iCs/>
          <w:color w:val="54883D"/>
        </w:rPr>
        <w:t>Vjerojatnost događaja</w:t>
      </w:r>
    </w:p>
    <w:p>
      <w:pPr>
        <w:pStyle w:val="Normal"/>
        <w:rPr/>
      </w:pPr>
      <w:r>
        <w:rPr/>
        <w:t>S obzirom na razmatrajuće podatke, odabrana je mala vjerojatnost pojavljivanja.</w:t>
      </w:r>
    </w:p>
    <w:p>
      <w:pPr>
        <w:pStyle w:val="Normal"/>
        <w:rPr/>
      </w:pPr>
      <w:r>
        <w:rPr/>
      </w:r>
    </w:p>
    <w:p>
      <w:pPr>
        <w:pStyle w:val="Normal"/>
        <w:spacing w:before="0" w:after="0"/>
        <w:jc w:val="center"/>
        <w:rPr>
          <w:rFonts w:eastAsia="Calibri"/>
          <w:b/>
          <w:b/>
          <w:bCs/>
          <w:i/>
          <w:i/>
          <w:color w:val="54883D"/>
          <w:sz w:val="18"/>
          <w:szCs w:val="18"/>
          <w:lang w:bidi="en-US"/>
        </w:rPr>
      </w:pPr>
      <w:r>
        <w:rPr>
          <w:rFonts w:eastAsia="Calibri"/>
          <w:b/>
          <w:bCs/>
          <w:i/>
          <w:color w:val="54883D"/>
          <w:sz w:val="18"/>
          <w:szCs w:val="18"/>
          <w:lang w:bidi="en-US"/>
        </w:rPr>
        <w:t xml:space="preserve">Tablica </w:t>
      </w:r>
      <w:r>
        <w:rPr>
          <w:rFonts w:eastAsia="Calibri"/>
          <w:b/>
          <w:bCs/>
          <w:i/>
          <w:color w:val="54883D"/>
          <w:sz w:val="18"/>
          <w:szCs w:val="18"/>
          <w:lang w:bidi="en-US"/>
        </w:rPr>
        <w:fldChar w:fldCharType="begin"/>
      </w:r>
      <w:r>
        <w:rPr>
          <w:sz w:val="18"/>
          <w:i/>
          <w:b/>
          <w:szCs w:val="18"/>
          <w:bCs/>
          <w:rFonts w:eastAsia="Calibri"/>
          <w:color w:val="54883D"/>
          <w:lang w:bidi="en-US"/>
        </w:rPr>
        <w:instrText> SEQ Tabela \* ARABIC </w:instrText>
      </w:r>
      <w:r>
        <w:rPr>
          <w:sz w:val="18"/>
          <w:i/>
          <w:b/>
          <w:szCs w:val="18"/>
          <w:bCs/>
          <w:rFonts w:eastAsia="Calibri"/>
          <w:color w:val="54883D"/>
          <w:lang w:bidi="en-US"/>
        </w:rPr>
        <w:fldChar w:fldCharType="separate"/>
      </w:r>
      <w:r>
        <w:rPr>
          <w:sz w:val="18"/>
          <w:i/>
          <w:b/>
          <w:szCs w:val="18"/>
          <w:bCs/>
          <w:rFonts w:eastAsia="Calibri"/>
          <w:color w:val="54883D"/>
          <w:lang w:bidi="en-US"/>
        </w:rPr>
        <w:t>22</w:t>
      </w:r>
      <w:r>
        <w:rPr>
          <w:sz w:val="18"/>
          <w:i/>
          <w:b/>
          <w:szCs w:val="18"/>
          <w:bCs/>
          <w:rFonts w:eastAsia="Calibri"/>
          <w:color w:val="54883D"/>
          <w:lang w:bidi="en-US"/>
        </w:rPr>
        <w:fldChar w:fldCharType="end"/>
      </w:r>
      <w:r>
        <w:rPr>
          <w:rFonts w:eastAsia="Calibri"/>
          <w:b/>
          <w:bCs/>
          <w:i/>
          <w:color w:val="54883D"/>
          <w:sz w:val="18"/>
          <w:szCs w:val="18"/>
          <w:lang w:bidi="en-US"/>
        </w:rPr>
        <w:t>. Vjerojatnost / frekvencija – epidemije i pandemije</w:t>
      </w:r>
    </w:p>
    <w:tbl>
      <w:tblPr>
        <w:tblStyle w:val="GridTable6Colorful-Accent31"/>
        <w:tblpPr w:bottomFromText="0" w:horzAnchor="margin" w:leftFromText="180" w:rightFromText="180" w:tblpX="0" w:tblpY="208" w:topFromText="0" w:vertAnchor="text"/>
        <w:tblW w:w="5000" w:type="pct"/>
        <w:jc w:val="left"/>
        <w:tblInd w:w="0" w:type="dxa"/>
        <w:tblCellMar>
          <w:top w:w="0" w:type="dxa"/>
          <w:left w:w="108" w:type="dxa"/>
          <w:bottom w:w="0" w:type="dxa"/>
          <w:right w:w="108" w:type="dxa"/>
        </w:tblCellMar>
        <w:tblLook w:firstRow="1" w:noVBand="1" w:lastRow="0" w:firstColumn="1" w:lastColumn="0" w:noHBand="0" w:val="04a0"/>
      </w:tblPr>
      <w:tblGrid>
        <w:gridCol w:w="1529"/>
        <w:gridCol w:w="1696"/>
        <w:gridCol w:w="1829"/>
        <w:gridCol w:w="2620"/>
        <w:gridCol w:w="1396"/>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rPr>
                <w:sz w:val="20"/>
                <w:szCs w:val="20"/>
              </w:rPr>
            </w:pPr>
            <w:r>
              <w:rPr>
                <w:b/>
                <w:bCs/>
                <w:color w:val="76923C" w:themeColor="accent3" w:themeShade="bf"/>
                <w:sz w:val="20"/>
                <w:szCs w:val="20"/>
              </w:rPr>
              <w:t>KATEGORIJA</w:t>
            </w:r>
          </w:p>
        </w:tc>
        <w:tc>
          <w:tcPr>
            <w:tcW w:w="7541" w:type="dxa"/>
            <w:gridSpan w:val="4"/>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VJEROJATNOST / 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sz w:val="20"/>
                <w:szCs w:val="20"/>
              </w:rPr>
            </w:pPr>
            <w:r>
              <w:rPr>
                <w:b w:val="false"/>
                <w:bCs/>
                <w:color w:val="76923C" w:themeColor="accent3" w:themeShade="bf"/>
                <w:sz w:val="20"/>
                <w:szCs w:val="20"/>
              </w:rPr>
            </w:r>
          </w:p>
        </w:tc>
        <w:tc>
          <w:tcPr>
            <w:tcW w:w="16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62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3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1.</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 1 %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2.</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3.</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4.</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70"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5.</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166" w:name="_Toc99955700"/>
      <w:bookmarkStart w:id="167" w:name="_Toc116990148"/>
      <w:r>
        <w:rPr/>
        <w:t>Podaci, izvori i metode proračuna</w:t>
      </w:r>
      <w:bookmarkEnd w:id="166"/>
      <w:bookmarkEnd w:id="167"/>
    </w:p>
    <w:p>
      <w:pPr>
        <w:pStyle w:val="Normal"/>
        <w:rPr>
          <w:szCs w:val="22"/>
        </w:rPr>
      </w:pPr>
      <w:r>
        <w:rPr>
          <w:szCs w:val="22"/>
        </w:rPr>
        <w:t>Prilikom izračuna zona ugroženosti i procjene rizika korišteni su podaci iz:</w:t>
      </w:r>
    </w:p>
    <w:p>
      <w:pPr>
        <w:pStyle w:val="ListParagraph"/>
        <w:numPr>
          <w:ilvl w:val="0"/>
          <w:numId w:val="5"/>
        </w:numPr>
        <w:rPr/>
      </w:pPr>
      <w:r>
        <w:rPr/>
        <w:t>Procjene ugroženosti stanovništva, materijalnih i kulturnih dobara te okoliša za područje Grada Buja (2015.)</w:t>
      </w:r>
    </w:p>
    <w:p>
      <w:pPr>
        <w:pStyle w:val="ListParagraph"/>
        <w:numPr>
          <w:ilvl w:val="0"/>
          <w:numId w:val="5"/>
        </w:numPr>
        <w:rPr/>
      </w:pPr>
      <w:r>
        <w:rPr/>
        <w:t xml:space="preserve">Procjena ugroženosti od katastrofa za Republiku Hrvatsku </w:t>
      </w:r>
    </w:p>
    <w:p>
      <w:pPr>
        <w:pStyle w:val="ListParagraph"/>
        <w:numPr>
          <w:ilvl w:val="0"/>
          <w:numId w:val="5"/>
        </w:numPr>
        <w:rPr/>
      </w:pPr>
      <w:r>
        <w:rPr/>
        <w:t>Popis stanovništva 2021.,</w:t>
      </w:r>
    </w:p>
    <w:p>
      <w:pPr>
        <w:pStyle w:val="ListParagraph"/>
        <w:numPr>
          <w:ilvl w:val="0"/>
          <w:numId w:val="5"/>
        </w:numPr>
        <w:rPr/>
      </w:pPr>
      <w:r>
        <w:rPr/>
        <w:t>Grada Buja</w:t>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168" w:name="_Toc99955701"/>
      <w:bookmarkStart w:id="169" w:name="_Toc116990149"/>
      <w:r>
        <w:rPr/>
        <w:t>Matrice rizika</w:t>
      </w:r>
      <w:bookmarkEnd w:id="168"/>
      <w:bookmarkEnd w:id="169"/>
    </w:p>
    <w:p>
      <w:pPr>
        <w:pStyle w:val="Normal"/>
        <w:rPr/>
      </w:pPr>
      <w:r>
        <w:rPr/>
        <w:t>Rizik: Epidemije i pandemije</w:t>
      </w:r>
    </w:p>
    <w:p>
      <w:pPr>
        <w:pStyle w:val="Normal"/>
        <w:rPr/>
      </w:pPr>
      <w:r>
        <w:rPr/>
        <w:t>Naziv scenarija: Pandemija SARS-CoV-2 virusa</w:t>
      </w:r>
    </w:p>
    <w:p>
      <w:pPr>
        <w:pStyle w:val="Normal"/>
        <w:rPr/>
      </w:pPr>
      <w:r>
        <w:rPr/>
      </w:r>
    </w:p>
    <w:p>
      <w:pPr>
        <w:pStyle w:val="Normal"/>
        <w:jc w:val="center"/>
        <w:rPr/>
      </w:pPr>
      <w:r>
        <w:rPr/>
      </w:r>
    </w:p>
    <w:p>
      <w:pPr>
        <w:pStyle w:val="Normal"/>
        <w:jc w:val="center"/>
        <w:rPr/>
      </w:pPr>
      <w:r>
        <w:rPr/>
        <w:drawing>
          <wp:inline distT="0" distB="0" distL="0" distR="0">
            <wp:extent cx="5210175" cy="4443730"/>
            <wp:effectExtent l="0" t="0" r="0" b="0"/>
            <wp:docPr id="54" name="Picture 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97" descr=""/>
                    <pic:cNvPicPr>
                      <a:picLocks noChangeAspect="1" noChangeArrowheads="1"/>
                    </pic:cNvPicPr>
                  </pic:nvPicPr>
                  <pic:blipFill>
                    <a:blip r:embed="rId48"/>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15" wp14:anchorId="2F7BA2B6">
                <wp:simplePos x="0" y="0"/>
                <wp:positionH relativeFrom="column">
                  <wp:posOffset>2149475</wp:posOffset>
                </wp:positionH>
                <wp:positionV relativeFrom="paragraph">
                  <wp:posOffset>1740535</wp:posOffset>
                </wp:positionV>
                <wp:extent cx="315595" cy="254000"/>
                <wp:effectExtent l="19050" t="0" r="28575" b="13970"/>
                <wp:wrapNone/>
                <wp:docPr id="53" name="Hexagon 60"/>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60" fillcolor="#4f81bd" stroked="t" style="position:absolute;margin-left:169.25pt;margin-top:137.05pt;width:24.75pt;height:19.9pt" wp14:anchorId="2F7BA2B6" type="shapetype_9">
                <w10:wrap type="none"/>
                <v:fill o:detectmouseclick="t" type="solid" color2="#b07e42"/>
                <v:stroke color="#4f81bd" weight="9360" joinstyle="miter" endcap="flat"/>
              </v:shape>
            </w:pict>
          </mc:Fallback>
        </mc:AlternateContent>
      </w:r>
    </w:p>
    <w:p>
      <w:pPr>
        <w:pStyle w:val="Normal"/>
        <w:jc w:val="left"/>
        <w:rPr/>
      </w:pPr>
      <w:r>
        <w:rPr/>
      </w:r>
    </w:p>
    <w:p>
      <w:pPr>
        <w:pStyle w:val="Normal"/>
        <w:jc w:val="center"/>
        <w:rPr>
          <w:b/>
          <w:b/>
          <w:sz w:val="20"/>
        </w:rPr>
      </w:pPr>
      <w:r>
        <w:rPr>
          <w:b/>
          <w:sz w:val="20"/>
        </w:rPr>
        <w:t>Život i zdravlje ljudi</w:t>
        <w:tab/>
        <w:tab/>
        <w:t xml:space="preserve">       Gospodarstvo</w:t>
        <w:tab/>
        <w:t xml:space="preserve">          Društvena stabilnost i politika</w:t>
      </w:r>
    </w:p>
    <w:p>
      <w:pPr>
        <w:pStyle w:val="Normal"/>
        <w:jc w:val="center"/>
        <w:rPr>
          <w:b/>
          <w:b/>
          <w:sz w:val="20"/>
        </w:rPr>
      </w:pPr>
      <w:r>
        <mc:AlternateContent>
          <mc:Choice Requires="wps">
            <w:drawing>
              <wp:anchor behindDoc="0" distT="0" distB="0" distL="0" distR="0" simplePos="0" locked="0" layoutInCell="1" allowOverlap="1" relativeHeight="16" wp14:anchorId="2456AA1F">
                <wp:simplePos x="0" y="0"/>
                <wp:positionH relativeFrom="column">
                  <wp:posOffset>748030</wp:posOffset>
                </wp:positionH>
                <wp:positionV relativeFrom="paragraph">
                  <wp:posOffset>297180</wp:posOffset>
                </wp:positionV>
                <wp:extent cx="112395" cy="92075"/>
                <wp:effectExtent l="19050" t="0" r="41275" b="23495"/>
                <wp:wrapNone/>
                <wp:docPr id="55" name="Hexagon 316"/>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16" fillcolor="#4f81bd" stroked="t" style="position:absolute;margin-left:58.9pt;margin-top:23.4pt;width:8.75pt;height:7.15pt" wp14:anchorId="2456AA1F"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17" wp14:anchorId="5C771666">
                <wp:simplePos x="0" y="0"/>
                <wp:positionH relativeFrom="column">
                  <wp:posOffset>2602865</wp:posOffset>
                </wp:positionH>
                <wp:positionV relativeFrom="paragraph">
                  <wp:posOffset>883285</wp:posOffset>
                </wp:positionV>
                <wp:extent cx="112395" cy="92075"/>
                <wp:effectExtent l="19050" t="0" r="41275" b="23495"/>
                <wp:wrapNone/>
                <wp:docPr id="56" name="Hexagon 315"/>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15" fillcolor="#4f81bd" stroked="t" style="position:absolute;margin-left:204.95pt;margin-top:69.55pt;width:8.75pt;height:7.15pt" wp14:anchorId="5C771666"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18" wp14:anchorId="1131975B">
                <wp:simplePos x="0" y="0"/>
                <wp:positionH relativeFrom="column">
                  <wp:posOffset>4486275</wp:posOffset>
                </wp:positionH>
                <wp:positionV relativeFrom="paragraph">
                  <wp:posOffset>853440</wp:posOffset>
                </wp:positionV>
                <wp:extent cx="112395" cy="92075"/>
                <wp:effectExtent l="19050" t="0" r="41275" b="23495"/>
                <wp:wrapNone/>
                <wp:docPr id="57" name="Hexagon 314"/>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14" fillcolor="#4f81bd" stroked="t" style="position:absolute;margin-left:353.25pt;margin-top:67.2pt;width:8.75pt;height:7.15pt" wp14:anchorId="1131975B"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58" name="Picture 3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17" descr=""/>
                    <pic:cNvPicPr>
                      <a:picLocks noChangeAspect="1" noChangeArrowheads="1"/>
                    </pic:cNvPicPr>
                  </pic:nvPicPr>
                  <pic:blipFill>
                    <a:blip r:embed="rId49"/>
                    <a:stretch>
                      <a:fillRect/>
                    </a:stretch>
                  </pic:blipFill>
                  <pic:spPr bwMode="auto">
                    <a:xfrm>
                      <a:off x="0" y="0"/>
                      <a:ext cx="1828800" cy="1554480"/>
                    </a:xfrm>
                    <a:prstGeom prst="rect">
                      <a:avLst/>
                    </a:prstGeom>
                  </pic:spPr>
                </pic:pic>
              </a:graphicData>
            </a:graphic>
          </wp:inline>
        </w:drawing>
      </w:r>
      <w:r>
        <w:rPr/>
        <w:drawing>
          <wp:inline distT="0" distB="0" distL="0" distR="0">
            <wp:extent cx="1905000" cy="1619250"/>
            <wp:effectExtent l="0" t="0" r="0" b="0"/>
            <wp:docPr id="59" name="Picture 3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318" descr=""/>
                    <pic:cNvPicPr>
                      <a:picLocks noChangeAspect="1" noChangeArrowheads="1"/>
                    </pic:cNvPicPr>
                  </pic:nvPicPr>
                  <pic:blipFill>
                    <a:blip r:embed="rId50"/>
                    <a:stretch>
                      <a:fillRect/>
                    </a:stretch>
                  </pic:blipFill>
                  <pic:spPr bwMode="auto">
                    <a:xfrm>
                      <a:off x="0" y="0"/>
                      <a:ext cx="1905000" cy="1619250"/>
                    </a:xfrm>
                    <a:prstGeom prst="rect">
                      <a:avLst/>
                    </a:prstGeom>
                  </pic:spPr>
                </pic:pic>
              </a:graphicData>
            </a:graphic>
          </wp:inline>
        </w:drawing>
      </w:r>
      <w:r>
        <w:rPr/>
        <w:drawing>
          <wp:inline distT="0" distB="0" distL="0" distR="0">
            <wp:extent cx="1906270" cy="1620520"/>
            <wp:effectExtent l="0" t="0" r="0" b="0"/>
            <wp:docPr id="60" name="Picture 3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19" descr=""/>
                    <pic:cNvPicPr>
                      <a:picLocks noChangeAspect="1" noChangeArrowheads="1"/>
                    </pic:cNvPicPr>
                  </pic:nvPicPr>
                  <pic:blipFill>
                    <a:blip r:embed="rId51"/>
                    <a:stretch>
                      <a:fillRect/>
                    </a:stretch>
                  </pic:blipFill>
                  <pic:spPr bwMode="auto">
                    <a:xfrm>
                      <a:off x="0" y="0"/>
                      <a:ext cx="1906270" cy="1620520"/>
                    </a:xfrm>
                    <a:prstGeom prst="rect">
                      <a:avLst/>
                    </a:prstGeom>
                  </pic:spPr>
                </pic:pic>
              </a:graphicData>
            </a:graphic>
          </wp:inline>
        </w:drawing>
      </w:r>
    </w:p>
    <w:p>
      <w:pPr>
        <w:pStyle w:val="Normal"/>
        <w:jc w:val="center"/>
        <w:rPr>
          <w:b/>
          <w:b/>
          <w:sz w:val="20"/>
        </w:rPr>
      </w:pPr>
      <w:r>
        <w:rPr>
          <w:b/>
          <w:sz w:val="20"/>
        </w:rPr>
      </w:r>
    </w:p>
    <w:p>
      <w:pPr>
        <w:pStyle w:val="Normal"/>
        <w:jc w:val="center"/>
        <w:rPr>
          <w:b/>
          <w:b/>
          <w:sz w:val="20"/>
        </w:rPr>
      </w:pPr>
      <w:r>
        <w:rPr>
          <w:b/>
          <w:sz w:val="20"/>
        </w:rPr>
      </w:r>
    </w:p>
    <w:p>
      <w:pPr>
        <w:pStyle w:val="Stilnaslova2"/>
        <w:numPr>
          <w:ilvl w:val="1"/>
          <w:numId w:val="2"/>
        </w:numPr>
        <w:rPr/>
      </w:pPr>
      <w:bookmarkStart w:id="170" w:name="_Toc99955702"/>
      <w:bookmarkStart w:id="171" w:name="_Toc116990150"/>
      <w:r>
        <w:rPr/>
        <w:t>Industrijske nesreće</w:t>
      </w:r>
      <w:bookmarkEnd w:id="170"/>
      <w:bookmarkEnd w:id="171"/>
    </w:p>
    <w:p>
      <w:pPr>
        <w:pStyle w:val="Stilnaslova3"/>
        <w:numPr>
          <w:ilvl w:val="2"/>
          <w:numId w:val="2"/>
        </w:numPr>
        <w:ind w:left="709" w:hanging="721"/>
        <w:rPr/>
      </w:pPr>
      <w:bookmarkStart w:id="172" w:name="_Toc99955703"/>
      <w:bookmarkStart w:id="173" w:name="_Toc116990151"/>
      <w:r>
        <w:rPr/>
        <w:t>Naziv scenarija</w:t>
      </w:r>
      <w:bookmarkEnd w:id="172"/>
      <w:bookmarkEnd w:id="173"/>
    </w:p>
    <w:p>
      <w:pPr>
        <w:pStyle w:val="Normal"/>
        <w:rPr>
          <w:lang w:bidi="en-US"/>
        </w:rPr>
      </w:pPr>
      <w:r>
        <w:rPr>
          <w:lang w:bidi="en-US"/>
        </w:rPr>
      </w:r>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bookmarkStart w:id="174" w:name="_Hlk514845759"/>
            <w:r>
              <w:rPr>
                <w:b w:val="false"/>
                <w:bCs/>
                <w:color w:val="76923C" w:themeColor="accent3" w:themeShade="bf"/>
              </w:rPr>
              <w:t>Puknuće UNP spremnika autocisterne s BLEV(E) posljedicom na lokaciji MPM Buje tvrtke INA d.d.</w:t>
            </w:r>
            <w:bookmarkEnd w:id="174"/>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Tehničko tehnološke nesreće s opasnim tvarima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Industrijske nesreće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D6E3BC" w:themeFill="accent3" w:themeFillTint="66"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highlight w:val="yellow"/>
        </w:rPr>
      </w:pPr>
      <w:r>
        <w:rPr>
          <w:highlight w:val="yellow"/>
        </w:rPr>
      </w:r>
    </w:p>
    <w:p>
      <w:pPr>
        <w:pStyle w:val="Stilnaslova3"/>
        <w:numPr>
          <w:ilvl w:val="2"/>
          <w:numId w:val="2"/>
        </w:numPr>
        <w:ind w:left="709" w:hanging="721"/>
        <w:rPr/>
      </w:pPr>
      <w:bookmarkStart w:id="175" w:name="_Toc99955704"/>
      <w:bookmarkStart w:id="176" w:name="_Toc116990152"/>
      <w:r>
        <w:rPr/>
        <w:t>Uvod</w:t>
      </w:r>
      <w:bookmarkEnd w:id="175"/>
      <w:bookmarkEnd w:id="176"/>
    </w:p>
    <w:p>
      <w:pPr>
        <w:pStyle w:val="Normal"/>
        <w:spacing w:before="120" w:after="120"/>
        <w:rPr/>
      </w:pPr>
      <w:r>
        <w:rPr/>
        <w:t>Na području Grada Buje -Buie nalazi se nekoliko pravnih osoba koje na lokaciji skladište ili u svom poslovanju koriste opasne tvari. U nastavku je dana tablica s popisom pravnih osoba, te vrstama i količinama opasnih tvari kao i način skladištenja istih na pojedinoj lokaciji.</w:t>
      </w:r>
    </w:p>
    <w:p>
      <w:pPr>
        <w:pStyle w:val="Normal"/>
        <w:spacing w:before="120" w:after="120"/>
        <w:rPr>
          <w:szCs w:val="22"/>
        </w:rPr>
      </w:pPr>
      <w:r>
        <w:rPr>
          <w:szCs w:val="22"/>
        </w:rPr>
      </w:r>
    </w:p>
    <w:tbl>
      <w:tblPr>
        <w:tblW w:w="9764" w:type="dxa"/>
        <w:jc w:val="center"/>
        <w:tblInd w:w="0" w:type="dxa"/>
        <w:tblCellMar>
          <w:top w:w="0" w:type="dxa"/>
          <w:left w:w="70" w:type="dxa"/>
          <w:bottom w:w="0" w:type="dxa"/>
          <w:right w:w="70" w:type="dxa"/>
        </w:tblCellMar>
        <w:tblLook w:firstRow="0" w:noVBand="0" w:lastRow="0" w:firstColumn="0" w:lastColumn="0" w:noHBand="0" w:val="0000"/>
      </w:tblPr>
      <w:tblGrid>
        <w:gridCol w:w="1452"/>
        <w:gridCol w:w="1430"/>
        <w:gridCol w:w="1039"/>
        <w:gridCol w:w="1557"/>
        <w:gridCol w:w="1170"/>
        <w:gridCol w:w="1297"/>
        <w:gridCol w:w="1818"/>
      </w:tblGrid>
      <w:tr>
        <w:trPr>
          <w:trHeight w:val="400" w:hRule="atLeast"/>
          <w:cantSplit w:val="true"/>
        </w:trPr>
        <w:tc>
          <w:tcPr>
            <w:tcW w:w="1452"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rPr>
                <w:b/>
                <w:b/>
                <w:sz w:val="20"/>
                <w:szCs w:val="20"/>
              </w:rPr>
            </w:pPr>
            <w:r>
              <w:rPr>
                <w:b/>
                <w:sz w:val="20"/>
                <w:szCs w:val="20"/>
              </w:rPr>
              <w:t>Pravna osoba</w:t>
            </w:r>
          </w:p>
        </w:tc>
        <w:tc>
          <w:tcPr>
            <w:tcW w:w="1430"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jc w:val="center"/>
              <w:rPr>
                <w:b/>
                <w:b/>
                <w:sz w:val="20"/>
                <w:szCs w:val="20"/>
              </w:rPr>
            </w:pPr>
            <w:r>
              <w:rPr>
                <w:b/>
                <w:sz w:val="20"/>
                <w:szCs w:val="20"/>
              </w:rPr>
              <w:t>Lokacija/adresa</w:t>
            </w:r>
          </w:p>
        </w:tc>
        <w:tc>
          <w:tcPr>
            <w:tcW w:w="1039"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jc w:val="center"/>
              <w:rPr>
                <w:b/>
                <w:b/>
                <w:sz w:val="20"/>
                <w:szCs w:val="20"/>
              </w:rPr>
            </w:pPr>
            <w:r>
              <w:rPr>
                <w:b/>
                <w:sz w:val="20"/>
                <w:szCs w:val="20"/>
              </w:rPr>
              <w:t>Vrsta opasne tvari</w:t>
            </w:r>
          </w:p>
        </w:tc>
        <w:tc>
          <w:tcPr>
            <w:tcW w:w="1557"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jc w:val="center"/>
              <w:rPr>
                <w:b/>
                <w:b/>
                <w:sz w:val="20"/>
                <w:szCs w:val="20"/>
              </w:rPr>
            </w:pPr>
            <w:r>
              <w:rPr>
                <w:b/>
                <w:sz w:val="20"/>
                <w:szCs w:val="20"/>
              </w:rPr>
              <w:t>Način skladištenja</w:t>
            </w:r>
          </w:p>
        </w:tc>
        <w:tc>
          <w:tcPr>
            <w:tcW w:w="1170"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jc w:val="center"/>
              <w:rPr>
                <w:b/>
                <w:b/>
                <w:sz w:val="20"/>
                <w:szCs w:val="20"/>
              </w:rPr>
            </w:pPr>
            <w:r>
              <w:rPr>
                <w:b/>
                <w:sz w:val="20"/>
                <w:szCs w:val="20"/>
              </w:rPr>
              <w:t>Količina</w:t>
            </w:r>
          </w:p>
          <w:p>
            <w:pPr>
              <w:pStyle w:val="Normal"/>
              <w:numPr>
                <w:ilvl w:val="0"/>
                <w:numId w:val="0"/>
              </w:numPr>
              <w:spacing w:lineRule="auto" w:line="240" w:before="0" w:after="0"/>
              <w:ind w:left="0" w:hanging="0"/>
              <w:jc w:val="center"/>
              <w:rPr>
                <w:b/>
                <w:b/>
                <w:sz w:val="20"/>
                <w:szCs w:val="20"/>
              </w:rPr>
            </w:pPr>
            <w:r>
              <w:rPr>
                <w:b/>
                <w:sz w:val="20"/>
                <w:szCs w:val="20"/>
              </w:rPr>
              <w:t>( prosječna)</w:t>
            </w:r>
          </w:p>
        </w:tc>
        <w:tc>
          <w:tcPr>
            <w:tcW w:w="1297"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numPr>
                <w:ilvl w:val="0"/>
                <w:numId w:val="0"/>
              </w:numPr>
              <w:spacing w:lineRule="auto" w:line="240" w:before="0" w:after="0"/>
              <w:ind w:left="0" w:hanging="0"/>
              <w:jc w:val="center"/>
              <w:rPr>
                <w:b/>
                <w:b/>
                <w:sz w:val="20"/>
                <w:szCs w:val="20"/>
              </w:rPr>
            </w:pPr>
            <w:r>
              <w:rPr>
                <w:b/>
                <w:sz w:val="20"/>
                <w:szCs w:val="20"/>
              </w:rPr>
              <w:t>Udaljenost od naselja</w:t>
            </w:r>
          </w:p>
        </w:tc>
        <w:tc>
          <w:tcPr>
            <w:tcW w:w="1818"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numPr>
                <w:ilvl w:val="0"/>
                <w:numId w:val="0"/>
              </w:numPr>
              <w:spacing w:lineRule="auto" w:line="240" w:before="0" w:after="0"/>
              <w:ind w:left="0" w:hanging="0"/>
              <w:jc w:val="center"/>
              <w:rPr>
                <w:b/>
                <w:b/>
                <w:sz w:val="20"/>
                <w:szCs w:val="20"/>
              </w:rPr>
            </w:pPr>
            <w:r>
              <w:rPr>
                <w:b/>
                <w:sz w:val="20"/>
                <w:szCs w:val="20"/>
              </w:rPr>
              <w:t xml:space="preserve">Obveza izrade Procijene rizika i </w:t>
            </w:r>
            <w:r>
              <w:rPr>
                <w:b/>
                <w:color w:val="auto"/>
                <w:sz w:val="20"/>
                <w:szCs w:val="20"/>
              </w:rPr>
              <w:t>Operativnog plana s obzirom na količine opasnih tvari</w:t>
            </w:r>
          </w:p>
        </w:tc>
      </w:tr>
      <w:tr>
        <w:trPr>
          <w:trHeight w:val="1327" w:hRule="atLeast"/>
          <w:cantSplit w:val="true"/>
        </w:trPr>
        <w:tc>
          <w:tcPr>
            <w:tcW w:w="1452"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BIFIX BUJE</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430" w:type="dxa"/>
            <w:vMerge w:val="restart"/>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 </w:t>
            </w:r>
            <w:r>
              <w:rPr>
                <w:sz w:val="20"/>
                <w:szCs w:val="20"/>
              </w:rPr>
              <w:t>Digitronska 10 </w:t>
              <w:br/>
              <w:t>52460 BUJE</w:t>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lož ulje</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1770" w:leader="none"/>
              </w:tabs>
              <w:spacing w:before="0" w:after="0"/>
              <w:jc w:val="center"/>
              <w:rPr>
                <w:sz w:val="20"/>
                <w:szCs w:val="20"/>
              </w:rPr>
            </w:pPr>
            <w:r>
              <w:rPr>
                <w:sz w:val="20"/>
                <w:szCs w:val="20"/>
              </w:rPr>
            </w:r>
          </w:p>
          <w:p>
            <w:pPr>
              <w:pStyle w:val="Normal"/>
              <w:tabs>
                <w:tab w:val="clear" w:pos="708"/>
                <w:tab w:val="left" w:pos="1770" w:leader="none"/>
              </w:tabs>
              <w:spacing w:before="0" w:after="0"/>
              <w:jc w:val="center"/>
              <w:rPr>
                <w:sz w:val="20"/>
                <w:szCs w:val="20"/>
              </w:rPr>
            </w:pPr>
            <w:r>
              <w:rPr>
                <w:sz w:val="20"/>
                <w:szCs w:val="20"/>
              </w:rPr>
              <w:t>ukopani rezervoar  zapremnine 15000 l</w:t>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7 500 l</w:t>
            </w:r>
          </w:p>
        </w:tc>
        <w:tc>
          <w:tcPr>
            <w:tcW w:w="129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u naselju</w:t>
            </w:r>
          </w:p>
        </w:tc>
        <w:tc>
          <w:tcPr>
            <w:tcW w:w="1818"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263" w:hRule="atLeast"/>
          <w:cantSplit w:val="true"/>
        </w:trPr>
        <w:tc>
          <w:tcPr>
            <w:tcW w:w="1452"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430"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pigmenti</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skladište površine 40 m</w:t>
            </w:r>
            <w:r>
              <w:rPr>
                <w:sz w:val="20"/>
                <w:szCs w:val="20"/>
                <w:vertAlign w:val="superscript"/>
              </w:rPr>
              <w:t>2</w:t>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1 000 kg</w:t>
            </w:r>
          </w:p>
        </w:tc>
        <w:tc>
          <w:tcPr>
            <w:tcW w:w="129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u naselju</w:t>
            </w:r>
          </w:p>
        </w:tc>
        <w:tc>
          <w:tcPr>
            <w:tcW w:w="1818"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1312" w:hRule="atLeast"/>
        </w:trPr>
        <w:tc>
          <w:tcPr>
            <w:tcW w:w="1452"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FEROPLAST</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BUJE</w:t>
            </w:r>
          </w:p>
        </w:tc>
        <w:tc>
          <w:tcPr>
            <w:tcW w:w="143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Grožnjanska cesta 5 52460 Buje</w:t>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lož ulje</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rezervoar zapremnine</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15000 l</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5 000- 6 000 l</w:t>
            </w:r>
          </w:p>
        </w:tc>
        <w:tc>
          <w:tcPr>
            <w:tcW w:w="129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u naselju</w:t>
            </w:r>
          </w:p>
        </w:tc>
        <w:tc>
          <w:tcPr>
            <w:tcW w:w="1818"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1067" w:hRule="atLeast"/>
        </w:trPr>
        <w:tc>
          <w:tcPr>
            <w:tcW w:w="1452"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DIGITRON BUJE</w:t>
            </w:r>
          </w:p>
        </w:tc>
        <w:tc>
          <w:tcPr>
            <w:tcW w:w="143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spacing w:before="80" w:after="160"/>
              <w:jc w:val="center"/>
              <w:rPr>
                <w:sz w:val="20"/>
                <w:szCs w:val="20"/>
              </w:rPr>
            </w:pPr>
            <w:r>
              <w:rPr>
                <w:sz w:val="20"/>
                <w:szCs w:val="20"/>
              </w:rPr>
              <w:t>Digitronska 33, 52460 Buje</w:t>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lož ulje</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Rezervoar zapremine</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20 000 l</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5 000-6 000 l</w:t>
            </w:r>
          </w:p>
        </w:tc>
        <w:tc>
          <w:tcPr>
            <w:tcW w:w="129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800 m</w:t>
            </w:r>
          </w:p>
        </w:tc>
        <w:tc>
          <w:tcPr>
            <w:tcW w:w="1818"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534" w:hRule="atLeast"/>
        </w:trPr>
        <w:tc>
          <w:tcPr>
            <w:tcW w:w="1452"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OŠ Mate Balota Buje</w:t>
            </w:r>
          </w:p>
        </w:tc>
        <w:tc>
          <w:tcPr>
            <w:tcW w:w="143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Školski brijeg 2, 52460, Buje</w:t>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lož ulje</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spremnik</w:t>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16 000 l</w:t>
            </w:r>
          </w:p>
        </w:tc>
        <w:tc>
          <w:tcPr>
            <w:tcW w:w="129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100 m</w:t>
            </w:r>
          </w:p>
        </w:tc>
        <w:tc>
          <w:tcPr>
            <w:tcW w:w="1818"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422" w:hRule="atLeast"/>
        </w:trPr>
        <w:tc>
          <w:tcPr>
            <w:tcW w:w="1452"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highlight w:val="red"/>
              </w:rPr>
            </w:pPr>
            <w:r>
              <w:rPr>
                <w:sz w:val="20"/>
                <w:szCs w:val="20"/>
              </w:rPr>
              <w:t>INA – BENZINSKA CRPKA PLOVANIJA</w:t>
            </w:r>
          </w:p>
        </w:tc>
        <w:tc>
          <w:tcPr>
            <w:tcW w:w="1430" w:type="dxa"/>
            <w:vMerge w:val="restart"/>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hyperlink r:id="rId52">
              <w:r>
                <w:rPr>
                  <w:sz w:val="20"/>
                  <w:szCs w:val="20"/>
                </w:rPr>
                <w:t>Plovanija 2</w:t>
              </w:r>
            </w:hyperlink>
            <w:r>
              <w:rPr>
                <w:sz w:val="20"/>
                <w:szCs w:val="20"/>
              </w:rPr>
              <w:t> </w:t>
            </w:r>
            <w:hyperlink r:id="rId53">
              <w:r>
                <w:rPr>
                  <w:sz w:val="20"/>
                  <w:szCs w:val="20"/>
                </w:rPr>
                <w:t>52460 Kaldanija </w:t>
              </w:r>
            </w:hyperlink>
          </w:p>
        </w:tc>
        <w:tc>
          <w:tcPr>
            <w:tcW w:w="1039"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dizel gorivo</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557"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Podzemni spremnik</w:t>
            </w:r>
          </w:p>
        </w:tc>
        <w:tc>
          <w:tcPr>
            <w:tcW w:w="117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48.888 kg</w:t>
            </w:r>
          </w:p>
        </w:tc>
        <w:tc>
          <w:tcPr>
            <w:tcW w:w="1297"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250 m</w:t>
            </w:r>
          </w:p>
        </w:tc>
        <w:tc>
          <w:tcPr>
            <w:tcW w:w="1818"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DA</w:t>
            </w:r>
          </w:p>
        </w:tc>
      </w:tr>
      <w:tr>
        <w:trPr>
          <w:trHeight w:val="422" w:hRule="atLeast"/>
        </w:trPr>
        <w:tc>
          <w:tcPr>
            <w:tcW w:w="1452"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highlight w:val="red"/>
              </w:rPr>
            </w:pPr>
            <w:r>
              <w:rPr>
                <w:sz w:val="20"/>
                <w:szCs w:val="20"/>
                <w:highlight w:val="red"/>
              </w:rPr>
            </w:r>
          </w:p>
        </w:tc>
        <w:tc>
          <w:tcPr>
            <w:tcW w:w="1430"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039"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benzinsko gorivo</w:t>
            </w:r>
          </w:p>
        </w:tc>
        <w:tc>
          <w:tcPr>
            <w:tcW w:w="1557"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Podzemni spremnik</w:t>
            </w:r>
          </w:p>
        </w:tc>
        <w:tc>
          <w:tcPr>
            <w:tcW w:w="117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21.752 kg</w:t>
            </w:r>
          </w:p>
        </w:tc>
        <w:tc>
          <w:tcPr>
            <w:tcW w:w="1297"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818"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r>
      <w:tr>
        <w:trPr>
          <w:trHeight w:val="362" w:hRule="atLeast"/>
        </w:trPr>
        <w:tc>
          <w:tcPr>
            <w:tcW w:w="1452"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highlight w:val="red"/>
              </w:rPr>
            </w:pPr>
            <w:r>
              <w:rPr>
                <w:sz w:val="20"/>
                <w:szCs w:val="20"/>
              </w:rPr>
              <w:t>INA – BENZINSKA CRPKA BUJE</w:t>
            </w:r>
          </w:p>
        </w:tc>
        <w:tc>
          <w:tcPr>
            <w:tcW w:w="1430" w:type="dxa"/>
            <w:vMerge w:val="restart"/>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Gospodarska 3</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52460 Buje</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039"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dizel gorivo</w:t>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557"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Podzemni spremnik</w:t>
            </w:r>
          </w:p>
        </w:tc>
        <w:tc>
          <w:tcPr>
            <w:tcW w:w="117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89.628kg</w:t>
            </w:r>
          </w:p>
        </w:tc>
        <w:tc>
          <w:tcPr>
            <w:tcW w:w="1297"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U naselju</w:t>
            </w:r>
          </w:p>
        </w:tc>
        <w:tc>
          <w:tcPr>
            <w:tcW w:w="1818"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DA</w:t>
            </w:r>
          </w:p>
        </w:tc>
      </w:tr>
      <w:tr>
        <w:trPr>
          <w:trHeight w:val="362" w:hRule="atLeast"/>
        </w:trPr>
        <w:tc>
          <w:tcPr>
            <w:tcW w:w="1452"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430" w:type="dxa"/>
            <w:vMerge w:val="continue"/>
            <w:tcBorders>
              <w:top w:val="single" w:sz="4" w:space="0" w:color="76923C"/>
              <w:left w:val="single" w:sz="4" w:space="0" w:color="76923C"/>
              <w:bottom w:val="single" w:sz="4" w:space="0" w:color="76923C"/>
              <w:right w:val="single" w:sz="4" w:space="0" w:color="76923C"/>
            </w:tcBorders>
          </w:tcPr>
          <w:p>
            <w:pPr>
              <w:pStyle w:val="Normal"/>
              <w:shd w:val="clear" w:color="auto" w:fill="FFFFFF"/>
              <w:spacing w:lineRule="auto" w:line="240" w:before="0" w:after="0"/>
              <w:jc w:val="left"/>
              <w:rPr>
                <w:color w:val="666666"/>
                <w:sz w:val="20"/>
                <w:szCs w:val="20"/>
                <w:lang w:eastAsia="hr-HR"/>
              </w:rPr>
            </w:pPr>
            <w:r>
              <w:rPr>
                <w:color w:val="666666"/>
                <w:sz w:val="20"/>
                <w:szCs w:val="20"/>
                <w:lang w:eastAsia="hr-HR"/>
              </w:rPr>
            </w:r>
          </w:p>
        </w:tc>
        <w:tc>
          <w:tcPr>
            <w:tcW w:w="1039"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benzinsko gorivo</w:t>
            </w:r>
          </w:p>
        </w:tc>
        <w:tc>
          <w:tcPr>
            <w:tcW w:w="1557"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Podzemni spremnik</w:t>
            </w:r>
          </w:p>
        </w:tc>
        <w:tc>
          <w:tcPr>
            <w:tcW w:w="117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50.755kg</w:t>
            </w:r>
          </w:p>
        </w:tc>
        <w:tc>
          <w:tcPr>
            <w:tcW w:w="1297"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818"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r>
      <w:tr>
        <w:trPr>
          <w:trHeight w:val="362" w:hRule="atLeast"/>
        </w:trPr>
        <w:tc>
          <w:tcPr>
            <w:tcW w:w="1452"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430" w:type="dxa"/>
            <w:vMerge w:val="continue"/>
            <w:tcBorders>
              <w:top w:val="single" w:sz="4" w:space="0" w:color="76923C"/>
              <w:left w:val="single" w:sz="4" w:space="0" w:color="76923C"/>
              <w:bottom w:val="single" w:sz="4" w:space="0" w:color="76923C"/>
              <w:right w:val="single" w:sz="4" w:space="0" w:color="76923C"/>
            </w:tcBorders>
          </w:tcPr>
          <w:p>
            <w:pPr>
              <w:pStyle w:val="Normal"/>
              <w:shd w:val="clear" w:color="auto" w:fill="FFFFFF"/>
              <w:spacing w:lineRule="auto" w:line="240" w:before="0" w:after="0"/>
              <w:jc w:val="left"/>
              <w:rPr>
                <w:color w:val="666666"/>
                <w:sz w:val="20"/>
                <w:szCs w:val="20"/>
                <w:lang w:eastAsia="hr-HR"/>
              </w:rPr>
            </w:pPr>
            <w:r>
              <w:rPr>
                <w:color w:val="666666"/>
                <w:sz w:val="20"/>
                <w:szCs w:val="20"/>
                <w:lang w:eastAsia="hr-HR"/>
              </w:rPr>
            </w:r>
          </w:p>
        </w:tc>
        <w:tc>
          <w:tcPr>
            <w:tcW w:w="1039"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UNP</w:t>
            </w:r>
          </w:p>
        </w:tc>
        <w:tc>
          <w:tcPr>
            <w:tcW w:w="1557"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Podzemni spremnik</w:t>
            </w:r>
          </w:p>
        </w:tc>
        <w:tc>
          <w:tcPr>
            <w:tcW w:w="1170" w:type="dxa"/>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2.720kg</w:t>
            </w:r>
          </w:p>
        </w:tc>
        <w:tc>
          <w:tcPr>
            <w:tcW w:w="1297"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818"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r>
      <w:tr>
        <w:trPr>
          <w:trHeight w:val="400" w:hRule="atLeast"/>
        </w:trPr>
        <w:tc>
          <w:tcPr>
            <w:tcW w:w="1452"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ZEBRA d.o.o. NEDEŠĆINA PLOVANIJA</w:t>
            </w:r>
          </w:p>
        </w:tc>
        <w:tc>
          <w:tcPr>
            <w:tcW w:w="1430" w:type="dxa"/>
            <w:vMerge w:val="restart"/>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rPr>
                <w:sz w:val="20"/>
                <w:szCs w:val="20"/>
              </w:rPr>
            </w:pPr>
            <w:r>
              <w:rPr>
                <w:sz w:val="20"/>
                <w:szCs w:val="20"/>
              </w:rPr>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lož ulje</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Nadzemni spremnik</w:t>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t>20 000 l</w:t>
            </w:r>
          </w:p>
        </w:tc>
        <w:tc>
          <w:tcPr>
            <w:tcW w:w="1297" w:type="dxa"/>
            <w:vMerge w:val="restart"/>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tc>
        <w:tc>
          <w:tcPr>
            <w:tcW w:w="1818" w:type="dxa"/>
            <w:vMerge w:val="restart"/>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sz w:val="20"/>
                <w:szCs w:val="20"/>
              </w:rPr>
            </w:pPr>
            <w:r>
              <w:rPr>
                <w:sz w:val="20"/>
                <w:szCs w:val="20"/>
              </w:rPr>
            </w:r>
          </w:p>
          <w:p>
            <w:pPr>
              <w:pStyle w:val="Normal"/>
              <w:numPr>
                <w:ilvl w:val="0"/>
                <w:numId w:val="0"/>
              </w:numPr>
              <w:tabs>
                <w:tab w:val="clear" w:pos="708"/>
                <w:tab w:val="left" w:pos="1770" w:leader="none"/>
              </w:tabs>
              <w:spacing w:before="0" w:after="0"/>
              <w:ind w:left="0" w:hanging="0"/>
              <w:jc w:val="center"/>
              <w:rPr>
                <w:sz w:val="20"/>
                <w:szCs w:val="20"/>
              </w:rPr>
            </w:pPr>
            <w:r>
              <w:rPr>
                <w:sz w:val="20"/>
                <w:szCs w:val="20"/>
              </w:rPr>
              <w:t>NE</w:t>
            </w:r>
          </w:p>
        </w:tc>
      </w:tr>
      <w:tr>
        <w:trPr>
          <w:trHeight w:val="399" w:hRule="atLeast"/>
        </w:trPr>
        <w:tc>
          <w:tcPr>
            <w:tcW w:w="1452"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r>
          </w:p>
        </w:tc>
        <w:tc>
          <w:tcPr>
            <w:tcW w:w="1430"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rPr>
                <w:rFonts w:ascii="Arial Narrow" w:hAnsi="Arial Narrow"/>
                <w:sz w:val="20"/>
                <w:szCs w:val="20"/>
              </w:rPr>
            </w:pPr>
            <w:r>
              <w:rPr>
                <w:rFonts w:ascii="Arial Narrow" w:hAnsi="Arial Narrow"/>
                <w:sz w:val="20"/>
                <w:szCs w:val="20"/>
              </w:rPr>
            </w:r>
          </w:p>
        </w:tc>
        <w:tc>
          <w:tcPr>
            <w:tcW w:w="1039"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t>bitumen</w:t>
            </w:r>
          </w:p>
        </w:tc>
        <w:tc>
          <w:tcPr>
            <w:tcW w:w="1557"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t>Asfaltna baza</w:t>
            </w:r>
          </w:p>
        </w:tc>
        <w:tc>
          <w:tcPr>
            <w:tcW w:w="1170"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t>65 t</w:t>
            </w:r>
          </w:p>
        </w:tc>
        <w:tc>
          <w:tcPr>
            <w:tcW w:w="1297" w:type="dxa"/>
            <w:vMerge w:val="continue"/>
            <w:tcBorders>
              <w:top w:val="single" w:sz="4" w:space="0" w:color="76923C"/>
              <w:left w:val="single" w:sz="4" w:space="0" w:color="76923C"/>
              <w:bottom w:val="single" w:sz="4" w:space="0" w:color="76923C"/>
              <w:right w:val="single" w:sz="4" w:space="0" w:color="76923C"/>
            </w:tcBorders>
            <w:vAlign w:val="center"/>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r>
          </w:p>
        </w:tc>
        <w:tc>
          <w:tcPr>
            <w:tcW w:w="1818" w:type="dxa"/>
            <w:vMerge w:val="continue"/>
            <w:tcBorders>
              <w:top w:val="single" w:sz="4" w:space="0" w:color="76923C"/>
              <w:left w:val="single" w:sz="4" w:space="0" w:color="76923C"/>
              <w:bottom w:val="single" w:sz="4" w:space="0" w:color="76923C"/>
              <w:right w:val="single" w:sz="4" w:space="0" w:color="76923C"/>
            </w:tcBorders>
          </w:tcPr>
          <w:p>
            <w:pPr>
              <w:pStyle w:val="Normal"/>
              <w:numPr>
                <w:ilvl w:val="0"/>
                <w:numId w:val="0"/>
              </w:numPr>
              <w:tabs>
                <w:tab w:val="clear" w:pos="708"/>
                <w:tab w:val="left" w:pos="1770" w:leader="none"/>
              </w:tabs>
              <w:spacing w:before="0" w:after="0"/>
              <w:ind w:left="0" w:hanging="0"/>
              <w:jc w:val="center"/>
              <w:rPr>
                <w:rFonts w:ascii="Arial Narrow" w:hAnsi="Arial Narrow"/>
                <w:sz w:val="20"/>
                <w:szCs w:val="20"/>
              </w:rPr>
            </w:pPr>
            <w:r>
              <w:rPr>
                <w:rFonts w:ascii="Arial Narrow" w:hAnsi="Arial Narrow"/>
                <w:sz w:val="20"/>
                <w:szCs w:val="20"/>
              </w:rPr>
            </w:r>
          </w:p>
        </w:tc>
      </w:tr>
    </w:tbl>
    <w:p>
      <w:pPr>
        <w:pStyle w:val="Normal"/>
        <w:jc w:val="center"/>
        <w:rPr>
          <w:i/>
          <w:i/>
          <w:color w:val="92D050"/>
          <w:lang w:eastAsia="hr-HR" w:bidi="en-US"/>
        </w:rPr>
      </w:pPr>
      <w:r>
        <w:rPr>
          <w:i/>
          <w:color w:val="92D050"/>
          <w:sz w:val="20"/>
        </w:rPr>
        <w:t>Izvor: Procjena ugroženosti od požara za Grad Buje - Buie</w:t>
      </w:r>
    </w:p>
    <w:p>
      <w:pPr>
        <w:pStyle w:val="Normal"/>
        <w:spacing w:before="120" w:after="120"/>
        <w:jc w:val="center"/>
        <w:rPr>
          <w:highlight w:val="yellow"/>
        </w:rPr>
      </w:pPr>
      <w:r>
        <w:rPr>
          <w:highlight w:val="yellow"/>
        </w:rPr>
      </w:r>
    </w:p>
    <w:p>
      <w:pPr>
        <w:pStyle w:val="Normal"/>
        <w:spacing w:before="120" w:after="120"/>
        <w:rPr/>
      </w:pPr>
      <w:r>
        <w:rPr/>
        <w:t>Budući da se u procjeni rizika od velikih nesreća obrađuje slučaj s najgorim mogućim posljedicama, predmet analize rizika biti će tvrtka INA d.d., MPM Buje na kojoj se obavljaju djelatnosti skladištenja, prodaje i distribucije goriva za motorna vozila.</w:t>
      </w:r>
    </w:p>
    <w:p>
      <w:pPr>
        <w:pStyle w:val="Normal"/>
        <w:spacing w:before="120" w:after="120"/>
        <w:rPr/>
      </w:pPr>
      <w:r>
        <w:rPr>
          <w:u w:val="single"/>
        </w:rPr>
        <w:t>Tehnologija postrojenja obuhvaća sljedeće procesne segmente</w:t>
      </w:r>
      <w:r>
        <w:rPr/>
        <w:t>:</w:t>
      </w:r>
    </w:p>
    <w:p>
      <w:pPr>
        <w:pStyle w:val="Normal"/>
        <w:numPr>
          <w:ilvl w:val="0"/>
          <w:numId w:val="51"/>
        </w:numPr>
        <w:tabs>
          <w:tab w:val="clear" w:pos="708"/>
          <w:tab w:val="left" w:pos="2445" w:leader="none"/>
        </w:tabs>
        <w:spacing w:before="120" w:after="120"/>
        <w:contextualSpacing/>
        <w:rPr>
          <w:b/>
          <w:b/>
          <w:color w:val="auto"/>
          <w:szCs w:val="20"/>
        </w:rPr>
      </w:pPr>
      <w:r>
        <w:rPr>
          <w:color w:val="auto"/>
          <w:szCs w:val="20"/>
        </w:rPr>
        <w:t>pretakanje goriva iz autocisterni u spremnike,</w:t>
      </w:r>
    </w:p>
    <w:p>
      <w:pPr>
        <w:pStyle w:val="Normal"/>
        <w:numPr>
          <w:ilvl w:val="0"/>
          <w:numId w:val="51"/>
        </w:numPr>
        <w:tabs>
          <w:tab w:val="clear" w:pos="708"/>
          <w:tab w:val="left" w:pos="2445" w:leader="none"/>
        </w:tabs>
        <w:spacing w:before="120" w:after="120"/>
        <w:contextualSpacing/>
        <w:rPr>
          <w:b/>
          <w:b/>
          <w:color w:val="auto"/>
          <w:szCs w:val="20"/>
        </w:rPr>
      </w:pPr>
      <w:r>
        <w:rPr>
          <w:color w:val="auto"/>
          <w:szCs w:val="20"/>
        </w:rPr>
        <w:t xml:space="preserve">skladištenje goriva u spremnike, </w:t>
      </w:r>
    </w:p>
    <w:p>
      <w:pPr>
        <w:pStyle w:val="Normal"/>
        <w:numPr>
          <w:ilvl w:val="0"/>
          <w:numId w:val="51"/>
        </w:numPr>
        <w:tabs>
          <w:tab w:val="clear" w:pos="708"/>
          <w:tab w:val="left" w:pos="2445" w:leader="none"/>
        </w:tabs>
        <w:spacing w:before="120" w:after="120"/>
        <w:contextualSpacing/>
        <w:rPr>
          <w:b/>
          <w:b/>
          <w:color w:val="auto"/>
          <w:szCs w:val="20"/>
        </w:rPr>
      </w:pPr>
      <w:r>
        <w:rPr>
          <w:color w:val="auto"/>
          <w:szCs w:val="20"/>
        </w:rPr>
        <w:t>punjenje cestovnih vozila gorivom,</w:t>
      </w:r>
    </w:p>
    <w:p>
      <w:pPr>
        <w:pStyle w:val="Normal"/>
        <w:numPr>
          <w:ilvl w:val="0"/>
          <w:numId w:val="51"/>
        </w:numPr>
        <w:tabs>
          <w:tab w:val="clear" w:pos="708"/>
          <w:tab w:val="left" w:pos="2445" w:leader="none"/>
        </w:tabs>
        <w:spacing w:before="120" w:after="120"/>
        <w:contextualSpacing/>
        <w:rPr>
          <w:b/>
          <w:b/>
          <w:color w:val="auto"/>
          <w:szCs w:val="20"/>
        </w:rPr>
      </w:pPr>
      <w:r>
        <w:rPr>
          <w:color w:val="auto"/>
          <w:szCs w:val="20"/>
        </w:rPr>
        <w:t>prodaja plinskih boca za kućanstvo.</w:t>
      </w:r>
    </w:p>
    <w:p>
      <w:pPr>
        <w:pStyle w:val="Normal"/>
        <w:spacing w:before="0" w:after="200"/>
        <w:jc w:val="left"/>
        <w:rPr/>
      </w:pPr>
      <w:r>
        <w:rPr/>
      </w:r>
    </w:p>
    <w:p>
      <w:pPr>
        <w:pStyle w:val="Normal"/>
        <w:spacing w:before="0" w:after="200"/>
        <w:jc w:val="left"/>
        <w:rPr/>
      </w:pPr>
      <w:r>
        <w:rPr/>
        <w:t>Najgori mogući slučaj na predmetnoj lokaciji – puknuće UNP spremnika autocisterne s BELEV(E) posljedicom</w:t>
      </w:r>
    </w:p>
    <w:p>
      <w:pPr>
        <w:pStyle w:val="Normal"/>
        <w:spacing w:before="120" w:after="120"/>
        <w:rPr>
          <w:highlight w:val="yellow"/>
        </w:rPr>
      </w:pPr>
      <w:r>
        <w:rPr>
          <w:highlight w:val="yellow"/>
        </w:rPr>
      </w:r>
    </w:p>
    <w:p>
      <w:pPr>
        <w:pStyle w:val="Stilnaslova3"/>
        <w:numPr>
          <w:ilvl w:val="2"/>
          <w:numId w:val="2"/>
        </w:numPr>
        <w:ind w:left="709" w:hanging="721"/>
        <w:rPr/>
      </w:pPr>
      <w:bookmarkStart w:id="177" w:name="_Toc99955705"/>
      <w:bookmarkStart w:id="178" w:name="_Toc116990153"/>
      <w:r>
        <w:rPr/>
        <w:t>Prikaz utjecaja na kritičnu infrastrukturu</w:t>
      </w:r>
      <w:bookmarkEnd w:id="177"/>
      <w:bookmarkEnd w:id="178"/>
    </w:p>
    <w:tbl>
      <w:tblPr>
        <w:tblStyle w:val="GridTable6Colorful-Accent31"/>
        <w:tblW w:w="5000" w:type="pct"/>
        <w:jc w:val="left"/>
        <w:tblInd w:w="0" w:type="dxa"/>
        <w:tblCellMar>
          <w:top w:w="0" w:type="dxa"/>
          <w:left w:w="108" w:type="dxa"/>
          <w:bottom w:w="0" w:type="dxa"/>
          <w:right w:w="108" w:type="dxa"/>
        </w:tblCellMar>
        <w:tblLook w:firstRow="1" w:noVBand="1" w:lastRow="0" w:firstColumn="1" w:lastColumn="0" w:noHBand="0" w:val="04a0"/>
      </w:tblPr>
      <w:tblGrid>
        <w:gridCol w:w="1129"/>
        <w:gridCol w:w="7940"/>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EAF1DD" w:themeFill="accent3" w:themeFillTint="33" w:val="clear"/>
          </w:tcPr>
          <w:p>
            <w:pPr>
              <w:pStyle w:val="Normal"/>
              <w:spacing w:lineRule="auto" w:line="240" w:before="80" w:after="0"/>
              <w:jc w:val="center"/>
              <w:rPr>
                <w:sz w:val="20"/>
              </w:rPr>
            </w:pPr>
            <w:r>
              <w:rPr>
                <w:b/>
                <w:bCs/>
                <w:color w:val="76923C" w:themeColor="accent3" w:themeShade="bf"/>
                <w:sz w:val="20"/>
              </w:rPr>
              <w:t>UTJECAJ</w:t>
            </w:r>
          </w:p>
        </w:tc>
        <w:tc>
          <w:tcPr>
            <w:tcW w:w="7940"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rHeight w:val="384" w:hRule="atLeast"/>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rHeight w:val="384" w:hRule="atLeast"/>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rHeight w:val="394" w:hRule="atLeast"/>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rHeight w:val="394" w:hRule="atLeast"/>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Proizvodnja, skladištenje i 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rHeight w:val="394" w:hRule="atLeast"/>
        </w:trPr>
        <w:tc>
          <w:tcPr>
            <w:tcW w:w="1129" w:type="dxa"/>
            <w:cnfStyle w:val="001000000000" w:firstRow="0" w:lastRow="0" w:firstColumn="1" w:lastColumn="0" w:oddVBand="0" w:evenVBand="0" w:oddHBand="0" w:evenHBand="0" w:firstRowFirstColumn="0" w:firstRowLastColumn="0" w:lastRowFirstColumn="0" w:lastRowLastColumn="0"/>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7940"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highlight w:val="yellow"/>
          <w:lang w:bidi="en-US"/>
        </w:rPr>
      </w:pPr>
      <w:r>
        <w:rPr>
          <w:highlight w:val="yellow"/>
          <w:lang w:bidi="en-US"/>
        </w:rPr>
      </w:r>
    </w:p>
    <w:p>
      <w:pPr>
        <w:pStyle w:val="Stilnaslova3"/>
        <w:numPr>
          <w:ilvl w:val="2"/>
          <w:numId w:val="2"/>
        </w:numPr>
        <w:ind w:left="709" w:hanging="721"/>
        <w:rPr/>
      </w:pPr>
      <w:bookmarkStart w:id="179" w:name="_Toc99955706"/>
      <w:bookmarkStart w:id="180" w:name="_Toc116990154"/>
      <w:r>
        <w:rPr/>
        <w:t>Kontekst</w:t>
      </w:r>
      <w:bookmarkEnd w:id="179"/>
      <w:bookmarkEnd w:id="180"/>
    </w:p>
    <w:p>
      <w:pPr>
        <w:pStyle w:val="Normal"/>
        <w:rPr>
          <w:rFonts w:eastAsia="" w:eastAsiaTheme="minorEastAsia"/>
        </w:rPr>
      </w:pPr>
      <w:r>
        <w:rPr>
          <w:rFonts w:eastAsia="" w:eastAsiaTheme="minorEastAsia"/>
        </w:rPr>
        <w:t>Benzinska postaja Buje tvrtke INA d.d. nalazi se na adresi Gospodarska 3, 52460 Buje – Buie.</w:t>
      </w:r>
    </w:p>
    <w:p>
      <w:pPr>
        <w:pStyle w:val="Normal"/>
        <w:spacing w:before="0" w:after="200"/>
        <w:jc w:val="left"/>
        <w:rPr/>
      </w:pPr>
      <w:r>
        <w:rPr/>
        <w:t>MPM Buje udaljena je 1,6 km od centra Grada Buje – Buie. Prve naseljene kuće nalaze se na udaljenosti od oko 175 m od benzinske postaje.</w:t>
      </w:r>
    </w:p>
    <w:p>
      <w:pPr>
        <w:pStyle w:val="Normal"/>
        <w:spacing w:before="0" w:after="200"/>
        <w:jc w:val="left"/>
        <w:rPr>
          <w:u w:val="single"/>
        </w:rPr>
      </w:pPr>
      <w:r>
        <w:rPr>
          <w:u w:val="single"/>
        </w:rPr>
        <w:t>Na sljedećoj slici prikazan je smještaj MPM Buje na području naselja Buje – Buie:</w:t>
      </w:r>
    </w:p>
    <w:p>
      <w:pPr>
        <w:pStyle w:val="Normal"/>
        <w:spacing w:before="0" w:after="200"/>
        <w:jc w:val="left"/>
        <w:rPr/>
      </w:pPr>
      <w:r>
        <w:rPr/>
        <w:drawing>
          <wp:inline distT="0" distB="0" distL="0" distR="0">
            <wp:extent cx="5759450" cy="3514725"/>
            <wp:effectExtent l="0" t="0" r="0" b="0"/>
            <wp:docPr id="61" name="Picture 9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913" descr=""/>
                    <pic:cNvPicPr>
                      <a:picLocks noChangeAspect="1" noChangeArrowheads="1"/>
                    </pic:cNvPicPr>
                  </pic:nvPicPr>
                  <pic:blipFill>
                    <a:blip r:embed="rId54"/>
                    <a:stretch>
                      <a:fillRect/>
                    </a:stretch>
                  </pic:blipFill>
                  <pic:spPr bwMode="auto">
                    <a:xfrm>
                      <a:off x="0" y="0"/>
                      <a:ext cx="5759450" cy="3514725"/>
                    </a:xfrm>
                    <a:prstGeom prst="rect">
                      <a:avLst/>
                    </a:prstGeom>
                  </pic:spPr>
                </pic:pic>
              </a:graphicData>
            </a:graphic>
          </wp:inline>
        </w:drawing>
      </w:r>
    </w:p>
    <w:p>
      <w:pPr>
        <w:pStyle w:val="Normal"/>
        <w:spacing w:before="80" w:after="0"/>
        <w:jc w:val="center"/>
        <w:rPr>
          <w:b/>
          <w:b/>
          <w:sz w:val="20"/>
        </w:rPr>
      </w:pPr>
      <w:r>
        <w:rPr>
          <w:b/>
          <w:sz w:val="20"/>
        </w:rPr>
        <w:t xml:space="preserve">Slika </w:t>
      </w:r>
      <w:r>
        <w:rPr>
          <w:b/>
          <w:sz w:val="20"/>
        </w:rPr>
        <w:fldChar w:fldCharType="begin"/>
      </w:r>
      <w:r>
        <w:rPr>
          <w:sz w:val="20"/>
          <w:b/>
        </w:rPr>
        <w:instrText> SEQ Slika \* ARABIC </w:instrText>
      </w:r>
      <w:r>
        <w:rPr>
          <w:sz w:val="20"/>
          <w:b/>
        </w:rPr>
        <w:fldChar w:fldCharType="separate"/>
      </w:r>
      <w:r>
        <w:rPr>
          <w:sz w:val="20"/>
          <w:b/>
        </w:rPr>
        <w:t>6</w:t>
      </w:r>
      <w:r>
        <w:rPr>
          <w:sz w:val="20"/>
          <w:b/>
        </w:rPr>
        <w:fldChar w:fldCharType="end"/>
      </w:r>
      <w:r>
        <w:rPr>
          <w:b/>
          <w:sz w:val="20"/>
        </w:rPr>
        <w:t>. Smještaj MPM Buje na karti naselja Buje – Buie</w:t>
      </w:r>
      <w:bookmarkStart w:id="181" w:name="_Hlk515622700"/>
      <w:bookmarkEnd w:id="181"/>
    </w:p>
    <w:p>
      <w:pPr>
        <w:pStyle w:val="Normal"/>
        <w:spacing w:before="80" w:after="0"/>
        <w:jc w:val="center"/>
        <w:rPr>
          <w:color w:val="76923C" w:themeColor="accent3" w:themeShade="bf"/>
          <w:sz w:val="20"/>
        </w:rPr>
      </w:pPr>
      <w:r>
        <w:rPr>
          <w:color w:val="76923C" w:themeColor="accent3" w:themeShade="bf"/>
          <w:sz w:val="20"/>
        </w:rPr>
        <w:t>Izvor: https://geoportal.dgu.hr</w:t>
      </w:r>
    </w:p>
    <w:p>
      <w:pPr>
        <w:pStyle w:val="Normal"/>
        <w:rPr/>
      </w:pPr>
      <w:r>
        <w:rPr/>
      </w:r>
      <w:bookmarkStart w:id="182" w:name="_Hlk515622705"/>
      <w:bookmarkStart w:id="183" w:name="_Hlk515622705"/>
      <w:bookmarkEnd w:id="183"/>
    </w:p>
    <w:p>
      <w:pPr>
        <w:pStyle w:val="Normal"/>
        <w:rPr/>
      </w:pPr>
      <w:r>
        <w:rPr/>
        <w:t>Gauss - Krügerove koordinate tvrtke INA d.d., MPM Buje:</w:t>
      </w:r>
    </w:p>
    <w:tbl>
      <w:tblPr>
        <w:tblW w:w="3524" w:type="dxa"/>
        <w:jc w:val="center"/>
        <w:tblInd w:w="0" w:type="dxa"/>
        <w:tblCellMar>
          <w:top w:w="0" w:type="dxa"/>
          <w:left w:w="108" w:type="dxa"/>
          <w:bottom w:w="0" w:type="dxa"/>
          <w:right w:w="108" w:type="dxa"/>
        </w:tblCellMar>
        <w:tblLook w:firstRow="1" w:noVBand="0" w:lastRow="1" w:firstColumn="1" w:lastColumn="1" w:noHBand="0" w:val="01e0"/>
      </w:tblPr>
      <w:tblGrid>
        <w:gridCol w:w="828"/>
        <w:gridCol w:w="2695"/>
      </w:tblGrid>
      <w:tr>
        <w:trPr>
          <w:trHeight w:val="417" w:hRule="atLeast"/>
        </w:trPr>
        <w:tc>
          <w:tcPr>
            <w:tcW w:w="828"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80" w:after="0"/>
              <w:jc w:val="center"/>
              <w:rPr>
                <w:b/>
                <w:b/>
                <w:sz w:val="20"/>
                <w:szCs w:val="20"/>
              </w:rPr>
            </w:pPr>
            <w:r>
              <w:rPr>
                <w:b/>
                <w:sz w:val="20"/>
                <w:szCs w:val="20"/>
              </w:rPr>
              <w:t>X:</w:t>
            </w:r>
          </w:p>
        </w:tc>
        <w:tc>
          <w:tcPr>
            <w:tcW w:w="2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color w:val="FF0000"/>
                <w:sz w:val="20"/>
                <w:szCs w:val="20"/>
              </w:rPr>
            </w:pPr>
            <w:r>
              <w:rPr>
                <w:sz w:val="20"/>
                <w:szCs w:val="20"/>
              </w:rPr>
              <w:t>5030462</w:t>
            </w:r>
          </w:p>
        </w:tc>
      </w:tr>
      <w:tr>
        <w:trPr>
          <w:trHeight w:val="435" w:hRule="atLeast"/>
        </w:trPr>
        <w:tc>
          <w:tcPr>
            <w:tcW w:w="828"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spacing w:before="80" w:after="0"/>
              <w:jc w:val="center"/>
              <w:rPr>
                <w:b/>
                <w:b/>
                <w:sz w:val="20"/>
                <w:szCs w:val="20"/>
              </w:rPr>
            </w:pPr>
            <w:r>
              <w:rPr>
                <w:b/>
                <w:sz w:val="20"/>
                <w:szCs w:val="20"/>
              </w:rPr>
              <w:t>Y:</w:t>
            </w:r>
          </w:p>
        </w:tc>
        <w:tc>
          <w:tcPr>
            <w:tcW w:w="26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color w:val="FF0000"/>
                <w:sz w:val="20"/>
                <w:szCs w:val="20"/>
              </w:rPr>
            </w:pPr>
            <w:r>
              <w:rPr>
                <w:sz w:val="20"/>
                <w:szCs w:val="20"/>
              </w:rPr>
              <w:t>5395864</w:t>
            </w:r>
          </w:p>
        </w:tc>
      </w:tr>
    </w:tbl>
    <w:p>
      <w:pPr>
        <w:pStyle w:val="Normal"/>
        <w:spacing w:before="240" w:after="240"/>
        <w:ind w:right="864" w:hanging="0"/>
        <w:jc w:val="left"/>
        <w:rPr>
          <w:iCs/>
          <w:color w:val="auto"/>
          <w:szCs w:val="22"/>
          <w:u w:val="single"/>
        </w:rPr>
      </w:pPr>
      <w:r>
        <w:rPr>
          <w:iCs/>
          <w:color w:val="auto"/>
          <w:szCs w:val="22"/>
          <w:u w:val="single"/>
        </w:rPr>
      </w:r>
      <w:bookmarkStart w:id="184" w:name="_Hlk5156227051"/>
      <w:bookmarkStart w:id="185" w:name="_Hlk5156227051"/>
      <w:bookmarkEnd w:id="185"/>
    </w:p>
    <w:p>
      <w:pPr>
        <w:pStyle w:val="Normal"/>
        <w:spacing w:before="240" w:after="240"/>
        <w:ind w:right="864" w:hanging="0"/>
        <w:jc w:val="left"/>
        <w:rPr>
          <w:iCs/>
          <w:color w:val="auto"/>
          <w:szCs w:val="22"/>
          <w:u w:val="single"/>
        </w:rPr>
      </w:pPr>
      <w:r>
        <w:rPr>
          <w:iCs/>
          <w:color w:val="auto"/>
          <w:szCs w:val="22"/>
          <w:u w:val="single"/>
        </w:rPr>
      </w:r>
    </w:p>
    <w:p>
      <w:pPr>
        <w:pStyle w:val="Normal"/>
        <w:spacing w:before="240" w:after="240"/>
        <w:ind w:right="864" w:hanging="0"/>
        <w:jc w:val="left"/>
        <w:rPr>
          <w:iCs/>
          <w:color w:val="auto"/>
          <w:sz w:val="24"/>
          <w:u w:val="single"/>
        </w:rPr>
      </w:pPr>
      <w:r>
        <w:rPr>
          <w:iCs/>
          <w:color w:val="auto"/>
          <w:szCs w:val="22"/>
          <w:u w:val="single"/>
        </w:rPr>
        <w:t>Popis objekata koji se nalaze na lokaciji MPM Buje</w:t>
      </w:r>
      <w:r>
        <w:rPr>
          <w:iCs/>
          <w:color w:val="auto"/>
          <w:sz w:val="24"/>
          <w:u w:val="single"/>
        </w:rPr>
        <w:t>:</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Prodajni prostor,</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Spremnici goriva (Eurodizel class 48.888kg; Plavi dizel 16.296 kg; Eurodizel 24.444kg),</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Spremnici goriva (Eurosuper 95 29.003kg; Eurosuper 95 class 21.752 kg),</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Podzemni spremnik UNP-a (2.720 kila),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Skladište UNP-a u bocama za kućanstvo (575 kg),</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Natkriveni plato za punjenje vozila gorivom,</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Istakališta.</w:t>
      </w:r>
    </w:p>
    <w:p>
      <w:pPr>
        <w:pStyle w:val="Normal"/>
        <w:spacing w:before="240" w:after="240"/>
        <w:ind w:right="864" w:hanging="0"/>
        <w:jc w:val="left"/>
        <w:rPr>
          <w:iCs/>
          <w:color w:val="auto"/>
          <w:szCs w:val="22"/>
          <w:u w:val="single"/>
        </w:rPr>
      </w:pPr>
      <w:r>
        <w:rPr>
          <w:iCs/>
          <w:color w:val="auto"/>
          <w:szCs w:val="22"/>
          <w:u w:val="single"/>
        </w:rPr>
        <w:t>Na lokaciji su provedene sljedeće instalacije:</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vodovodna mreža,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sustav kanalizacije,</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sustav razvoda goriva,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hidrantska mreža,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električno napajanje preko elektrodistributivne mreže HEP-a,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gromobranska instalacija,</w:t>
      </w:r>
    </w:p>
    <w:p>
      <w:pPr>
        <w:pStyle w:val="Normal"/>
        <w:numPr>
          <w:ilvl w:val="0"/>
          <w:numId w:val="51"/>
        </w:numPr>
        <w:tabs>
          <w:tab w:val="clear" w:pos="708"/>
          <w:tab w:val="left" w:pos="2445" w:leader="none"/>
        </w:tabs>
        <w:spacing w:before="120" w:after="120"/>
        <w:contextualSpacing/>
        <w:rPr>
          <w:color w:val="auto"/>
          <w:szCs w:val="20"/>
        </w:rPr>
      </w:pPr>
      <w:r>
        <w:rPr>
          <w:color w:val="auto"/>
          <w:szCs w:val="20"/>
        </w:rPr>
        <w:t>telefonske instalacije.</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r>
    </w:p>
    <w:p>
      <w:pPr>
        <w:pStyle w:val="Normal"/>
        <w:spacing w:before="120" w:after="120"/>
        <w:rPr>
          <w:color w:val="auto"/>
          <w:szCs w:val="22"/>
          <w:lang w:bidi="en-US"/>
        </w:rPr>
      </w:pPr>
      <w:r>
        <w:rPr>
          <w:rFonts w:eastAsia="" w:eastAsiaTheme="minorEastAsia"/>
          <w:color w:val="auto"/>
          <w:szCs w:val="22"/>
          <w:lang w:eastAsia="hr-HR"/>
        </w:rPr>
        <w:t xml:space="preserve">Na lokaciji je zaposleno 12 djelatnika. Radno vrijeme je od </w:t>
      </w:r>
      <w:r>
        <w:rPr>
          <w:color w:val="auto"/>
          <w:szCs w:val="22"/>
          <w:lang w:bidi="en-US"/>
        </w:rPr>
        <w:t>06:00-22:00 h.</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t>Pristup lokaciji</w:t>
      </w:r>
    </w:p>
    <w:p>
      <w:pPr>
        <w:pStyle w:val="Normal"/>
        <w:spacing w:before="120" w:after="120"/>
        <w:rPr>
          <w:szCs w:val="22"/>
        </w:rPr>
      </w:pPr>
      <w:r>
        <w:rPr>
          <w:rFonts w:eastAsia="" w:eastAsiaTheme="minorEastAsia"/>
          <w:color w:val="auto"/>
          <w:szCs w:val="22"/>
          <w:lang w:eastAsia="hr-HR"/>
        </w:rPr>
        <w:t xml:space="preserve">Lokacija benzinske postaje Buje nalazi se </w:t>
      </w:r>
      <w:r>
        <w:rPr>
          <w:szCs w:val="22"/>
        </w:rPr>
        <w:t>na zapadnom rubnom dijelu grada Buja, u ulici Gospodarska, kojom prolazi državna cesta D-21 (Pula-Koper), na rubu desnog traka navedene ceste u pravcu Pule. Na udaljenosti od oko 5 km od lokacije MPM Buje nalazi se Istarski ipsilon.</w:t>
      </w:r>
    </w:p>
    <w:p>
      <w:pPr>
        <w:pStyle w:val="Normal"/>
        <w:spacing w:before="120" w:after="120"/>
        <w:rPr>
          <w:szCs w:val="22"/>
        </w:rPr>
      </w:pPr>
      <w:r>
        <w:rPr/>
        <w:drawing>
          <wp:inline distT="0" distB="0" distL="0" distR="0">
            <wp:extent cx="5759450" cy="3394710"/>
            <wp:effectExtent l="0" t="0" r="0" b="0"/>
            <wp:docPr id="62" name="Picture 9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915" descr=""/>
                    <pic:cNvPicPr>
                      <a:picLocks noChangeAspect="1" noChangeArrowheads="1"/>
                    </pic:cNvPicPr>
                  </pic:nvPicPr>
                  <pic:blipFill>
                    <a:blip r:embed="rId55"/>
                    <a:stretch>
                      <a:fillRect/>
                    </a:stretch>
                  </pic:blipFill>
                  <pic:spPr bwMode="auto">
                    <a:xfrm>
                      <a:off x="0" y="0"/>
                      <a:ext cx="5759450" cy="3394710"/>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7</w:t>
      </w:r>
      <w:r>
        <w:rPr>
          <w:sz w:val="20"/>
          <w:b/>
          <w:szCs w:val="20"/>
          <w:bCs/>
          <w:color w:val="auto"/>
        </w:rPr>
        <w:fldChar w:fldCharType="end"/>
      </w:r>
      <w:r>
        <w:rPr>
          <w:b/>
          <w:bCs/>
          <w:color w:val="auto"/>
          <w:sz w:val="20"/>
          <w:szCs w:val="20"/>
        </w:rPr>
        <w:t>. Prometna povezanost</w:t>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t>Okruženje lokacije</w:t>
      </w:r>
    </w:p>
    <w:p>
      <w:pPr>
        <w:pStyle w:val="Normal"/>
        <w:spacing w:before="120" w:after="120"/>
        <w:rPr>
          <w:rFonts w:eastAsia="" w:eastAsiaTheme="minorEastAsia"/>
          <w:color w:val="auto"/>
          <w:szCs w:val="22"/>
          <w:u w:val="single"/>
          <w:lang w:eastAsia="hr-HR"/>
        </w:rPr>
      </w:pPr>
      <w:r>
        <w:rPr>
          <w:rFonts w:eastAsia="" w:eastAsiaTheme="minorEastAsia"/>
          <w:color w:val="auto"/>
          <w:szCs w:val="22"/>
          <w:u w:val="single"/>
          <w:lang w:eastAsia="hr-HR"/>
        </w:rPr>
        <w:t>U okruženju benzinske postaje na udaljenosti do 300 m nalazi se objekti:</w:t>
      </w:r>
    </w:p>
    <w:p>
      <w:pPr>
        <w:pStyle w:val="Normal"/>
        <w:numPr>
          <w:ilvl w:val="0"/>
          <w:numId w:val="53"/>
        </w:numPr>
        <w:tabs>
          <w:tab w:val="clear" w:pos="708"/>
          <w:tab w:val="left" w:pos="2445" w:leader="none"/>
        </w:tabs>
        <w:spacing w:before="120" w:after="120"/>
        <w:contextualSpacing/>
        <w:rPr>
          <w:color w:val="auto"/>
          <w:szCs w:val="20"/>
        </w:rPr>
      </w:pPr>
      <w:r>
        <w:rPr>
          <w:color w:val="auto"/>
          <w:szCs w:val="20"/>
        </w:rPr>
        <w:t>Gradski stadion Buje</w:t>
      </w:r>
    </w:p>
    <w:p>
      <w:pPr>
        <w:pStyle w:val="Normal"/>
        <w:numPr>
          <w:ilvl w:val="0"/>
          <w:numId w:val="53"/>
        </w:numPr>
        <w:tabs>
          <w:tab w:val="clear" w:pos="708"/>
          <w:tab w:val="left" w:pos="2445" w:leader="none"/>
        </w:tabs>
        <w:spacing w:before="120" w:after="120"/>
        <w:contextualSpacing/>
        <w:rPr>
          <w:color w:val="auto"/>
          <w:szCs w:val="20"/>
        </w:rPr>
      </w:pPr>
      <w:r>
        <w:rPr>
          <w:color w:val="auto"/>
          <w:szCs w:val="20"/>
        </w:rPr>
        <w:t>Caffe bar i autopraonica</w:t>
      </w:r>
    </w:p>
    <w:p>
      <w:pPr>
        <w:pStyle w:val="Normal"/>
        <w:numPr>
          <w:ilvl w:val="0"/>
          <w:numId w:val="53"/>
        </w:numPr>
        <w:tabs>
          <w:tab w:val="clear" w:pos="708"/>
          <w:tab w:val="left" w:pos="2445" w:leader="none"/>
        </w:tabs>
        <w:spacing w:before="120" w:after="120"/>
        <w:contextualSpacing/>
        <w:rPr>
          <w:color w:val="auto"/>
          <w:szCs w:val="20"/>
        </w:rPr>
      </w:pPr>
      <w:r>
        <w:rPr>
          <w:color w:val="auto"/>
          <w:szCs w:val="20"/>
        </w:rPr>
        <w:t>OŠ Mate Balote</w:t>
      </w:r>
    </w:p>
    <w:p>
      <w:pPr>
        <w:pStyle w:val="Normal"/>
        <w:numPr>
          <w:ilvl w:val="0"/>
          <w:numId w:val="53"/>
        </w:numPr>
        <w:tabs>
          <w:tab w:val="clear" w:pos="708"/>
          <w:tab w:val="left" w:pos="2445" w:leader="none"/>
        </w:tabs>
        <w:spacing w:before="120" w:after="120"/>
        <w:contextualSpacing/>
        <w:rPr>
          <w:color w:val="auto"/>
          <w:szCs w:val="20"/>
        </w:rPr>
      </w:pPr>
      <w:r>
        <w:rPr>
          <w:color w:val="auto"/>
          <w:szCs w:val="20"/>
        </w:rPr>
        <w:t>Tera d.o.o.</w:t>
      </w:r>
    </w:p>
    <w:p>
      <w:pPr>
        <w:pStyle w:val="Normal"/>
        <w:numPr>
          <w:ilvl w:val="0"/>
          <w:numId w:val="53"/>
        </w:numPr>
        <w:tabs>
          <w:tab w:val="clear" w:pos="708"/>
          <w:tab w:val="left" w:pos="2445" w:leader="none"/>
        </w:tabs>
        <w:spacing w:before="120" w:after="120"/>
        <w:contextualSpacing/>
        <w:rPr>
          <w:color w:val="auto"/>
          <w:szCs w:val="20"/>
        </w:rPr>
      </w:pPr>
      <w:r>
        <w:rPr>
          <w:color w:val="auto"/>
          <w:szCs w:val="20"/>
        </w:rPr>
        <w:t>-Makro 5 ( Plaza nekretnine d.o.o.)</w:t>
      </w:r>
    </w:p>
    <w:p>
      <w:pPr>
        <w:pStyle w:val="Normal"/>
        <w:spacing w:before="0" w:after="200"/>
        <w:jc w:val="left"/>
        <w:rPr/>
      </w:pPr>
      <w:r>
        <w:rPr/>
        <w:t>Najbliži stambeni objekt nalazi se na oko 175 m od MPM Buje.</w:t>
      </w:r>
    </w:p>
    <w:p>
      <w:pPr>
        <w:pStyle w:val="Normal"/>
        <w:spacing w:before="0" w:after="200"/>
        <w:jc w:val="left"/>
        <w:rPr>
          <w:rFonts w:eastAsia="" w:eastAsiaTheme="minorEastAsia"/>
          <w:color w:val="auto"/>
          <w:szCs w:val="22"/>
          <w:lang w:eastAsia="hr-HR"/>
        </w:rPr>
      </w:pPr>
      <w:r>
        <w:rPr>
          <w:rFonts w:eastAsia="" w:eastAsiaTheme="minorEastAsia"/>
          <w:color w:val="auto"/>
          <w:szCs w:val="22"/>
          <w:lang w:eastAsia="hr-HR"/>
        </w:rPr>
      </w:r>
    </w:p>
    <w:p>
      <w:pPr>
        <w:pStyle w:val="Normal"/>
        <w:spacing w:before="0" w:after="200"/>
        <w:jc w:val="left"/>
        <w:rPr>
          <w:rFonts w:eastAsia="" w:eastAsiaTheme="minorEastAsia"/>
          <w:color w:val="auto"/>
          <w:szCs w:val="22"/>
          <w:lang w:eastAsia="hr-HR"/>
        </w:rPr>
      </w:pPr>
      <w:r>
        <w:rPr>
          <w:rFonts w:eastAsia="" w:eastAsiaTheme="minorEastAsia"/>
          <w:color w:val="auto"/>
          <w:szCs w:val="22"/>
          <w:lang w:eastAsia="hr-HR"/>
        </w:rPr>
        <w:t>Na sljedećoj slici prikazana je lokacija i okruženje benzinske postaje Buje.</w:t>
      </w:r>
    </w:p>
    <w:p>
      <w:pPr>
        <w:pStyle w:val="Normal"/>
        <w:spacing w:before="0" w:after="200"/>
        <w:jc w:val="center"/>
        <w:rPr>
          <w:rFonts w:eastAsia="" w:eastAsiaTheme="minorEastAsia"/>
          <w:color w:val="auto"/>
          <w:szCs w:val="22"/>
          <w:lang w:eastAsia="hr-HR"/>
        </w:rPr>
      </w:pPr>
      <w:r>
        <w:rPr/>
        <w:drawing>
          <wp:inline distT="0" distB="0" distL="0" distR="0">
            <wp:extent cx="5334000" cy="4514850"/>
            <wp:effectExtent l="0" t="0" r="0" b="0"/>
            <wp:docPr id="63" name="Picture 9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916" descr=""/>
                    <pic:cNvPicPr>
                      <a:picLocks noChangeAspect="1" noChangeArrowheads="1"/>
                    </pic:cNvPicPr>
                  </pic:nvPicPr>
                  <pic:blipFill>
                    <a:blip r:embed="rId56"/>
                    <a:stretch>
                      <a:fillRect/>
                    </a:stretch>
                  </pic:blipFill>
                  <pic:spPr bwMode="auto">
                    <a:xfrm>
                      <a:off x="0" y="0"/>
                      <a:ext cx="5334000" cy="4514850"/>
                    </a:xfrm>
                    <a:prstGeom prst="rect">
                      <a:avLst/>
                    </a:prstGeom>
                  </pic:spPr>
                </pic:pic>
              </a:graphicData>
            </a:graphic>
          </wp:inline>
        </w:drawing>
      </w:r>
    </w:p>
    <w:p>
      <w:pPr>
        <w:pStyle w:val="Normal"/>
        <w:spacing w:before="0" w:after="0"/>
        <w:jc w:val="center"/>
        <w:rPr>
          <w:rFonts w:eastAsia="" w:eastAsiaTheme="minorEastAsia"/>
          <w:b/>
          <w:b/>
          <w:bCs/>
          <w:color w:val="auto"/>
          <w:sz w:val="20"/>
          <w:szCs w:val="22"/>
          <w:lang w:eastAsia="hr-HR"/>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8</w:t>
      </w:r>
      <w:r>
        <w:rPr>
          <w:sz w:val="20"/>
          <w:b/>
          <w:szCs w:val="20"/>
          <w:bCs/>
          <w:color w:val="auto"/>
        </w:rPr>
        <w:fldChar w:fldCharType="end"/>
      </w:r>
      <w:r>
        <w:rPr>
          <w:b/>
          <w:bCs/>
          <w:color w:val="auto"/>
          <w:sz w:val="20"/>
          <w:szCs w:val="20"/>
        </w:rPr>
        <w:t xml:space="preserve">. </w:t>
      </w:r>
      <w:bookmarkStart w:id="186" w:name="_Hlk515622742"/>
      <w:r>
        <w:rPr>
          <w:b/>
          <w:bCs/>
          <w:color w:val="auto"/>
          <w:sz w:val="20"/>
          <w:szCs w:val="20"/>
        </w:rPr>
        <w:t>Okruženje MPM Buje</w:t>
      </w:r>
      <w:bookmarkEnd w:id="186"/>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U nastavku je tablica u kojoj su navedene zračne udaljenosti objekata u okruženju od spremnika opasnih tvari na lokaciji MPM Buje.</w:t>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rFonts w:eastAsia="" w:eastAsiaTheme="minorEastAsia"/>
          <w:b/>
          <w:b/>
          <w:bCs/>
          <w:color w:val="auto"/>
          <w:sz w:val="20"/>
          <w:szCs w:val="22"/>
          <w:lang w:eastAsia="hr-HR"/>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7</w:t>
      </w:r>
      <w:r>
        <w:rPr>
          <w:sz w:val="20"/>
          <w:b/>
          <w:szCs w:val="20"/>
          <w:bCs/>
          <w:color w:val="auto"/>
        </w:rPr>
        <w:fldChar w:fldCharType="end"/>
      </w:r>
      <w:r>
        <w:rPr>
          <w:b/>
          <w:bCs/>
          <w:color w:val="auto"/>
          <w:sz w:val="20"/>
          <w:szCs w:val="20"/>
        </w:rPr>
        <w:t>. Raspored populacije na lokaciji i u okruženju</w:t>
      </w:r>
    </w:p>
    <w:tbl>
      <w:tblPr>
        <w:tblW w:w="7505" w:type="dxa"/>
        <w:jc w:val="center"/>
        <w:tblInd w:w="0" w:type="dxa"/>
        <w:tblCellMar>
          <w:top w:w="0" w:type="dxa"/>
          <w:left w:w="108" w:type="dxa"/>
          <w:bottom w:w="0" w:type="dxa"/>
          <w:right w:w="108" w:type="dxa"/>
        </w:tblCellMar>
        <w:tblLook w:firstRow="1" w:noVBand="1" w:lastRow="0" w:firstColumn="1" w:lastColumn="0" w:noHBand="0" w:val="04a0"/>
      </w:tblPr>
      <w:tblGrid>
        <w:gridCol w:w="4394"/>
        <w:gridCol w:w="3110"/>
      </w:tblGrid>
      <w:tr>
        <w:trPr>
          <w:trHeight w:val="410" w:hRule="atLeast"/>
        </w:trPr>
        <w:tc>
          <w:tcPr>
            <w:tcW w:w="7504" w:type="dxa"/>
            <w:gridSpan w:val="2"/>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spacing w:lineRule="auto" w:line="240" w:before="80" w:after="0"/>
              <w:jc w:val="center"/>
              <w:rPr>
                <w:b/>
                <w:b/>
                <w:sz w:val="20"/>
                <w:szCs w:val="20"/>
              </w:rPr>
            </w:pPr>
            <w:r>
              <w:rPr>
                <w:b/>
                <w:sz w:val="20"/>
                <w:szCs w:val="20"/>
              </w:rPr>
              <w:t xml:space="preserve">RASPORED POPULACIJE NA LOKACIJI </w:t>
            </w:r>
          </w:p>
        </w:tc>
      </w:tr>
      <w:tr>
        <w:trPr>
          <w:trHeight w:val="415"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b/>
                <w:b/>
                <w:sz w:val="20"/>
                <w:szCs w:val="20"/>
              </w:rPr>
            </w:pPr>
            <w:r>
              <w:rPr>
                <w:b/>
                <w:sz w:val="20"/>
                <w:szCs w:val="20"/>
              </w:rPr>
              <w:t>Benzinska postaja</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b/>
                <w:b/>
                <w:sz w:val="20"/>
                <w:szCs w:val="20"/>
              </w:rPr>
            </w:pPr>
            <w:r>
              <w:rPr>
                <w:b/>
                <w:sz w:val="20"/>
                <w:szCs w:val="20"/>
              </w:rPr>
              <w:t>br. zaposlenika</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80" w:after="0"/>
              <w:jc w:val="center"/>
              <w:rPr>
                <w:sz w:val="20"/>
                <w:szCs w:val="20"/>
              </w:rPr>
            </w:pPr>
            <w:r>
              <w:rPr>
                <w:sz w:val="20"/>
                <w:szCs w:val="20"/>
              </w:rPr>
              <w:t>MPM  Buje</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 xml:space="preserve">Ukupno 12 djelatnika </w:t>
            </w:r>
          </w:p>
        </w:tc>
      </w:tr>
      <w:tr>
        <w:trPr>
          <w:trHeight w:val="421" w:hRule="atLeast"/>
        </w:trPr>
        <w:tc>
          <w:tcPr>
            <w:tcW w:w="7504" w:type="dxa"/>
            <w:gridSpan w:val="2"/>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spacing w:lineRule="auto" w:line="240" w:before="80" w:after="0"/>
              <w:jc w:val="center"/>
              <w:rPr>
                <w:color w:val="auto"/>
                <w:sz w:val="20"/>
                <w:szCs w:val="20"/>
              </w:rPr>
            </w:pPr>
            <w:r>
              <w:rPr>
                <w:b/>
                <w:color w:val="auto"/>
                <w:sz w:val="20"/>
                <w:szCs w:val="20"/>
              </w:rPr>
              <w:t>Raspored populacije u okruženju</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vAlign w:val="center"/>
          </w:tcPr>
          <w:p>
            <w:pPr>
              <w:pStyle w:val="Normal"/>
              <w:spacing w:lineRule="auto" w:line="240" w:before="80" w:after="0"/>
              <w:jc w:val="center"/>
              <w:rPr>
                <w:color w:val="auto"/>
                <w:sz w:val="20"/>
                <w:szCs w:val="20"/>
              </w:rPr>
            </w:pPr>
            <w:r>
              <w:rPr>
                <w:color w:val="auto"/>
                <w:sz w:val="20"/>
                <w:szCs w:val="20"/>
              </w:rPr>
              <w:t xml:space="preserve">             </w:t>
            </w:r>
            <w:r>
              <w:rPr>
                <w:color w:val="auto"/>
                <w:sz w:val="20"/>
                <w:szCs w:val="20"/>
              </w:rPr>
              <w:t>Naselje Buje (centar)</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2.108</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Gradski stadion Buje</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Kapacitet stadiona je 2.000 ljudi</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Caffe bar i autopraonica</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Oko 5 djelatnika, autopraonica je samoposlužna</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OŠ Mate Balota</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Oko 57 djelatnika i 266 učenika</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Terra d.o.o.</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Oko 11 djelatnika</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A&amp;D Aleks d.o.o.</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Oko 4 djelatnika</w:t>
            </w:r>
          </w:p>
        </w:tc>
      </w:tr>
      <w:tr>
        <w:trPr>
          <w:trHeight w:val="421" w:hRule="atLeast"/>
        </w:trPr>
        <w:tc>
          <w:tcPr>
            <w:tcW w:w="4394"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before="80" w:after="160"/>
              <w:ind w:left="720" w:hanging="0"/>
              <w:jc w:val="center"/>
              <w:rPr>
                <w:sz w:val="20"/>
                <w:szCs w:val="20"/>
              </w:rPr>
            </w:pPr>
            <w:r>
              <w:rPr>
                <w:sz w:val="20"/>
                <w:szCs w:val="20"/>
              </w:rPr>
              <w:t>Makro 5 d.o.o.</w:t>
            </w:r>
          </w:p>
        </w:tc>
        <w:tc>
          <w:tcPr>
            <w:tcW w:w="3110" w:type="dxa"/>
            <w:tcBorders>
              <w:top w:val="single" w:sz="4" w:space="0" w:color="76923C"/>
              <w:left w:val="single" w:sz="4" w:space="0" w:color="76923C"/>
              <w:bottom w:val="single" w:sz="4" w:space="0" w:color="76923C"/>
              <w:right w:val="single" w:sz="4" w:space="0" w:color="76923C"/>
            </w:tcBorders>
            <w:shd w:color="auto" w:fill="FFFFFF" w:themeFill="background1" w:val="clear"/>
          </w:tcPr>
          <w:p>
            <w:pPr>
              <w:pStyle w:val="Normal"/>
              <w:spacing w:lineRule="auto" w:line="240" w:before="80" w:after="0"/>
              <w:jc w:val="center"/>
              <w:rPr>
                <w:color w:val="auto"/>
                <w:sz w:val="20"/>
                <w:szCs w:val="20"/>
              </w:rPr>
            </w:pPr>
            <w:r>
              <w:rPr>
                <w:color w:val="auto"/>
                <w:sz w:val="20"/>
                <w:szCs w:val="20"/>
              </w:rPr>
              <w:t>Oko 26 djelatnika</w:t>
            </w:r>
          </w:p>
        </w:tc>
      </w:tr>
    </w:tbl>
    <w:p>
      <w:pPr>
        <w:pStyle w:val="Normal"/>
        <w:spacing w:before="0" w:after="200"/>
        <w:jc w:val="left"/>
        <w:rPr>
          <w:rFonts w:ascii="Arial Narrow" w:hAnsi="Arial Narrow"/>
          <w:b/>
          <w:b/>
          <w:bCs/>
          <w:color w:val="auto"/>
          <w:sz w:val="20"/>
          <w:szCs w:val="20"/>
        </w:rPr>
      </w:pPr>
      <w:r>
        <w:rPr>
          <w:rFonts w:ascii="Arial Narrow" w:hAnsi="Arial Narrow"/>
          <w:b/>
          <w:bCs/>
          <w:color w:val="auto"/>
          <w:sz w:val="20"/>
          <w:szCs w:val="20"/>
        </w:rPr>
      </w:r>
    </w:p>
    <w:p>
      <w:pPr>
        <w:pStyle w:val="Normal"/>
        <w:jc w:val="left"/>
        <w:rPr>
          <w:highlight w:val="yellow"/>
          <w:lang w:bidi="en-US"/>
        </w:rPr>
      </w:pPr>
      <w:r>
        <w:rPr>
          <w:highlight w:val="yellow"/>
          <w:lang w:bidi="en-US"/>
        </w:rPr>
      </w:r>
    </w:p>
    <w:p>
      <w:pPr>
        <w:pStyle w:val="Stilnaslova3"/>
        <w:numPr>
          <w:ilvl w:val="2"/>
          <w:numId w:val="2"/>
        </w:numPr>
        <w:ind w:left="709" w:hanging="721"/>
        <w:rPr/>
      </w:pPr>
      <w:bookmarkStart w:id="187" w:name="_Toc99955707"/>
      <w:bookmarkStart w:id="188" w:name="_Toc116990155"/>
      <w:r>
        <w:rPr/>
        <w:t>Uzrok</w:t>
      </w:r>
      <w:bookmarkEnd w:id="187"/>
      <w:bookmarkEnd w:id="188"/>
    </w:p>
    <w:p>
      <w:pPr>
        <w:pStyle w:val="Normal"/>
        <w:rPr>
          <w:szCs w:val="22"/>
        </w:rPr>
      </w:pPr>
      <w:r>
        <w:rPr>
          <w:szCs w:val="22"/>
        </w:rPr>
        <w:t>Uzrokom opasnosti smatra se događaj, smetnja u funkciji ili pak propust djelatnika, a uslijed kojih se može osloboditi opasna tvar iz izvora opasnosti,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tablicom.</w:t>
      </w:r>
    </w:p>
    <w:p>
      <w:pPr>
        <w:pStyle w:val="Caption"/>
        <w:rPr/>
      </w:pPr>
      <w:r>
        <w:rPr/>
        <w:t xml:space="preserve">Tablica </w:t>
      </w:r>
      <w:r>
        <w:rPr/>
        <w:fldChar w:fldCharType="begin"/>
      </w:r>
      <w:r>
        <w:rPr/>
        <w:instrText> SEQ Tabela \* ARABIC </w:instrText>
      </w:r>
      <w:r>
        <w:rPr/>
        <w:fldChar w:fldCharType="separate"/>
      </w:r>
      <w:r>
        <w:rPr/>
        <w:t>23</w:t>
      </w:r>
      <w:r>
        <w:rPr/>
        <w:fldChar w:fldCharType="end"/>
      </w:r>
      <w:r>
        <w:rPr/>
        <w:t>. Mogući uzroci izvanrednog događaja</w:t>
      </w:r>
    </w:p>
    <w:tbl>
      <w:tblPr>
        <w:tblStyle w:val="TableGrid"/>
        <w:tblW w:w="5000" w:type="pct"/>
        <w:jc w:val="left"/>
        <w:tblInd w:w="0" w:type="dxa"/>
        <w:tblCellMar>
          <w:top w:w="0" w:type="dxa"/>
          <w:left w:w="108" w:type="dxa"/>
          <w:bottom w:w="0" w:type="dxa"/>
          <w:right w:w="108" w:type="dxa"/>
        </w:tblCellMar>
        <w:tblLook w:firstRow="1" w:noVBand="1" w:lastRow="0" w:firstColumn="1" w:lastColumn="0" w:noHBand="0" w:val="04a0"/>
      </w:tblPr>
      <w:tblGrid>
        <w:gridCol w:w="2935"/>
        <w:gridCol w:w="6134"/>
      </w:tblGrid>
      <w:tr>
        <w:trPr>
          <w:trHeight w:val="673" w:hRule="atLeast"/>
        </w:trPr>
        <w:tc>
          <w:tcPr>
            <w:tcW w:w="2935" w:type="dxa"/>
            <w:tcBorders/>
            <w:shd w:color="auto" w:fill="EAF1DD" w:themeFill="accent3" w:themeFillTint="33" w:val="clear"/>
          </w:tcPr>
          <w:p>
            <w:pPr>
              <w:pStyle w:val="Default"/>
              <w:jc w:val="center"/>
              <w:rPr>
                <w:rFonts w:ascii="Arial" w:hAnsi="Arial" w:cs="Arial"/>
                <w:b/>
                <w:b/>
                <w:sz w:val="20"/>
                <w:szCs w:val="20"/>
              </w:rPr>
            </w:pPr>
            <w:r>
              <w:rPr>
                <w:rFonts w:eastAsia="Times New Roman" w:cs="Arial" w:ascii="Arial" w:hAnsi="Arial"/>
                <w:b/>
                <w:sz w:val="20"/>
                <w:szCs w:val="20"/>
                <w:lang w:eastAsia="hr-HR"/>
              </w:rPr>
              <w:t>SKUPINA UZROKA</w:t>
            </w:r>
          </w:p>
        </w:tc>
        <w:tc>
          <w:tcPr>
            <w:tcW w:w="6134" w:type="dxa"/>
            <w:tcBorders/>
            <w:shd w:color="auto" w:fill="EAF1DD" w:themeFill="accent3" w:themeFillTint="33" w:val="clear"/>
          </w:tcPr>
          <w:p>
            <w:pPr>
              <w:pStyle w:val="Default"/>
              <w:jc w:val="center"/>
              <w:rPr>
                <w:rFonts w:ascii="Arial" w:hAnsi="Arial" w:cs="Arial"/>
                <w:b/>
                <w:b/>
                <w:sz w:val="20"/>
                <w:szCs w:val="20"/>
              </w:rPr>
            </w:pPr>
            <w:r>
              <w:rPr>
                <w:rFonts w:eastAsia="Times New Roman" w:cs="Arial" w:ascii="Arial" w:hAnsi="Arial"/>
                <w:b/>
                <w:sz w:val="20"/>
                <w:szCs w:val="20"/>
                <w:lang w:eastAsia="hr-HR"/>
              </w:rPr>
              <w:t>MOGUĆI UZROCI UNUTAR SKUPINE</w:t>
            </w:r>
          </w:p>
        </w:tc>
      </w:tr>
      <w:tr>
        <w:trPr>
          <w:trHeight w:val="28" w:hRule="atLeast"/>
        </w:trPr>
        <w:tc>
          <w:tcPr>
            <w:tcW w:w="2935" w:type="dxa"/>
            <w:vMerge w:val="restart"/>
            <w:tcBorders/>
          </w:tcPr>
          <w:p>
            <w:pPr>
              <w:pStyle w:val="Normal"/>
              <w:spacing w:lineRule="auto" w:line="240" w:before="80" w:after="160"/>
              <w:jc w:val="center"/>
              <w:rPr>
                <w:sz w:val="20"/>
                <w:szCs w:val="20"/>
              </w:rPr>
            </w:pPr>
            <w:r>
              <w:rPr>
                <w:sz w:val="20"/>
                <w:szCs w:val="20"/>
                <w:lang w:eastAsia="hr-HR"/>
              </w:rPr>
            </w:r>
          </w:p>
          <w:p>
            <w:pPr>
              <w:pStyle w:val="Normal"/>
              <w:spacing w:lineRule="auto" w:line="240"/>
              <w:jc w:val="center"/>
              <w:rPr>
                <w:sz w:val="20"/>
                <w:szCs w:val="20"/>
              </w:rPr>
            </w:pPr>
            <w:r>
              <w:rPr>
                <w:sz w:val="20"/>
                <w:szCs w:val="20"/>
                <w:lang w:eastAsia="hr-HR"/>
              </w:rPr>
            </w:r>
          </w:p>
          <w:p>
            <w:pPr>
              <w:pStyle w:val="Normal"/>
              <w:spacing w:lineRule="auto" w:line="240"/>
              <w:jc w:val="center"/>
              <w:rPr>
                <w:sz w:val="20"/>
                <w:szCs w:val="20"/>
              </w:rPr>
            </w:pPr>
            <w:r>
              <w:rPr>
                <w:sz w:val="20"/>
                <w:szCs w:val="20"/>
                <w:lang w:eastAsia="hr-HR"/>
              </w:rPr>
            </w:r>
          </w:p>
          <w:p>
            <w:pPr>
              <w:pStyle w:val="Normal"/>
              <w:spacing w:lineRule="auto" w:line="240"/>
              <w:jc w:val="center"/>
              <w:rPr>
                <w:sz w:val="20"/>
                <w:szCs w:val="20"/>
              </w:rPr>
            </w:pPr>
            <w:r>
              <w:rPr>
                <w:sz w:val="20"/>
                <w:szCs w:val="20"/>
                <w:lang w:eastAsia="hr-HR"/>
              </w:rPr>
            </w:r>
          </w:p>
          <w:p>
            <w:pPr>
              <w:pStyle w:val="Normal"/>
              <w:spacing w:lineRule="auto" w:line="240"/>
              <w:jc w:val="center"/>
              <w:rPr>
                <w:sz w:val="20"/>
                <w:szCs w:val="20"/>
              </w:rPr>
            </w:pPr>
            <w:r>
              <w:rPr>
                <w:sz w:val="20"/>
                <w:szCs w:val="20"/>
                <w:lang w:eastAsia="hr-HR"/>
              </w:rPr>
            </w:r>
          </w:p>
          <w:p>
            <w:pPr>
              <w:pStyle w:val="Normal"/>
              <w:spacing w:lineRule="auto" w:line="240" w:before="80" w:after="160"/>
              <w:jc w:val="center"/>
              <w:rPr>
                <w:sz w:val="20"/>
                <w:szCs w:val="20"/>
              </w:rPr>
            </w:pPr>
            <w:r>
              <w:rPr>
                <w:rFonts w:eastAsia="Times New Roman" w:cs="Times New Roman" w:ascii="Times New Roman" w:hAnsi="Times New Roman"/>
                <w:sz w:val="20"/>
                <w:szCs w:val="20"/>
                <w:lang w:eastAsia="hr-HR"/>
              </w:rPr>
              <w:t>Ljudski faktor</w:t>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Nepažnja prilikom dopreme opasnih tvari tj. Pretakanja, remonta i sl.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Uporaba otvorenog plamena ili pak rukovanje instalacijama i uređajima na tehnički nedopušten način.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Nepridržavanje uputa za rukovanje opasnim tvarima (uporaba otvorenog plamena ili alata koji iskri, pušenje na mjestima koja nisu za to predviđena i sl.).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Nošenje odjeće koja stvara statički elektricitet u blizini lako zapaljivih tvari.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Nepoštivanje propisa o rukovanju i održavanju postrojenja (pranje uređaja zapaljivim tekućinama dok su u radu).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Nepridržavanje mjera sigurnosti prilikom remonta postrojenja.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Neprikladno pohranjivanje manjih količina zapaljivih tvari.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Nepažnja prilikom rukovanja opasnim tvarima. </w:t>
            </w:r>
          </w:p>
        </w:tc>
      </w:tr>
      <w:tr>
        <w:trPr>
          <w:trHeight w:val="28" w:hRule="atLeast"/>
        </w:trPr>
        <w:tc>
          <w:tcPr>
            <w:tcW w:w="2935" w:type="dxa"/>
            <w:vMerge w:val="restart"/>
            <w:tcBorders/>
          </w:tcPr>
          <w:p>
            <w:pPr>
              <w:pStyle w:val="Normal"/>
              <w:spacing w:lineRule="auto" w:line="240" w:before="80" w:after="160"/>
              <w:jc w:val="center"/>
              <w:rPr>
                <w:sz w:val="20"/>
                <w:szCs w:val="20"/>
              </w:rPr>
            </w:pPr>
            <w:r>
              <w:rPr>
                <w:rFonts w:eastAsia="Times New Roman" w:cs="Times New Roman" w:ascii="Times New Roman" w:hAnsi="Times New Roman"/>
                <w:sz w:val="20"/>
                <w:szCs w:val="20"/>
                <w:lang w:eastAsia="hr-HR"/>
              </w:rPr>
              <w:t>Poremećaj tehnološkog procesa</w:t>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Zatajenje prateće opreme spremnika (električna oprema, sigurnosni ventili, odušci, cjevovodi, i sl.)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Propuštanje spremnika.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Kvarovi većeg opsega na postrojenju. </w:t>
            </w:r>
          </w:p>
        </w:tc>
      </w:tr>
      <w:tr>
        <w:trPr>
          <w:trHeight w:val="28" w:hRule="atLeast"/>
        </w:trPr>
        <w:tc>
          <w:tcPr>
            <w:tcW w:w="2935" w:type="dxa"/>
            <w:vMerge w:val="restart"/>
            <w:tcBorders/>
          </w:tcPr>
          <w:p>
            <w:pPr>
              <w:pStyle w:val="Normal"/>
              <w:spacing w:lineRule="auto" w:line="240" w:before="80" w:after="160"/>
              <w:jc w:val="center"/>
              <w:rPr>
                <w:sz w:val="20"/>
                <w:szCs w:val="20"/>
              </w:rPr>
            </w:pPr>
            <w:r>
              <w:rPr>
                <w:rFonts w:eastAsia="Times New Roman" w:cs="Times New Roman" w:ascii="Times New Roman" w:hAnsi="Times New Roman"/>
                <w:sz w:val="20"/>
                <w:szCs w:val="20"/>
                <w:lang w:eastAsia="hr-HR"/>
              </w:rPr>
              <w:t>Namjerno razaranje</w:t>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Organizirani kriminal.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Terorizam.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Sabotaže. </w:t>
            </w:r>
          </w:p>
        </w:tc>
      </w:tr>
      <w:tr>
        <w:trPr>
          <w:trHeight w:val="28" w:hRule="atLeast"/>
        </w:trPr>
        <w:tc>
          <w:tcPr>
            <w:tcW w:w="2935" w:type="dxa"/>
            <w:vMerge w:val="continue"/>
            <w:tcBorders/>
          </w:tcPr>
          <w:p>
            <w:pPr>
              <w:pStyle w:val="Normal"/>
              <w:spacing w:lineRule="auto" w:line="240" w:before="80" w:after="160"/>
              <w:jc w:val="center"/>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Psihički nestabilne osobe. </w:t>
            </w:r>
          </w:p>
        </w:tc>
      </w:tr>
      <w:tr>
        <w:trPr>
          <w:trHeight w:val="28" w:hRule="atLeast"/>
        </w:trPr>
        <w:tc>
          <w:tcPr>
            <w:tcW w:w="2935" w:type="dxa"/>
            <w:vMerge w:val="restart"/>
            <w:tcBorders/>
          </w:tcPr>
          <w:p>
            <w:pPr>
              <w:pStyle w:val="Normal"/>
              <w:spacing w:lineRule="auto" w:line="240" w:before="80" w:after="160"/>
              <w:jc w:val="center"/>
              <w:rPr>
                <w:sz w:val="20"/>
                <w:szCs w:val="20"/>
              </w:rPr>
            </w:pPr>
            <w:r>
              <w:rPr>
                <w:rFonts w:eastAsia="Times New Roman" w:cs="Times New Roman" w:ascii="Times New Roman" w:hAnsi="Times New Roman"/>
                <w:sz w:val="20"/>
                <w:szCs w:val="20"/>
                <w:lang w:eastAsia="hr-HR"/>
              </w:rPr>
              <w:t>Prirodne nepogode jačeg intenziteta</w:t>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Potres </w:t>
            </w:r>
          </w:p>
        </w:tc>
      </w:tr>
      <w:tr>
        <w:trPr>
          <w:trHeight w:val="28" w:hRule="atLeast"/>
        </w:trPr>
        <w:tc>
          <w:tcPr>
            <w:tcW w:w="2935" w:type="dxa"/>
            <w:vMerge w:val="continue"/>
            <w:tcBorders/>
          </w:tcPr>
          <w:p>
            <w:pPr>
              <w:pStyle w:val="Normal"/>
              <w:spacing w:lineRule="auto" w:line="240" w:before="80" w:after="160"/>
              <w:rPr>
                <w:sz w:val="20"/>
                <w:szCs w:val="20"/>
              </w:rPr>
            </w:pPr>
            <w:r>
              <w:rPr>
                <w:sz w:val="20"/>
                <w:szCs w:val="20"/>
                <w:lang w:eastAsia="hr-HR"/>
              </w:rPr>
            </w:r>
          </w:p>
        </w:tc>
        <w:tc>
          <w:tcPr>
            <w:tcW w:w="6134" w:type="dxa"/>
            <w:tcBorders/>
          </w:tcPr>
          <w:p>
            <w:pPr>
              <w:pStyle w:val="Default"/>
              <w:spacing w:lineRule="auto" w:line="276"/>
              <w:rPr>
                <w:rFonts w:ascii="Arial" w:hAnsi="Arial" w:cs="Arial"/>
                <w:sz w:val="20"/>
                <w:szCs w:val="20"/>
              </w:rPr>
            </w:pPr>
            <w:r>
              <w:rPr>
                <w:rFonts w:eastAsia="Times New Roman" w:cs="Arial" w:ascii="Arial" w:hAnsi="Arial"/>
                <w:sz w:val="20"/>
                <w:szCs w:val="20"/>
                <w:lang w:eastAsia="hr-HR"/>
              </w:rPr>
              <w:t xml:space="preserve">Poledica </w:t>
            </w:r>
          </w:p>
        </w:tc>
      </w:tr>
    </w:tbl>
    <w:p>
      <w:pPr>
        <w:pStyle w:val="Normal"/>
        <w:rPr>
          <w:szCs w:val="22"/>
          <w:highlight w:val="yellow"/>
        </w:rPr>
      </w:pPr>
      <w:r>
        <w:rPr>
          <w:szCs w:val="22"/>
          <w:highlight w:val="yellow"/>
        </w:rPr>
      </w:r>
    </w:p>
    <w:p>
      <w:pPr>
        <w:pStyle w:val="Normal"/>
        <w:rPr>
          <w:szCs w:val="22"/>
        </w:rPr>
      </w:pPr>
      <w:r>
        <w:rPr>
          <w:szCs w:val="22"/>
        </w:rPr>
        <w:t>Za najvjerojatniji mogući izvanredni događaj uzrok može biti ljudski faktor, poremećaji tehnološkog procesa i prirodne nepogode jačeg intenziteta, a za najgori mogući slučaj uzrok može biti namjerno razaranje.</w:t>
      </w:r>
    </w:p>
    <w:p>
      <w:pPr>
        <w:pStyle w:val="Normal"/>
        <w:rPr>
          <w:szCs w:val="22"/>
        </w:rPr>
      </w:pPr>
      <w:r>
        <w:rPr>
          <w:szCs w:val="22"/>
        </w:rPr>
      </w:r>
    </w:p>
    <w:p>
      <w:pPr>
        <w:pStyle w:val="Normal"/>
        <w:rPr>
          <w:b/>
          <w:b/>
          <w:u w:val="single"/>
        </w:rPr>
      </w:pPr>
      <w:r>
        <w:rPr>
          <w:b/>
          <w:u w:val="single"/>
        </w:rPr>
        <w:t>RAZVOJ DOGAĐAJA KOJI JE PRETHODIO VELIKOJ NESREĆI</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Uslijed kvara, ljudske pogreške ili prirodne nepogode dolazi do eksplozije UNP spremnika autocisterne s BLEV(E) posljedicom.</w:t>
      </w:r>
    </w:p>
    <w:p>
      <w:pPr>
        <w:pStyle w:val="Normal"/>
        <w:rPr/>
      </w:pPr>
      <w:r>
        <w:rPr/>
      </w:r>
    </w:p>
    <w:p>
      <w:pPr>
        <w:pStyle w:val="Normal"/>
        <w:rPr>
          <w:b/>
          <w:b/>
          <w:u w:val="single"/>
        </w:rPr>
      </w:pPr>
      <w:r>
        <w:rPr>
          <w:b/>
          <w:u w:val="single"/>
        </w:rPr>
        <w:t>OKIDAČ KOJI JE UZROKOVAO VELIKU NESREĆU</w:t>
      </w:r>
    </w:p>
    <w:p>
      <w:pPr>
        <w:pStyle w:val="Normal"/>
        <w:rPr>
          <w:lang w:bidi="en-US"/>
        </w:rPr>
      </w:pPr>
      <w:r>
        <w:rPr>
          <w:lang w:bidi="en-US"/>
        </w:rPr>
        <w:t xml:space="preserve">Nailaskom na izvor zapaljenja dolazi do eksplozije plinske faze ukapljenog naftnog plina. </w:t>
      </w:r>
    </w:p>
    <w:p>
      <w:pPr>
        <w:pStyle w:val="Normal"/>
        <w:rPr>
          <w:lang w:bidi="en-US"/>
        </w:rPr>
      </w:pPr>
      <w:r>
        <w:rPr>
          <w:lang w:bidi="en-US"/>
        </w:rPr>
      </w:r>
    </w:p>
    <w:p>
      <w:pPr>
        <w:pStyle w:val="Normal"/>
        <w:rPr>
          <w:lang w:bidi="en-US"/>
        </w:rPr>
      </w:pPr>
      <w:r>
        <w:rPr>
          <w:lang w:bidi="en-US"/>
        </w:rPr>
      </w:r>
    </w:p>
    <w:p>
      <w:pPr>
        <w:pStyle w:val="Stilnaslova3"/>
        <w:numPr>
          <w:ilvl w:val="2"/>
          <w:numId w:val="2"/>
        </w:numPr>
        <w:ind w:left="709" w:hanging="721"/>
        <w:rPr>
          <w:rStyle w:val="IntenseEmphasis"/>
          <w:i w:val="false"/>
          <w:i w:val="false"/>
          <w:color w:val="54883D"/>
        </w:rPr>
      </w:pPr>
      <w:bookmarkStart w:id="189" w:name="_Toc99955708"/>
      <w:bookmarkStart w:id="190" w:name="_Toc116990156"/>
      <w:r>
        <w:rPr>
          <w:rStyle w:val="IntenseEmphasis"/>
          <w:i w:val="false"/>
          <w:color w:val="54883D"/>
        </w:rPr>
        <w:t>Događaj s najgorim mogućim posljedicama</w:t>
      </w:r>
      <w:bookmarkEnd w:id="189"/>
      <w:bookmarkEnd w:id="190"/>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U sljedećoj tablici navedeni su osnovni podaci i fizikalno kemijske karakteristike UNP-a.</w:t>
      </w:r>
    </w:p>
    <w:p>
      <w:pPr>
        <w:pStyle w:val="Normal"/>
        <w:spacing w:before="0" w:after="0"/>
        <w:jc w:val="center"/>
        <w:rPr>
          <w:b/>
          <w:b/>
          <w:bCs/>
          <w:color w:val="auto"/>
          <w:sz w:val="20"/>
          <w:szCs w:val="20"/>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8</w:t>
      </w:r>
      <w:r>
        <w:rPr>
          <w:sz w:val="20"/>
          <w:b/>
          <w:szCs w:val="20"/>
          <w:bCs/>
          <w:color w:val="auto"/>
        </w:rPr>
        <w:fldChar w:fldCharType="end"/>
      </w:r>
      <w:r>
        <w:rPr>
          <w:b/>
          <w:bCs/>
          <w:color w:val="auto"/>
          <w:sz w:val="20"/>
          <w:szCs w:val="20"/>
        </w:rPr>
        <w:t xml:space="preserve">. Fizikalno kemijske karakteristike UNP-a </w:t>
      </w:r>
    </w:p>
    <w:tbl>
      <w:tblPr>
        <w:tblStyle w:val="TableGrid4"/>
        <w:tblW w:w="8728" w:type="dxa"/>
        <w:jc w:val="center"/>
        <w:tblInd w:w="0" w:type="dxa"/>
        <w:tblCellMar>
          <w:top w:w="0" w:type="dxa"/>
          <w:left w:w="108" w:type="dxa"/>
          <w:bottom w:w="0" w:type="dxa"/>
          <w:right w:w="108" w:type="dxa"/>
        </w:tblCellMar>
        <w:tblLook w:firstRow="1" w:noVBand="1" w:lastRow="0" w:firstColumn="1" w:lastColumn="0" w:noHBand="0" w:val="04a0"/>
      </w:tblPr>
      <w:tblGrid>
        <w:gridCol w:w="3039"/>
        <w:gridCol w:w="5688"/>
      </w:tblGrid>
      <w:tr>
        <w:trPr>
          <w:trHeight w:val="895" w:hRule="atLeast"/>
        </w:trPr>
        <w:tc>
          <w:tcPr>
            <w:tcW w:w="3039" w:type="dxa"/>
            <w:tcBorders/>
            <w:shd w:color="auto" w:fill="D6E3BC" w:themeFill="accent3" w:themeFillTint="66" w:val="clear"/>
            <w:vAlign w:val="center"/>
          </w:tcPr>
          <w:p>
            <w:pPr>
              <w:pStyle w:val="Normal"/>
              <w:spacing w:lineRule="auto" w:line="240" w:before="0" w:after="0"/>
              <w:jc w:val="left"/>
              <w:rPr>
                <w:b/>
                <w:b/>
                <w:sz w:val="20"/>
                <w:szCs w:val="20"/>
              </w:rPr>
            </w:pPr>
            <w:r>
              <w:rPr>
                <w:rFonts w:eastAsia="Times New Roman" w:cs="Times New Roman" w:ascii="Times New Roman" w:hAnsi="Times New Roman"/>
                <w:b/>
                <w:sz w:val="20"/>
                <w:szCs w:val="20"/>
                <w:lang w:eastAsia="hr-HR"/>
              </w:rPr>
              <w:t>CAS broj/indeksni broj/EC broj</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68476-85-7</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649-202-00-6</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270-704-2</w:t>
            </w:r>
          </w:p>
        </w:tc>
      </w:tr>
      <w:tr>
        <w:trPr>
          <w:trHeight w:val="1342"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Piktogram opasnosti</w:t>
            </w:r>
          </w:p>
        </w:tc>
        <w:tc>
          <w:tcPr>
            <w:tcW w:w="5688" w:type="dxa"/>
            <w:tcBorders/>
            <w:vAlign w:val="center"/>
          </w:tcPr>
          <w:p>
            <w:pPr>
              <w:pStyle w:val="Normal"/>
              <w:spacing w:lineRule="auto" w:line="276" w:before="0" w:after="0"/>
              <w:jc w:val="left"/>
              <w:rPr>
                <w:sz w:val="20"/>
                <w:szCs w:val="20"/>
              </w:rPr>
            </w:pPr>
            <w:r>
              <w:rPr>
                <w:szCs w:val="24"/>
                <w:lang w:eastAsia="hr-HR"/>
              </w:rPr>
              <w:drawing>
                <wp:inline distT="0" distB="0" distL="0" distR="0">
                  <wp:extent cx="1172210" cy="733425"/>
                  <wp:effectExtent l="0" t="0" r="0" b="0"/>
                  <wp:docPr id="64" name="Slika 3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lika 365" descr=""/>
                          <pic:cNvPicPr>
                            <a:picLocks noChangeAspect="1" noChangeArrowheads="1"/>
                          </pic:cNvPicPr>
                        </pic:nvPicPr>
                        <pic:blipFill>
                          <a:blip r:embed="rId57"/>
                          <a:stretch>
                            <a:fillRect/>
                          </a:stretch>
                        </pic:blipFill>
                        <pic:spPr bwMode="auto">
                          <a:xfrm>
                            <a:off x="0" y="0"/>
                            <a:ext cx="1172210" cy="733425"/>
                          </a:xfrm>
                          <a:prstGeom prst="rect">
                            <a:avLst/>
                          </a:prstGeom>
                        </pic:spPr>
                      </pic:pic>
                    </a:graphicData>
                  </a:graphic>
                </wp:inline>
              </w:drawing>
            </w:r>
          </w:p>
        </w:tc>
      </w:tr>
      <w:tr>
        <w:trPr>
          <w:trHeight w:val="895"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Oznake upozorenja</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b/>
                <w:sz w:val="20"/>
                <w:szCs w:val="20"/>
                <w:lang w:eastAsia="hr-HR"/>
              </w:rPr>
              <w:t>H220</w:t>
            </w:r>
            <w:r>
              <w:rPr>
                <w:rFonts w:eastAsia="Times New Roman" w:cs="Times New Roman" w:ascii="Times New Roman" w:hAnsi="Times New Roman"/>
                <w:sz w:val="20"/>
                <w:szCs w:val="20"/>
                <w:lang w:eastAsia="hr-HR"/>
              </w:rPr>
              <w:t xml:space="preserve"> Vrlo lako zapaljivi plin.</w:t>
            </w:r>
          </w:p>
          <w:p>
            <w:pPr>
              <w:pStyle w:val="Normal"/>
              <w:spacing w:lineRule="auto" w:line="276" w:before="0" w:after="0"/>
              <w:jc w:val="left"/>
              <w:rPr>
                <w:sz w:val="20"/>
                <w:szCs w:val="20"/>
              </w:rPr>
            </w:pPr>
            <w:r>
              <w:rPr>
                <w:rFonts w:eastAsia="Times New Roman" w:cs="Times New Roman" w:ascii="Times New Roman" w:hAnsi="Times New Roman"/>
                <w:b/>
                <w:sz w:val="20"/>
                <w:szCs w:val="20"/>
                <w:lang w:eastAsia="hr-HR"/>
              </w:rPr>
              <w:t xml:space="preserve">H280 </w:t>
            </w:r>
            <w:r>
              <w:rPr>
                <w:rFonts w:eastAsia="Times New Roman" w:cs="Times New Roman" w:ascii="Times New Roman" w:hAnsi="Times New Roman"/>
                <w:sz w:val="20"/>
                <w:szCs w:val="20"/>
                <w:lang w:eastAsia="hr-HR"/>
              </w:rPr>
              <w:t>Sadrži stlačeni plin; zagrijavanje može uzrokovati eksploziju.</w:t>
            </w:r>
          </w:p>
        </w:tc>
      </w:tr>
      <w:tr>
        <w:trPr>
          <w:trHeight w:val="912"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Fizikalno kemijske karakteristike:</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Agregatno stanje: Plin; pod tlakom tekućina.</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Boja: Bezbojan.</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Miris: Karakterističan, neugodan</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 xml:space="preserve">Talište/ledište: -187,6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 xml:space="preserve">C do -138,3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C</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 xml:space="preserve">Početna točka vrenja i područje vrenja: -161,48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 xml:space="preserve">C do -0,5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C</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 xml:space="preserve">Plamište: -104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 xml:space="preserve">C do -60 </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C</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Gornja/donja granica zapaljivosti, odnosno granice eksplozivnosti: 1,8-15%</w:t>
            </w:r>
          </w:p>
          <w:p>
            <w:pPr>
              <w:pStyle w:val="Normal"/>
              <w:spacing w:lineRule="auto" w:line="276" w:before="0" w:after="0"/>
              <w:jc w:val="left"/>
              <w:rPr>
                <w:sz w:val="20"/>
                <w:szCs w:val="20"/>
                <w:vertAlign w:val="superscript"/>
              </w:rPr>
            </w:pPr>
            <w:r>
              <w:rPr>
                <w:rFonts w:eastAsia="Times New Roman" w:cs="Times New Roman" w:ascii="Times New Roman" w:hAnsi="Times New Roman"/>
                <w:sz w:val="20"/>
                <w:szCs w:val="20"/>
                <w:lang w:eastAsia="hr-HR"/>
              </w:rPr>
              <w:t>Gustoća: 0,4228-0,589 g/cm</w:t>
            </w:r>
            <w:r>
              <w:rPr>
                <w:rFonts w:eastAsia="Times New Roman" w:cs="Times New Roman" w:ascii="Times New Roman" w:hAnsi="Times New Roman"/>
                <w:sz w:val="20"/>
                <w:szCs w:val="20"/>
                <w:vertAlign w:val="superscript"/>
                <w:lang w:eastAsia="hr-HR"/>
              </w:rPr>
              <w:t>3</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Topljivost(i): u vodi: 24,4 do 60,4 mg/L</w:t>
            </w:r>
          </w:p>
          <w:p>
            <w:pPr>
              <w:pStyle w:val="Normal"/>
              <w:spacing w:lineRule="auto" w:line="276" w:before="0" w:after="0"/>
              <w:jc w:val="left"/>
              <w:rPr>
                <w:b/>
                <w:b/>
                <w:sz w:val="20"/>
                <w:szCs w:val="20"/>
              </w:rPr>
            </w:pPr>
            <w:r>
              <w:rPr>
                <w:rFonts w:eastAsia="Times New Roman" w:cs="Times New Roman" w:ascii="Times New Roman" w:hAnsi="Times New Roman"/>
                <w:sz w:val="20"/>
                <w:szCs w:val="20"/>
                <w:lang w:eastAsia="hr-HR"/>
              </w:rPr>
              <w:t>Temperatura samozapaljenja: 287-537</w:t>
            </w:r>
            <w:r>
              <w:rPr>
                <w:rFonts w:eastAsia="Symbol" w:cs="Symbol" w:ascii="Symbol" w:hAnsi="Symbol"/>
                <w:sz w:val="20"/>
                <w:szCs w:val="20"/>
                <w:lang w:eastAsia="hr-HR"/>
              </w:rPr>
              <w:t></w:t>
            </w:r>
            <w:r>
              <w:rPr>
                <w:rFonts w:eastAsia="Times New Roman" w:cs="Times New Roman" w:ascii="Times New Roman" w:hAnsi="Times New Roman"/>
                <w:sz w:val="20"/>
                <w:szCs w:val="20"/>
                <w:lang w:eastAsia="hr-HR"/>
              </w:rPr>
              <w:t>C</w:t>
            </w:r>
          </w:p>
        </w:tc>
      </w:tr>
      <w:tr>
        <w:trPr>
          <w:trHeight w:val="1498"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Stabilnost i rekativnost:</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Nije samo reaktivan. Zagrijavanjem se ne raspada, nije egzoterman.</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Stabilan pri propisanim uvjetima korištenja i skladištenja.</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Izbjegavati dodir sa zrakom, jake oksidanse i povišenu</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temperaturu.</w:t>
            </w:r>
          </w:p>
        </w:tc>
      </w:tr>
      <w:tr>
        <w:trPr>
          <w:trHeight w:val="585"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Prikladna sredstva za gašenje požara</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u w:val="single"/>
                <w:lang w:eastAsia="hr-HR"/>
              </w:rPr>
              <w:t>Veliki požari</w:t>
            </w:r>
            <w:r>
              <w:rPr>
                <w:rFonts w:eastAsia="Times New Roman" w:cs="Times New Roman" w:ascii="Times New Roman" w:hAnsi="Times New Roman"/>
                <w:sz w:val="20"/>
                <w:szCs w:val="20"/>
                <w:lang w:eastAsia="hr-HR"/>
              </w:rPr>
              <w:t>: Vodeni sprej, vodena maglica ili pjena.</w:t>
            </w:r>
          </w:p>
          <w:p>
            <w:pPr>
              <w:pStyle w:val="Normal"/>
              <w:spacing w:lineRule="auto" w:line="276" w:before="0" w:after="0"/>
              <w:jc w:val="left"/>
              <w:rPr>
                <w:sz w:val="20"/>
                <w:szCs w:val="20"/>
              </w:rPr>
            </w:pPr>
            <w:r>
              <w:rPr>
                <w:rFonts w:eastAsia="Times New Roman" w:cs="Times New Roman" w:ascii="Times New Roman" w:hAnsi="Times New Roman"/>
                <w:sz w:val="20"/>
                <w:szCs w:val="20"/>
                <w:u w:val="single"/>
                <w:lang w:eastAsia="hr-HR"/>
              </w:rPr>
              <w:t>Mali požari:</w:t>
            </w:r>
            <w:r>
              <w:rPr>
                <w:rFonts w:eastAsia="Times New Roman" w:cs="Times New Roman" w:ascii="Times New Roman" w:hAnsi="Times New Roman"/>
                <w:sz w:val="20"/>
                <w:szCs w:val="20"/>
                <w:lang w:eastAsia="hr-HR"/>
              </w:rPr>
              <w:t xml:space="preserve"> Suhi prah ili CO</w:t>
            </w:r>
            <w:r>
              <w:rPr>
                <w:rFonts w:eastAsia="Times New Roman" w:cs="Times New Roman" w:ascii="Times New Roman" w:hAnsi="Times New Roman"/>
                <w:sz w:val="20"/>
                <w:szCs w:val="20"/>
                <w:vertAlign w:val="subscript"/>
                <w:lang w:eastAsia="hr-HR"/>
              </w:rPr>
              <w:t>2</w:t>
            </w:r>
            <w:r>
              <w:rPr>
                <w:rFonts w:eastAsia="Times New Roman" w:cs="Times New Roman" w:ascii="Times New Roman" w:hAnsi="Times New Roman"/>
                <w:sz w:val="20"/>
                <w:szCs w:val="20"/>
                <w:lang w:eastAsia="hr-HR"/>
              </w:rPr>
              <w:t xml:space="preserve"> ili vatrogasna pjena.</w:t>
            </w:r>
          </w:p>
        </w:tc>
      </w:tr>
      <w:tr>
        <w:trPr>
          <w:trHeight w:val="293"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Neprikladna sredstva:</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Vodeni mlaz, istovremeno korištenje vode i pjene.</w:t>
            </w:r>
          </w:p>
        </w:tc>
      </w:tr>
      <w:tr>
        <w:trPr>
          <w:trHeight w:val="603"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Opasni produkti gorenja:</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Gorenjem proizvoda nastaju zagušljive pare i otrovni plinovi (CO i CO</w:t>
            </w:r>
            <w:r>
              <w:rPr>
                <w:rFonts w:eastAsia="Times New Roman" w:cs="Times New Roman" w:ascii="Times New Roman" w:hAnsi="Times New Roman"/>
                <w:sz w:val="20"/>
                <w:szCs w:val="20"/>
                <w:vertAlign w:val="subscript"/>
                <w:lang w:eastAsia="hr-HR"/>
              </w:rPr>
              <w:t>2</w:t>
            </w:r>
            <w:r>
              <w:rPr>
                <w:rFonts w:eastAsia="Times New Roman" w:cs="Times New Roman" w:ascii="Times New Roman" w:hAnsi="Times New Roman"/>
                <w:sz w:val="20"/>
                <w:szCs w:val="20"/>
                <w:lang w:eastAsia="hr-HR"/>
              </w:rPr>
              <w:t>).</w:t>
            </w:r>
          </w:p>
        </w:tc>
      </w:tr>
      <w:tr>
        <w:trPr>
          <w:trHeight w:val="1790"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Ostale opasnosti:</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Oslobođena tekućina vrlo brzo prelazi u plinovito stanje i sa zrakom stvara eksplozivnu smjesu! Kada izmjerena koncentracija plina u zraku na mjestu istjecanja padne ispod granice eksplozivnosti, pristupiti intervenciji. Ima svojstva kriogene tekućine te mnogi materijali u kontaktu s rashladnim - kriogenim tekućinama postaju krti i pucaju. Dodirom izaziva ozebline.</w:t>
            </w:r>
          </w:p>
        </w:tc>
      </w:tr>
      <w:tr>
        <w:trPr>
          <w:trHeight w:val="2100"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Toksikološke informacije:</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Nadraživanje i nagrizanje: Komprimirani plin izaziva ozebline.</w:t>
            </w:r>
          </w:p>
          <w:p>
            <w:pPr>
              <w:pStyle w:val="Normal"/>
              <w:spacing w:lineRule="auto" w:line="276" w:before="0" w:after="0"/>
              <w:jc w:val="left"/>
              <w:rPr>
                <w:sz w:val="20"/>
                <w:szCs w:val="20"/>
                <w:u w:val="single"/>
              </w:rPr>
            </w:pPr>
            <w:r>
              <w:rPr>
                <w:rFonts w:eastAsia="Times New Roman" w:cs="Times New Roman" w:ascii="Times New Roman" w:hAnsi="Times New Roman"/>
                <w:sz w:val="20"/>
                <w:szCs w:val="20"/>
                <w:u w:val="single"/>
                <w:lang w:eastAsia="hr-HR"/>
              </w:rPr>
              <w:t>Simptomi vezani uz fizikalne, kemijske i toksikološke karakteristike:</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Gutanje: Nema podataka.</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Dodir s kožom: Crvenilo, nadražaj, ozebline.</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Udisanje: Glavobolja, mučnina, vrtoglavica.</w:t>
            </w:r>
          </w:p>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Dodir s očima: Nadražaj, zamagljen vid.</w:t>
            </w:r>
          </w:p>
        </w:tc>
      </w:tr>
      <w:tr>
        <w:trPr>
          <w:trHeight w:val="971" w:hRule="atLeast"/>
        </w:trPr>
        <w:tc>
          <w:tcPr>
            <w:tcW w:w="3039" w:type="dxa"/>
            <w:tcBorders/>
            <w:shd w:color="auto" w:fill="D6E3BC" w:themeFill="accent3" w:themeFillTint="66" w:val="clear"/>
            <w:vAlign w:val="center"/>
          </w:tcPr>
          <w:p>
            <w:pPr>
              <w:pStyle w:val="Normal"/>
              <w:spacing w:lineRule="auto" w:line="276" w:before="0" w:after="0"/>
              <w:jc w:val="left"/>
              <w:rPr>
                <w:b/>
                <w:b/>
                <w:sz w:val="20"/>
                <w:szCs w:val="20"/>
              </w:rPr>
            </w:pPr>
            <w:r>
              <w:rPr>
                <w:rFonts w:eastAsia="Times New Roman" w:cs="Times New Roman" w:ascii="Times New Roman" w:hAnsi="Times New Roman"/>
                <w:b/>
                <w:sz w:val="20"/>
                <w:szCs w:val="20"/>
                <w:lang w:eastAsia="hr-HR"/>
              </w:rPr>
              <w:t>Ekološke informacije:</w:t>
            </w:r>
          </w:p>
        </w:tc>
        <w:tc>
          <w:tcPr>
            <w:tcW w:w="5688" w:type="dxa"/>
            <w:tcBorders/>
            <w:vAlign w:val="center"/>
          </w:tcPr>
          <w:p>
            <w:pPr>
              <w:pStyle w:val="Normal"/>
              <w:spacing w:lineRule="auto" w:line="276" w:before="0" w:after="0"/>
              <w:jc w:val="left"/>
              <w:rPr>
                <w:sz w:val="20"/>
                <w:szCs w:val="20"/>
              </w:rPr>
            </w:pPr>
            <w:r>
              <w:rPr>
                <w:rFonts w:eastAsia="Times New Roman" w:cs="Times New Roman" w:ascii="Times New Roman" w:hAnsi="Times New Roman"/>
                <w:sz w:val="20"/>
                <w:szCs w:val="20"/>
                <w:lang w:eastAsia="hr-HR"/>
              </w:rPr>
              <w:t xml:space="preserve">Proizvod nije PBT i vPvB </w:t>
            </w:r>
            <w:r>
              <w:rPr>
                <w:rFonts w:eastAsia="Times New Roman" w:cs="Times New Roman" w:ascii="Times New Roman" w:hAnsi="Times New Roman"/>
                <w:color w:val="000000"/>
                <w:sz w:val="20"/>
                <w:szCs w:val="20"/>
                <w:shd w:fill="FFFFFF" w:val="clear"/>
                <w:lang w:eastAsia="hr-HR"/>
              </w:rPr>
              <w:t>(Persistent, Bioaccumulative and Toxic/very Persistent and very Bioaccumulative)</w:t>
            </w:r>
            <w:r>
              <w:rPr>
                <w:rFonts w:eastAsia="Times New Roman" w:cs="Times New Roman" w:ascii="Times New Roman" w:hAnsi="Times New Roman"/>
                <w:color w:val="auto"/>
                <w:sz w:val="20"/>
                <w:szCs w:val="20"/>
                <w:lang w:eastAsia="hr-HR"/>
              </w:rPr>
              <w:t>.</w:t>
            </w:r>
          </w:p>
        </w:tc>
      </w:tr>
    </w:tbl>
    <w:p>
      <w:pPr>
        <w:pStyle w:val="Normal"/>
        <w:spacing w:before="120" w:after="120"/>
        <w:rPr>
          <w:rFonts w:eastAsia="" w:eastAsiaTheme="minorEastAsia"/>
          <w:b/>
          <w:b/>
          <w:i/>
          <w:i/>
          <w:color w:val="auto"/>
          <w:szCs w:val="22"/>
          <w:lang w:eastAsia="hr-HR"/>
        </w:rPr>
      </w:pPr>
      <w:r>
        <w:rPr>
          <w:rFonts w:eastAsia="" w:eastAsiaTheme="minorEastAsia"/>
          <w:b/>
          <w:i/>
          <w:color w:val="auto"/>
          <w:szCs w:val="22"/>
          <w:lang w:eastAsia="hr-HR"/>
        </w:rPr>
      </w:r>
    </w:p>
    <w:p>
      <w:pPr>
        <w:pStyle w:val="Normal"/>
        <w:spacing w:before="120" w:after="120"/>
        <w:rPr>
          <w:rFonts w:eastAsia="" w:eastAsiaTheme="minorEastAsia"/>
          <w:b/>
          <w:b/>
          <w:i/>
          <w:i/>
          <w:color w:val="auto"/>
          <w:szCs w:val="22"/>
          <w:lang w:eastAsia="hr-HR"/>
        </w:rPr>
      </w:pPr>
      <w:r>
        <w:rPr>
          <w:rFonts w:eastAsia="" w:eastAsiaTheme="minorEastAsia"/>
          <w:b/>
          <w:i/>
          <w:color w:val="auto"/>
          <w:szCs w:val="22"/>
          <w:lang w:eastAsia="hr-HR"/>
        </w:rPr>
        <w:t>Podaci o istjecanju</w:t>
      </w:r>
    </w:p>
    <w:p>
      <w:pPr>
        <w:pStyle w:val="Normal"/>
        <w:spacing w:before="0" w:after="0"/>
        <w:jc w:val="center"/>
        <w:rPr>
          <w:b/>
          <w:b/>
          <w:bCs/>
          <w:color w:val="auto"/>
          <w:sz w:val="20"/>
          <w:szCs w:val="20"/>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9</w:t>
      </w:r>
      <w:r>
        <w:rPr>
          <w:sz w:val="20"/>
          <w:b/>
          <w:szCs w:val="20"/>
          <w:bCs/>
          <w:color w:val="auto"/>
        </w:rPr>
        <w:fldChar w:fldCharType="end"/>
      </w:r>
      <w:r>
        <w:rPr>
          <w:b/>
          <w:bCs/>
          <w:color w:val="auto"/>
          <w:sz w:val="20"/>
          <w:szCs w:val="20"/>
        </w:rPr>
        <w:t>. Fizikalno kemijske značajke ispuštenog medija</w:t>
      </w:r>
    </w:p>
    <w:tbl>
      <w:tblPr>
        <w:tblStyle w:val="TableGrid4"/>
        <w:tblW w:w="6836" w:type="dxa"/>
        <w:jc w:val="center"/>
        <w:tblInd w:w="0" w:type="dxa"/>
        <w:tblCellMar>
          <w:top w:w="0" w:type="dxa"/>
          <w:left w:w="108" w:type="dxa"/>
          <w:bottom w:w="0" w:type="dxa"/>
          <w:right w:w="108" w:type="dxa"/>
        </w:tblCellMar>
        <w:tblLook w:firstRow="1" w:noVBand="1" w:lastRow="0" w:firstColumn="1" w:lastColumn="0" w:noHBand="0" w:val="04a0"/>
      </w:tblPr>
      <w:tblGrid>
        <w:gridCol w:w="4388"/>
        <w:gridCol w:w="2447"/>
      </w:tblGrid>
      <w:tr>
        <w:trPr>
          <w:tblHeader w:val="true"/>
          <w:trHeight w:val="759" w:hRule="atLeast"/>
        </w:trPr>
        <w:tc>
          <w:tcPr>
            <w:tcW w:w="4388" w:type="dxa"/>
            <w:tcBorders/>
            <w:shd w:color="auto" w:fill="D6E3BC" w:themeFill="accent3" w:themeFillTint="66" w:val="clear"/>
            <w:vAlign w:val="center"/>
          </w:tcPr>
          <w:p>
            <w:pPr>
              <w:pStyle w:val="Normal"/>
              <w:spacing w:lineRule="auto" w:line="240" w:before="0" w:after="0"/>
              <w:rPr>
                <w:b/>
                <w:b/>
                <w:sz w:val="20"/>
                <w:szCs w:val="20"/>
              </w:rPr>
            </w:pPr>
            <w:r>
              <w:rPr>
                <w:rFonts w:eastAsia="Times New Roman" w:cs="Times New Roman" w:ascii="Times New Roman" w:hAnsi="Times New Roman"/>
                <w:b/>
                <w:sz w:val="20"/>
                <w:szCs w:val="20"/>
                <w:lang w:eastAsia="hr-HR"/>
              </w:rPr>
              <w:t>Naziv tvari</w:t>
            </w:r>
          </w:p>
        </w:tc>
        <w:tc>
          <w:tcPr>
            <w:tcW w:w="2447" w:type="dxa"/>
            <w:tcBorders/>
            <w:shd w:color="auto" w:fill="D6E3BC" w:themeFill="accent3" w:themeFillTint="66" w:val="clear"/>
            <w:vAlign w:val="center"/>
          </w:tcPr>
          <w:p>
            <w:pPr>
              <w:pStyle w:val="Normal"/>
              <w:spacing w:lineRule="auto" w:line="240" w:before="0" w:after="0"/>
              <w:jc w:val="center"/>
              <w:rPr>
                <w:b/>
                <w:b/>
                <w:sz w:val="20"/>
                <w:szCs w:val="20"/>
              </w:rPr>
            </w:pPr>
            <w:r>
              <w:rPr>
                <w:rFonts w:eastAsia="Times New Roman" w:cs="Times New Roman" w:ascii="Times New Roman" w:hAnsi="Times New Roman"/>
                <w:b/>
                <w:sz w:val="20"/>
                <w:szCs w:val="20"/>
                <w:lang w:eastAsia="hr-HR"/>
              </w:rPr>
              <w:t>UNP</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Molekularna masa (g/mol)</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44,10</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Toplinski kapacitet (plinska faza) (</w:t>
            </w:r>
            <w:r>
              <w:rPr>
                <w:rFonts w:eastAsia="Times New Roman" w:cs="Times New Roman" w:ascii="Times New Roman" w:hAnsi="Times New Roman"/>
                <w:iCs/>
                <w:sz w:val="20"/>
                <w:szCs w:val="20"/>
                <w:lang w:eastAsia="hr-HR"/>
              </w:rPr>
              <w:t>J/kgK)</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1678</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Toplinski kapacitet (u kapljevitom stanju) (</w:t>
            </w:r>
            <w:r>
              <w:rPr>
                <w:rFonts w:eastAsia="Times New Roman" w:cs="Times New Roman" w:ascii="Times New Roman" w:hAnsi="Times New Roman"/>
                <w:iCs/>
                <w:sz w:val="20"/>
                <w:szCs w:val="20"/>
                <w:lang w:eastAsia="hr-HR"/>
              </w:rPr>
              <w:t>J/kgK)</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2520</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Točka vrenja (K)</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231</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Toplina isparavanja (J/kg)</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425 740</w:t>
            </w:r>
          </w:p>
        </w:tc>
      </w:tr>
      <w:tr>
        <w:trPr>
          <w:trHeight w:val="419" w:hRule="atLeast"/>
        </w:trPr>
        <w:tc>
          <w:tcPr>
            <w:tcW w:w="4388" w:type="dxa"/>
            <w:tcBorders/>
            <w:shd w:color="auto" w:fill="FFFFFF" w:themeFill="background1" w:val="clear"/>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Gustoća u tekućem stanju (kg/m</w:t>
            </w:r>
            <w:r>
              <w:rPr>
                <w:rFonts w:eastAsia="Times New Roman" w:cs="Times New Roman" w:ascii="Times New Roman" w:hAnsi="Times New Roman"/>
                <w:sz w:val="20"/>
                <w:szCs w:val="20"/>
                <w:vertAlign w:val="superscript"/>
                <w:lang w:eastAsia="hr-HR"/>
              </w:rPr>
              <w:t>3</w:t>
            </w:r>
            <w:r>
              <w:rPr>
                <w:rFonts w:eastAsia="Times New Roman" w:cs="Times New Roman" w:ascii="Times New Roman" w:hAnsi="Times New Roman"/>
                <w:sz w:val="20"/>
                <w:szCs w:val="20"/>
                <w:lang w:eastAsia="hr-HR"/>
              </w:rPr>
              <w:t>)</w:t>
            </w:r>
          </w:p>
        </w:tc>
        <w:tc>
          <w:tcPr>
            <w:tcW w:w="2447" w:type="dxa"/>
            <w:tcBorders/>
            <w:shd w:color="auto" w:fill="FFFFFF" w:themeFill="background1" w:val="clear"/>
            <w:vAlign w:val="center"/>
          </w:tcPr>
          <w:p>
            <w:pPr>
              <w:pStyle w:val="Normal"/>
              <w:spacing w:lineRule="auto" w:line="240" w:before="0" w:after="0"/>
              <w:jc w:val="center"/>
              <w:rPr>
                <w:sz w:val="20"/>
                <w:szCs w:val="20"/>
              </w:rPr>
            </w:pPr>
            <w:r>
              <w:rPr>
                <w:rFonts w:eastAsia="Times New Roman" w:cs="Times New Roman" w:ascii="Times New Roman" w:hAnsi="Times New Roman"/>
                <w:sz w:val="20"/>
                <w:szCs w:val="20"/>
                <w:lang w:eastAsia="hr-HR"/>
              </w:rPr>
              <w:t>500</w:t>
            </w:r>
          </w:p>
        </w:tc>
      </w:tr>
    </w:tbl>
    <w:p>
      <w:pPr>
        <w:pStyle w:val="Normal"/>
        <w:rPr/>
      </w:pPr>
      <w:r>
        <w:rPr/>
      </w:r>
    </w:p>
    <w:p>
      <w:pPr>
        <w:pStyle w:val="Normal"/>
        <w:spacing w:before="0" w:after="0"/>
        <w:jc w:val="center"/>
        <w:rPr>
          <w:b/>
          <w:b/>
          <w:bCs/>
          <w:color w:val="auto"/>
          <w:sz w:val="20"/>
          <w:szCs w:val="20"/>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10</w:t>
      </w:r>
      <w:r>
        <w:rPr>
          <w:sz w:val="20"/>
          <w:b/>
          <w:szCs w:val="20"/>
          <w:bCs/>
          <w:color w:val="auto"/>
        </w:rPr>
        <w:fldChar w:fldCharType="end"/>
      </w:r>
      <w:r>
        <w:rPr>
          <w:b/>
          <w:bCs/>
          <w:color w:val="auto"/>
          <w:sz w:val="20"/>
          <w:szCs w:val="20"/>
        </w:rPr>
        <w:t>. Atmosferski podaci</w:t>
      </w:r>
    </w:p>
    <w:tbl>
      <w:tblPr>
        <w:tblStyle w:val="TableGrid4"/>
        <w:tblW w:w="6711" w:type="dxa"/>
        <w:jc w:val="center"/>
        <w:tblInd w:w="0" w:type="dxa"/>
        <w:tblCellMar>
          <w:top w:w="0" w:type="dxa"/>
          <w:left w:w="108" w:type="dxa"/>
          <w:bottom w:w="0" w:type="dxa"/>
          <w:right w:w="108" w:type="dxa"/>
        </w:tblCellMar>
        <w:tblLook w:firstRow="1" w:noVBand="1" w:lastRow="0" w:firstColumn="1" w:lastColumn="0" w:noHBand="0" w:val="04a0"/>
      </w:tblPr>
      <w:tblGrid>
        <w:gridCol w:w="3689"/>
        <w:gridCol w:w="3021"/>
      </w:tblGrid>
      <w:tr>
        <w:trPr>
          <w:trHeight w:val="606" w:hRule="atLeast"/>
        </w:trPr>
        <w:tc>
          <w:tcPr>
            <w:tcW w:w="3689" w:type="dxa"/>
            <w:tcBorders/>
            <w:shd w:color="auto" w:fill="D6E3BC" w:themeFill="accent3" w:themeFillTint="66" w:val="clear"/>
            <w:vAlign w:val="center"/>
          </w:tcPr>
          <w:p>
            <w:pPr>
              <w:pStyle w:val="Normal"/>
              <w:spacing w:lineRule="auto" w:line="240" w:before="0" w:after="0"/>
              <w:rPr>
                <w:b/>
                <w:b/>
                <w:sz w:val="20"/>
                <w:szCs w:val="20"/>
              </w:rPr>
            </w:pPr>
            <w:r>
              <w:rPr>
                <w:rFonts w:eastAsia="Times New Roman" w:cs="Times New Roman" w:ascii="Times New Roman" w:hAnsi="Times New Roman"/>
                <w:b/>
                <w:sz w:val="20"/>
                <w:szCs w:val="20"/>
                <w:lang w:eastAsia="hr-HR"/>
              </w:rPr>
              <w:t>Parametri:</w:t>
            </w:r>
          </w:p>
        </w:tc>
        <w:tc>
          <w:tcPr>
            <w:tcW w:w="3021" w:type="dxa"/>
            <w:tcBorders/>
            <w:shd w:color="auto" w:fill="D6E3BC" w:themeFill="accent3" w:themeFillTint="66" w:val="clear"/>
            <w:vAlign w:val="center"/>
          </w:tcPr>
          <w:p>
            <w:pPr>
              <w:pStyle w:val="Normal"/>
              <w:spacing w:lineRule="auto" w:line="240" w:before="0" w:after="0"/>
              <w:rPr>
                <w:b/>
                <w:b/>
                <w:sz w:val="20"/>
                <w:szCs w:val="20"/>
              </w:rPr>
            </w:pPr>
            <w:r>
              <w:rPr>
                <w:rFonts w:eastAsia="Times New Roman" w:cs="Times New Roman" w:ascii="Times New Roman" w:hAnsi="Times New Roman"/>
                <w:b/>
                <w:sz w:val="20"/>
                <w:szCs w:val="20"/>
                <w:lang w:eastAsia="hr-HR"/>
              </w:rPr>
              <w:t>UNP</w:t>
            </w:r>
          </w:p>
        </w:tc>
      </w:tr>
      <w:tr>
        <w:trPr>
          <w:trHeight w:val="347" w:hRule="atLeast"/>
        </w:trPr>
        <w:tc>
          <w:tcPr>
            <w:tcW w:w="3689"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Vjetar:</w:t>
            </w:r>
          </w:p>
        </w:tc>
        <w:tc>
          <w:tcPr>
            <w:tcW w:w="3021"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 xml:space="preserve">1.5 m/s </w:t>
            </w:r>
          </w:p>
        </w:tc>
      </w:tr>
      <w:tr>
        <w:trPr>
          <w:trHeight w:val="347" w:hRule="atLeast"/>
        </w:trPr>
        <w:tc>
          <w:tcPr>
            <w:tcW w:w="3689"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Tip podloge:</w:t>
            </w:r>
          </w:p>
        </w:tc>
        <w:tc>
          <w:tcPr>
            <w:tcW w:w="3021"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otvoreni prostor</w:t>
            </w:r>
          </w:p>
        </w:tc>
      </w:tr>
      <w:tr>
        <w:trPr>
          <w:trHeight w:val="323" w:hRule="atLeast"/>
        </w:trPr>
        <w:tc>
          <w:tcPr>
            <w:tcW w:w="3689"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 xml:space="preserve">Temperatura zraka: </w:t>
            </w:r>
          </w:p>
        </w:tc>
        <w:tc>
          <w:tcPr>
            <w:tcW w:w="3021"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25 ° C</w:t>
            </w:r>
          </w:p>
        </w:tc>
      </w:tr>
      <w:tr>
        <w:trPr>
          <w:trHeight w:val="347" w:hRule="atLeast"/>
        </w:trPr>
        <w:tc>
          <w:tcPr>
            <w:tcW w:w="3689"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Klasa stabilnosti:</w:t>
            </w:r>
          </w:p>
        </w:tc>
        <w:tc>
          <w:tcPr>
            <w:tcW w:w="3021"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F</w:t>
            </w:r>
          </w:p>
        </w:tc>
      </w:tr>
      <w:tr>
        <w:trPr>
          <w:trHeight w:val="347" w:hRule="atLeast"/>
        </w:trPr>
        <w:tc>
          <w:tcPr>
            <w:tcW w:w="3689"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Relativna vlažnost:</w:t>
            </w:r>
          </w:p>
        </w:tc>
        <w:tc>
          <w:tcPr>
            <w:tcW w:w="3021" w:type="dxa"/>
            <w:tcBorders/>
            <w:vAlign w:val="center"/>
          </w:tcPr>
          <w:p>
            <w:pPr>
              <w:pStyle w:val="Normal"/>
              <w:spacing w:lineRule="auto" w:line="240" w:before="0" w:after="0"/>
              <w:rPr>
                <w:sz w:val="20"/>
                <w:szCs w:val="20"/>
              </w:rPr>
            </w:pPr>
            <w:r>
              <w:rPr>
                <w:rFonts w:eastAsia="Times New Roman" w:cs="Times New Roman" w:ascii="Times New Roman" w:hAnsi="Times New Roman"/>
                <w:sz w:val="20"/>
                <w:szCs w:val="20"/>
                <w:lang w:eastAsia="hr-HR"/>
              </w:rPr>
              <w:t>50 %</w:t>
            </w:r>
          </w:p>
        </w:tc>
      </w:tr>
    </w:tbl>
    <w:p>
      <w:pPr>
        <w:pStyle w:val="Normal"/>
        <w:spacing w:before="120" w:after="120"/>
        <w:rPr>
          <w:u w:val="single"/>
        </w:rPr>
      </w:pPr>
      <w:r>
        <w:rPr>
          <w:u w:val="single"/>
        </w:rPr>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t>Zone ugroženosti</w:t>
      </w:r>
    </w:p>
    <w:p>
      <w:pPr>
        <w:pStyle w:val="Normal"/>
        <w:spacing w:before="120" w:after="120"/>
        <w:jc w:val="center"/>
        <w:rPr>
          <w:rFonts w:ascii="Arial Narrow" w:hAnsi="Arial Narrow" w:eastAsia="" w:eastAsiaTheme="minorEastAsia"/>
          <w:b/>
          <w:b/>
          <w:color w:val="auto"/>
          <w:szCs w:val="22"/>
          <w:lang w:eastAsia="hr-HR"/>
        </w:rPr>
      </w:pPr>
      <w:r>
        <w:rPr/>
        <w:drawing>
          <wp:inline distT="0" distB="0" distL="0" distR="0">
            <wp:extent cx="1819275" cy="1695450"/>
            <wp:effectExtent l="0" t="0" r="0" b="0"/>
            <wp:docPr id="65" name="Picture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6" descr=""/>
                    <pic:cNvPicPr>
                      <a:picLocks noChangeAspect="1" noChangeArrowheads="1"/>
                    </pic:cNvPicPr>
                  </pic:nvPicPr>
                  <pic:blipFill>
                    <a:blip r:embed="rId58"/>
                    <a:stretch>
                      <a:fillRect/>
                    </a:stretch>
                  </pic:blipFill>
                  <pic:spPr bwMode="auto">
                    <a:xfrm>
                      <a:off x="0" y="0"/>
                      <a:ext cx="1819275" cy="1695450"/>
                    </a:xfrm>
                    <a:prstGeom prst="rect">
                      <a:avLst/>
                    </a:prstGeom>
                  </pic:spPr>
                </pic:pic>
              </a:graphicData>
            </a:graphic>
          </wp:inline>
        </w:drawing>
      </w:r>
      <w:r>
        <w:rPr/>
        <w:drawing>
          <wp:inline distT="0" distB="0" distL="0" distR="0">
            <wp:extent cx="1704975" cy="1695450"/>
            <wp:effectExtent l="0" t="0" r="0" b="0"/>
            <wp:docPr id="66" name="Picture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58" descr=""/>
                    <pic:cNvPicPr>
                      <a:picLocks noChangeAspect="1" noChangeArrowheads="1"/>
                    </pic:cNvPicPr>
                  </pic:nvPicPr>
                  <pic:blipFill>
                    <a:blip r:embed="rId59"/>
                    <a:stretch>
                      <a:fillRect/>
                    </a:stretch>
                  </pic:blipFill>
                  <pic:spPr bwMode="auto">
                    <a:xfrm>
                      <a:off x="0" y="0"/>
                      <a:ext cx="1704975" cy="1695450"/>
                    </a:xfrm>
                    <a:prstGeom prst="rect">
                      <a:avLst/>
                    </a:prstGeom>
                  </pic:spPr>
                </pic:pic>
              </a:graphicData>
            </a:graphic>
          </wp:inline>
        </w:drawing>
      </w:r>
    </w:p>
    <w:p>
      <w:pPr>
        <w:pStyle w:val="Normal"/>
        <w:spacing w:before="120" w:after="120"/>
        <w:rPr/>
      </w:pPr>
      <w:r>
        <w:rPr/>
      </w:r>
    </w:p>
    <w:p>
      <w:pPr>
        <w:pStyle w:val="Normal"/>
        <w:spacing w:before="120" w:after="120"/>
        <w:rPr/>
      </w:pPr>
      <w:r>
        <w:rPr/>
        <w:t>Djelovanje različitih snaga udarnih valova na objekte i ljude</w:t>
      </w:r>
    </w:p>
    <w:p>
      <w:pPr>
        <w:pStyle w:val="Normal"/>
        <w:spacing w:before="120" w:after="120"/>
        <w:rPr/>
      </w:pPr>
      <w:r>
        <w:rPr/>
        <w:drawing>
          <wp:inline distT="0" distB="0" distL="0" distR="0">
            <wp:extent cx="5759450" cy="1349375"/>
            <wp:effectExtent l="0" t="0" r="0" b="0"/>
            <wp:docPr id="67" name="Picture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2" descr=""/>
                    <pic:cNvPicPr>
                      <a:picLocks noChangeAspect="1" noChangeArrowheads="1"/>
                    </pic:cNvPicPr>
                  </pic:nvPicPr>
                  <pic:blipFill>
                    <a:blip r:embed="rId60"/>
                    <a:stretch>
                      <a:fillRect/>
                    </a:stretch>
                  </pic:blipFill>
                  <pic:spPr bwMode="auto">
                    <a:xfrm>
                      <a:off x="0" y="0"/>
                      <a:ext cx="5759450" cy="1349375"/>
                    </a:xfrm>
                    <a:prstGeom prst="rect">
                      <a:avLst/>
                    </a:prstGeom>
                  </pic:spPr>
                </pic:pic>
              </a:graphicData>
            </a:graphic>
          </wp:inline>
        </w:drawing>
      </w:r>
    </w:p>
    <w:p>
      <w:pPr>
        <w:pStyle w:val="Normal"/>
        <w:spacing w:before="120" w:after="120"/>
        <w:rPr/>
      </w:pPr>
      <w:r>
        <w:rPr/>
      </w:r>
    </w:p>
    <w:p>
      <w:pPr>
        <w:pStyle w:val="Normal"/>
        <w:spacing w:before="120" w:after="120"/>
        <w:rPr/>
      </w:pPr>
      <w:r>
        <w:rPr/>
        <w:t xml:space="preserve">Na sljedećoj slici prikazani su dosezi zona ugroženosti u slučaju ispuštanja UNP-a iz spremnika i nastanka eksplozije na lokaciji MPM Buje. </w:t>
      </w:r>
    </w:p>
    <w:p>
      <w:pPr>
        <w:pStyle w:val="Normal"/>
        <w:spacing w:before="120" w:after="120"/>
        <w:jc w:val="center"/>
        <w:rPr>
          <w:rFonts w:ascii="Arial Narrow" w:hAnsi="Arial Narrow" w:eastAsia="" w:eastAsiaTheme="minorEastAsia"/>
          <w:b/>
          <w:b/>
          <w:color w:val="FF0000"/>
          <w:szCs w:val="22"/>
          <w:lang w:eastAsia="hr-HR"/>
        </w:rPr>
      </w:pPr>
      <w:r>
        <w:rPr/>
        <w:drawing>
          <wp:inline distT="0" distB="0" distL="0" distR="0">
            <wp:extent cx="5759450" cy="5334635"/>
            <wp:effectExtent l="0" t="0" r="0" b="0"/>
            <wp:docPr id="68" name="Picture 9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912" descr=""/>
                    <pic:cNvPicPr>
                      <a:picLocks noChangeAspect="1" noChangeArrowheads="1"/>
                    </pic:cNvPicPr>
                  </pic:nvPicPr>
                  <pic:blipFill>
                    <a:blip r:embed="rId61"/>
                    <a:stretch>
                      <a:fillRect/>
                    </a:stretch>
                  </pic:blipFill>
                  <pic:spPr bwMode="auto">
                    <a:xfrm>
                      <a:off x="0" y="0"/>
                      <a:ext cx="5759450" cy="5334635"/>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9</w:t>
      </w:r>
      <w:r>
        <w:rPr>
          <w:sz w:val="20"/>
          <w:b/>
          <w:szCs w:val="20"/>
          <w:bCs/>
          <w:color w:val="auto"/>
        </w:rPr>
        <w:fldChar w:fldCharType="end"/>
      </w:r>
      <w:r>
        <w:rPr>
          <w:b/>
          <w:bCs/>
          <w:color w:val="auto"/>
          <w:sz w:val="20"/>
          <w:szCs w:val="20"/>
        </w:rPr>
        <w:t>. Prikaz zona ugroženosti u slučaju ispuštanja UNP-a iz spremnika i nastanka eksplozije</w:t>
      </w:r>
    </w:p>
    <w:p>
      <w:pPr>
        <w:pStyle w:val="Normal"/>
        <w:rPr>
          <w:b/>
          <w:b/>
        </w:rPr>
      </w:pPr>
      <w:r>
        <w:rPr>
          <w:b/>
        </w:rPr>
      </w:r>
    </w:p>
    <w:p>
      <w:pPr>
        <w:pStyle w:val="Normal"/>
        <w:rPr/>
      </w:pPr>
      <w:r>
        <w:rPr>
          <w:b/>
        </w:rPr>
        <w:t>Eksplozija pregrijanog spremnika s plinom</w:t>
      </w:r>
      <w:r>
        <w:rPr/>
        <w:t xml:space="preserve"> (BLEVE, boiling liquid expanding vapour explosion): </w:t>
      </w:r>
    </w:p>
    <w:p>
      <w:pPr>
        <w:pStyle w:val="Normal"/>
        <w:rPr/>
      </w:pPr>
      <w:r>
        <w:rPr/>
        <w:t>ukoliko je spremnik s UNP-om izložen djelovanju plamena s donje strane u njemu raste temperatura i tlak, a UNP postaje «prezasićen» energijom. Ako hlađenje spremnika i odvođenje viška tlaka kroz sigurnosni ventil nisu dovoljni, u najgorim mogućim scenarijima, može doći do a) stvaranja vatrene lopte (BLEV – fire ball). Kada energijom prezasićeni UNP naglo isparava, pali se i stvara vatrenu loptu koja se penje u visinu s izgledom «gljive». Proces započinje širenjem početnog volumena UNP-a i povećanjem tlaka na stjenke spremnika. Spremnik puca i stvara se početni udarni val. Fluid se širi sferno i u početku ne miješa sa zrakom zbog čega nastaju mjehuraste površine. Nakon inicijalnog udarnog vala stvara se vakuum, odnosno vrlo razrijeđeni zrak u središtu eksplozije, a zatim i vrlo snažan povratni udarni val. Nakon što je dostignut maksimalan radijus, sustav će nastaviti oscilirati stvarajući sve manje udarne valove do potpunog smirivanja. Vatrena lopta osim djelovanja na okoliš udarnim tlakom, intenzivno isijava toplinsku energiju. Uzgonske struje povlače sitnije predmete koji se pale i razbacuju uokrug šireći požar. b) eksplozije spremnika (BLEVE blast),</w:t>
      </w:r>
    </w:p>
    <w:p>
      <w:pPr>
        <w:pStyle w:val="Normal"/>
        <w:spacing w:before="0" w:after="0"/>
        <w:rPr/>
      </w:pPr>
      <w:r>
        <w:rPr>
          <w:b/>
        </w:rPr>
        <w:t>Stvaranje vatrene lopte</w:t>
      </w:r>
      <w:r>
        <w:rPr/>
        <w:t xml:space="preserve"> </w:t>
      </w:r>
    </w:p>
    <w:p>
      <w:pPr>
        <w:pStyle w:val="Normal"/>
        <w:spacing w:before="0" w:after="0"/>
        <w:rPr>
          <w:vertAlign w:val="superscript"/>
        </w:rPr>
      </w:pPr>
      <w:r>
        <w:rPr/>
        <w:t>Korišteni matematički model zamišlja vatrenu loptu kao sferu koja emitira zračenje. Izračunati radijus lopte za količinu od 8.733,4 kg, pri tlaku od 4 bara koja sudjeluje u eksploziji je: 57,5 m na visini od 115 m, trajanje vatrene lopte je 9 s, oslobođena energija 196 kW/m</w:t>
      </w:r>
      <w:r>
        <w:rPr>
          <w:vertAlign w:val="superscript"/>
        </w:rPr>
        <w:t>2</w:t>
      </w:r>
    </w:p>
    <w:p>
      <w:pPr>
        <w:pStyle w:val="Normal"/>
        <w:spacing w:before="0" w:after="0"/>
        <w:rPr>
          <w:vertAlign w:val="superscript"/>
        </w:rPr>
      </w:pPr>
      <w:r>
        <w:rPr>
          <w:vertAlign w:val="superscript"/>
        </w:rPr>
      </w:r>
    </w:p>
    <w:p>
      <w:pPr>
        <w:pStyle w:val="Normal"/>
        <w:spacing w:before="0" w:after="0"/>
        <w:jc w:val="center"/>
        <w:rPr>
          <w:rFonts w:eastAsia="" w:eastAsiaTheme="minorEastAsia"/>
          <w:b/>
          <w:b/>
          <w:bCs/>
          <w:color w:val="auto"/>
          <w:sz w:val="20"/>
          <w:szCs w:val="20"/>
          <w:lang w:eastAsia="hr-HR"/>
        </w:rPr>
      </w:pPr>
      <w:r>
        <w:rPr/>
        <w:drawing>
          <wp:inline distT="0" distB="0" distL="0" distR="0">
            <wp:extent cx="4972050" cy="1362075"/>
            <wp:effectExtent l="0" t="0" r="0" b="0"/>
            <wp:docPr id="69" name="Picture 9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917" descr=""/>
                    <pic:cNvPicPr>
                      <a:picLocks noChangeAspect="1" noChangeArrowheads="1"/>
                    </pic:cNvPicPr>
                  </pic:nvPicPr>
                  <pic:blipFill>
                    <a:blip r:embed="rId62"/>
                    <a:stretch>
                      <a:fillRect/>
                    </a:stretch>
                  </pic:blipFill>
                  <pic:spPr bwMode="auto">
                    <a:xfrm>
                      <a:off x="0" y="0"/>
                      <a:ext cx="4972050" cy="1362075"/>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10</w:t>
      </w:r>
      <w:r>
        <w:rPr>
          <w:sz w:val="20"/>
          <w:b/>
          <w:szCs w:val="20"/>
          <w:bCs/>
          <w:color w:val="auto"/>
        </w:rPr>
        <w:fldChar w:fldCharType="end"/>
      </w:r>
      <w:r>
        <w:rPr>
          <w:b/>
          <w:bCs/>
          <w:color w:val="auto"/>
          <w:sz w:val="20"/>
          <w:szCs w:val="20"/>
        </w:rPr>
        <w:t>. Prikaz toplinske energije vatrene lopte za 85% punjenja spremnika</w:t>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rFonts w:eastAsia="" w:eastAsiaTheme="minorEastAsia"/>
          <w:b/>
          <w:b/>
          <w:bCs/>
          <w:color w:val="auto"/>
          <w:sz w:val="20"/>
          <w:szCs w:val="20"/>
          <w:lang w:eastAsia="hr-HR"/>
        </w:rPr>
      </w:pPr>
      <w:r>
        <w:rPr/>
        <w:drawing>
          <wp:inline distT="0" distB="0" distL="0" distR="0">
            <wp:extent cx="5759450" cy="2015490"/>
            <wp:effectExtent l="0" t="0" r="0" b="0"/>
            <wp:docPr id="70" name="Picture 9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918" descr=""/>
                    <pic:cNvPicPr>
                      <a:picLocks noChangeAspect="1" noChangeArrowheads="1"/>
                    </pic:cNvPicPr>
                  </pic:nvPicPr>
                  <pic:blipFill>
                    <a:blip r:embed="rId63"/>
                    <a:stretch>
                      <a:fillRect/>
                    </a:stretch>
                  </pic:blipFill>
                  <pic:spPr bwMode="auto">
                    <a:xfrm>
                      <a:off x="0" y="0"/>
                      <a:ext cx="5759450" cy="2015490"/>
                    </a:xfrm>
                    <a:prstGeom prst="rect">
                      <a:avLst/>
                    </a:prstGeom>
                  </pic:spPr>
                </pic:pic>
              </a:graphicData>
            </a:graphic>
          </wp:inline>
        </w:drawing>
      </w:r>
    </w:p>
    <w:p>
      <w:pPr>
        <w:pStyle w:val="Normal"/>
        <w:spacing w:before="0" w:after="0"/>
        <w:jc w:val="center"/>
        <w:rPr>
          <w:rFonts w:eastAsia="" w:eastAsiaTheme="minorEastAsia"/>
          <w:b/>
          <w:b/>
          <w:bCs/>
          <w:color w:val="auto"/>
          <w:sz w:val="20"/>
          <w:szCs w:val="20"/>
          <w:lang w:eastAsia="hr-HR"/>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11</w:t>
      </w:r>
      <w:r>
        <w:rPr>
          <w:sz w:val="20"/>
          <w:b/>
          <w:szCs w:val="20"/>
          <w:bCs/>
          <w:color w:val="auto"/>
        </w:rPr>
        <w:fldChar w:fldCharType="end"/>
      </w:r>
      <w:r>
        <w:rPr>
          <w:b/>
          <w:bCs/>
          <w:color w:val="auto"/>
          <w:sz w:val="20"/>
          <w:szCs w:val="20"/>
        </w:rPr>
        <w:t>. Zona intenziteta za radijuse toplinskog zračenja vatrene lopte od 125 do 200 kJ/m</w:t>
      </w:r>
      <w:r>
        <w:rPr>
          <w:b/>
          <w:bCs/>
          <w:color w:val="auto"/>
          <w:sz w:val="20"/>
          <w:szCs w:val="20"/>
          <w:vertAlign w:val="superscript"/>
        </w:rPr>
        <w:t>2</w:t>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r>
    </w:p>
    <w:p>
      <w:pPr>
        <w:pStyle w:val="Normal"/>
        <w:spacing w:before="120" w:after="120"/>
        <w:rPr/>
      </w:pPr>
      <w:r>
        <w:rPr>
          <w:b/>
        </w:rPr>
        <w:t>Eksplozija spremnika (BLEVE blast)</w:t>
      </w:r>
      <w:r>
        <w:rPr/>
        <w:t xml:space="preserve"> </w:t>
      </w:r>
    </w:p>
    <w:p>
      <w:pPr>
        <w:pStyle w:val="Normal"/>
        <w:spacing w:before="120" w:after="120"/>
        <w:rPr/>
      </w:pPr>
      <w:r>
        <w:rPr/>
        <w:t>Izračunata maksimalna udaljenost udarnog vala za količinu od 8.733,4 kg UNP, pri tlaku od 4 bara iznosi 472 m.</w:t>
      </w:r>
    </w:p>
    <w:p>
      <w:pPr>
        <w:pStyle w:val="Normal"/>
        <w:spacing w:before="120" w:after="120"/>
        <w:jc w:val="center"/>
        <w:rPr>
          <w:rFonts w:eastAsia="" w:eastAsiaTheme="minorEastAsia"/>
          <w:b/>
          <w:b/>
          <w:color w:val="auto"/>
          <w:szCs w:val="22"/>
          <w:lang w:eastAsia="hr-HR"/>
        </w:rPr>
      </w:pPr>
      <w:r>
        <w:rPr/>
        <w:drawing>
          <wp:inline distT="0" distB="0" distL="0" distR="0">
            <wp:extent cx="3562350" cy="2084705"/>
            <wp:effectExtent l="0" t="0" r="0" b="0"/>
            <wp:docPr id="71" name="Picture 9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919" descr=""/>
                    <pic:cNvPicPr>
                      <a:picLocks noChangeAspect="1" noChangeArrowheads="1"/>
                    </pic:cNvPicPr>
                  </pic:nvPicPr>
                  <pic:blipFill>
                    <a:blip r:embed="rId64"/>
                    <a:stretch>
                      <a:fillRect/>
                    </a:stretch>
                  </pic:blipFill>
                  <pic:spPr bwMode="auto">
                    <a:xfrm>
                      <a:off x="0" y="0"/>
                      <a:ext cx="3562350" cy="2084705"/>
                    </a:xfrm>
                    <a:prstGeom prst="rect">
                      <a:avLst/>
                    </a:prstGeom>
                  </pic:spPr>
                </pic:pic>
              </a:graphicData>
            </a:graphic>
          </wp:inline>
        </w:drawing>
      </w:r>
    </w:p>
    <w:p>
      <w:pPr>
        <w:pStyle w:val="Normal"/>
        <w:spacing w:before="120" w:after="120"/>
        <w:jc w:val="center"/>
        <w:rPr>
          <w:rFonts w:eastAsia="" w:eastAsiaTheme="minorEastAsia"/>
          <w:b/>
          <w:b/>
          <w:color w:val="auto"/>
          <w:szCs w:val="22"/>
          <w:lang w:eastAsia="hr-HR"/>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12</w:t>
      </w:r>
      <w:r>
        <w:rPr>
          <w:sz w:val="20"/>
          <w:b/>
          <w:szCs w:val="20"/>
          <w:bCs/>
          <w:color w:val="auto"/>
        </w:rPr>
        <w:fldChar w:fldCharType="end"/>
      </w:r>
      <w:r>
        <w:rPr>
          <w:b/>
          <w:bCs/>
          <w:color w:val="auto"/>
          <w:sz w:val="20"/>
          <w:szCs w:val="20"/>
        </w:rPr>
        <w:t>. Prikaz rane eksplozije UNP-a za najgori mogući slučaj</w:t>
      </w:r>
    </w:p>
    <w:p>
      <w:pPr>
        <w:pStyle w:val="Normal"/>
        <w:spacing w:before="120" w:after="120"/>
        <w:jc w:val="center"/>
        <w:rPr>
          <w:rFonts w:eastAsia="" w:eastAsiaTheme="minorEastAsia"/>
          <w:b/>
          <w:b/>
          <w:color w:val="auto"/>
          <w:szCs w:val="22"/>
          <w:lang w:eastAsia="hr-HR"/>
        </w:rPr>
      </w:pPr>
      <w:r>
        <w:rPr/>
        <w:drawing>
          <wp:inline distT="0" distB="0" distL="0" distR="0">
            <wp:extent cx="5759450" cy="1962150"/>
            <wp:effectExtent l="0" t="0" r="0" b="0"/>
            <wp:docPr id="72" name="Picture 9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921" descr=""/>
                    <pic:cNvPicPr>
                      <a:picLocks noChangeAspect="1" noChangeArrowheads="1"/>
                    </pic:cNvPicPr>
                  </pic:nvPicPr>
                  <pic:blipFill>
                    <a:blip r:embed="rId65"/>
                    <a:stretch>
                      <a:fillRect/>
                    </a:stretch>
                  </pic:blipFill>
                  <pic:spPr bwMode="auto">
                    <a:xfrm>
                      <a:off x="0" y="0"/>
                      <a:ext cx="5759450" cy="1962150"/>
                    </a:xfrm>
                    <a:prstGeom prst="rect">
                      <a:avLst/>
                    </a:prstGeom>
                  </pic:spPr>
                </pic:pic>
              </a:graphicData>
            </a:graphic>
          </wp:inline>
        </w:drawing>
      </w:r>
    </w:p>
    <w:p>
      <w:pPr>
        <w:pStyle w:val="Normal"/>
        <w:spacing w:before="120" w:after="12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13</w:t>
      </w:r>
      <w:r>
        <w:rPr>
          <w:sz w:val="20"/>
          <w:b/>
          <w:szCs w:val="20"/>
          <w:bCs/>
          <w:color w:val="auto"/>
        </w:rPr>
        <w:fldChar w:fldCharType="end"/>
      </w:r>
      <w:r>
        <w:rPr>
          <w:b/>
          <w:bCs/>
          <w:color w:val="auto"/>
          <w:sz w:val="20"/>
          <w:szCs w:val="20"/>
        </w:rPr>
        <w:t xml:space="preserve">. Zone udarnih valova za ranu eksploziju ukapljenog naftnog plina za najgori mogući slučaj </w:t>
      </w:r>
    </w:p>
    <w:p>
      <w:pPr>
        <w:pStyle w:val="Normal"/>
        <w:spacing w:before="120" w:after="120"/>
        <w:jc w:val="center"/>
        <w:rPr>
          <w:b/>
          <w:b/>
          <w:bCs/>
          <w:color w:val="auto"/>
          <w:sz w:val="20"/>
          <w:szCs w:val="20"/>
        </w:rPr>
      </w:pPr>
      <w:r>
        <w:rPr>
          <w:b/>
          <w:bCs/>
          <w:color w:val="auto"/>
          <w:sz w:val="20"/>
          <w:szCs w:val="20"/>
        </w:rPr>
      </w:r>
    </w:p>
    <w:p>
      <w:pPr>
        <w:pStyle w:val="Normal"/>
        <w:spacing w:before="120" w:after="120"/>
        <w:jc w:val="center"/>
        <w:rPr>
          <w:rFonts w:eastAsia="" w:eastAsiaTheme="minorEastAsia"/>
          <w:b/>
          <w:b/>
          <w:color w:val="auto"/>
          <w:szCs w:val="22"/>
          <w:lang w:eastAsia="hr-HR"/>
        </w:rPr>
      </w:pPr>
      <w:r>
        <w:rPr/>
        <w:drawing>
          <wp:inline distT="0" distB="0" distL="0" distR="0">
            <wp:extent cx="5759450" cy="3431540"/>
            <wp:effectExtent l="0" t="0" r="0" b="0"/>
            <wp:docPr id="73" name="Picture 9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922" descr=""/>
                    <pic:cNvPicPr>
                      <a:picLocks noChangeAspect="1" noChangeArrowheads="1"/>
                    </pic:cNvPicPr>
                  </pic:nvPicPr>
                  <pic:blipFill>
                    <a:blip r:embed="rId66"/>
                    <a:stretch>
                      <a:fillRect/>
                    </a:stretch>
                  </pic:blipFill>
                  <pic:spPr bwMode="auto">
                    <a:xfrm>
                      <a:off x="0" y="0"/>
                      <a:ext cx="5759450" cy="3431540"/>
                    </a:xfrm>
                    <a:prstGeom prst="rect">
                      <a:avLst/>
                    </a:prstGeom>
                  </pic:spPr>
                </pic:pic>
              </a:graphicData>
            </a:graphic>
          </wp:inline>
        </w:drawing>
      </w:r>
    </w:p>
    <w:p>
      <w:pPr>
        <w:pStyle w:val="Normal"/>
        <w:spacing w:before="120" w:after="120"/>
        <w:jc w:val="center"/>
        <w:rPr>
          <w:rFonts w:eastAsia="" w:eastAsiaTheme="minorEastAsia"/>
          <w:b/>
          <w:b/>
          <w:color w:val="auto"/>
          <w:szCs w:val="22"/>
          <w:lang w:eastAsia="hr-HR"/>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14</w:t>
      </w:r>
      <w:r>
        <w:rPr>
          <w:sz w:val="20"/>
          <w:b/>
          <w:szCs w:val="20"/>
          <w:bCs/>
          <w:color w:val="auto"/>
        </w:rPr>
        <w:fldChar w:fldCharType="end"/>
      </w:r>
      <w:r>
        <w:rPr>
          <w:b/>
          <w:bCs/>
          <w:color w:val="auto"/>
          <w:sz w:val="20"/>
          <w:szCs w:val="20"/>
        </w:rPr>
        <w:t>. Prikaz moguće kasne eksplozije s kretanjem oblaka za nadtlak od 0,03 bar</w:t>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r>
    </w:p>
    <w:p>
      <w:pPr>
        <w:pStyle w:val="Normal"/>
        <w:spacing w:before="120" w:after="120"/>
        <w:rPr>
          <w:rFonts w:eastAsia="" w:eastAsiaTheme="minorEastAsia"/>
          <w:b/>
          <w:b/>
          <w:color w:val="auto"/>
          <w:szCs w:val="22"/>
          <w:lang w:eastAsia="hr-HR"/>
        </w:rPr>
      </w:pPr>
      <w:r>
        <w:rPr>
          <w:rFonts w:eastAsia="" w:eastAsiaTheme="minorEastAsia"/>
          <w:b/>
          <w:color w:val="auto"/>
          <w:szCs w:val="22"/>
          <w:lang w:eastAsia="hr-HR"/>
        </w:rPr>
      </w:r>
    </w:p>
    <w:p>
      <w:pPr>
        <w:pStyle w:val="Normal"/>
        <w:spacing w:before="120" w:after="120"/>
        <w:rPr>
          <w:rFonts w:eastAsia="" w:eastAsiaTheme="minorEastAsia"/>
          <w:b/>
          <w:b/>
          <w:color w:val="FF0000"/>
          <w:szCs w:val="22"/>
          <w:lang w:eastAsia="hr-HR"/>
        </w:rPr>
      </w:pPr>
      <w:r>
        <w:rPr>
          <w:rFonts w:eastAsia="" w:eastAsiaTheme="minorEastAsia"/>
          <w:b/>
          <w:color w:val="auto"/>
          <w:szCs w:val="22"/>
          <w:lang w:eastAsia="hr-HR"/>
        </w:rPr>
        <w:t>Udaljenost i vrijeme intervencije žurnih službi na području Grada Buje - Buie</w:t>
      </w:r>
    </w:p>
    <w:p>
      <w:pPr>
        <w:pStyle w:val="Normal"/>
        <w:rPr/>
      </w:pPr>
      <w:r>
        <w:rPr/>
        <w:t xml:space="preserve">Nadležna policijska postaja je Policijska postaja Buje nalazi se na udaljenosti od 1,7 km. Očekivano vrijeme reakcije je 4 minuta. </w:t>
      </w:r>
    </w:p>
    <w:p>
      <w:pPr>
        <w:pStyle w:val="Normal"/>
        <w:spacing w:before="120" w:after="120"/>
        <w:jc w:val="center"/>
        <w:rPr>
          <w:rFonts w:ascii="Arial Narrow" w:hAnsi="Arial Narrow" w:eastAsia="" w:eastAsiaTheme="minorEastAsia"/>
          <w:b/>
          <w:b/>
          <w:color w:val="FF0000"/>
          <w:szCs w:val="22"/>
          <w:lang w:eastAsia="hr-HR"/>
        </w:rPr>
      </w:pPr>
      <w:r>
        <w:rPr/>
        <w:drawing>
          <wp:inline distT="0" distB="0" distL="0" distR="0">
            <wp:extent cx="3648710" cy="4048125"/>
            <wp:effectExtent l="0" t="0" r="0" b="0"/>
            <wp:docPr id="74" name="Slika 3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lika 384" descr=""/>
                    <pic:cNvPicPr>
                      <a:picLocks noChangeAspect="1" noChangeArrowheads="1"/>
                    </pic:cNvPicPr>
                  </pic:nvPicPr>
                  <pic:blipFill>
                    <a:blip r:embed="rId67"/>
                    <a:stretch>
                      <a:fillRect/>
                    </a:stretch>
                  </pic:blipFill>
                  <pic:spPr bwMode="auto">
                    <a:xfrm>
                      <a:off x="0" y="0"/>
                      <a:ext cx="3648710" cy="4048125"/>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15</w:t>
      </w:r>
      <w:r>
        <w:rPr>
          <w:sz w:val="20"/>
          <w:b/>
          <w:szCs w:val="20"/>
          <w:bCs/>
          <w:color w:val="auto"/>
        </w:rPr>
        <w:fldChar w:fldCharType="end"/>
      </w:r>
      <w:r>
        <w:rPr>
          <w:b/>
          <w:bCs/>
          <w:color w:val="auto"/>
          <w:sz w:val="20"/>
          <w:szCs w:val="20"/>
        </w:rPr>
        <w:t>. Put intervencije PP Buje – MPM Buje</w:t>
      </w:r>
    </w:p>
    <w:p>
      <w:pPr>
        <w:pStyle w:val="Normal"/>
        <w:rPr/>
      </w:pPr>
      <w:r>
        <w:rPr/>
        <w:t>Javna vatrogasna postrojba Umag udaljena je od postrojenja oko 14,1  km pa je očekivano vrijeme reakcije oko 18 minuta.</w:t>
      </w:r>
    </w:p>
    <w:p>
      <w:pPr>
        <w:pStyle w:val="Normal"/>
        <w:rPr/>
      </w:pPr>
      <w:r>
        <w:rPr/>
        <w:t>DVD Buje udaljen je od benzinske postaje oko 1,6 km pa je očekivano vrijeme reakcije 4 minute, ako DVD ima stalno dežurstvo, koje je samo u ekstremnim situacijama, realno vrijeme reakcije je 15 – 25 minuta.</w:t>
      </w:r>
    </w:p>
    <w:p>
      <w:pPr>
        <w:pStyle w:val="Normal"/>
        <w:jc w:val="center"/>
        <w:rPr>
          <w:rFonts w:ascii="Arial Narrow" w:hAnsi="Arial Narrow"/>
        </w:rPr>
      </w:pPr>
      <w:r>
        <w:rPr/>
        <w:drawing>
          <wp:inline distT="0" distB="0" distL="0" distR="0">
            <wp:extent cx="5760720" cy="3769360"/>
            <wp:effectExtent l="0" t="0" r="0" b="0"/>
            <wp:docPr id="75" name="Slika 3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lika 385" descr=""/>
                    <pic:cNvPicPr>
                      <a:picLocks noChangeAspect="1" noChangeArrowheads="1"/>
                    </pic:cNvPicPr>
                  </pic:nvPicPr>
                  <pic:blipFill>
                    <a:blip r:embed="rId68"/>
                    <a:stretch>
                      <a:fillRect/>
                    </a:stretch>
                  </pic:blipFill>
                  <pic:spPr bwMode="auto">
                    <a:xfrm>
                      <a:off x="0" y="0"/>
                      <a:ext cx="5760720" cy="3769360"/>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16</w:t>
      </w:r>
      <w:r>
        <w:rPr>
          <w:sz w:val="20"/>
          <w:b/>
          <w:szCs w:val="20"/>
          <w:bCs/>
          <w:color w:val="auto"/>
        </w:rPr>
        <w:fldChar w:fldCharType="end"/>
      </w:r>
      <w:r>
        <w:rPr>
          <w:b/>
          <w:bCs/>
          <w:color w:val="auto"/>
          <w:sz w:val="20"/>
          <w:szCs w:val="20"/>
        </w:rPr>
        <w:t>. Put intervencije JVP Umag – MPM Buje</w:t>
      </w:r>
    </w:p>
    <w:p>
      <w:pPr>
        <w:pStyle w:val="Normal"/>
        <w:rPr/>
      </w:pPr>
      <w:r>
        <w:rPr/>
        <w:t xml:space="preserve">Najbliža ustanova za hitnu medicinsku pomoć (Zavod za hitnu medicinu Istarske županije) nalazi se na udaljenosti od oko 13,9 km pa je očekivano vrijeme reakcije oko 18 minuta. </w:t>
      </w:r>
    </w:p>
    <w:p>
      <w:pPr>
        <w:pStyle w:val="Normal"/>
        <w:jc w:val="center"/>
        <w:rPr>
          <w:rFonts w:ascii="Arial Narrow" w:hAnsi="Arial Narrow"/>
        </w:rPr>
      </w:pPr>
      <w:r>
        <w:rPr/>
        <w:drawing>
          <wp:inline distT="0" distB="0" distL="0" distR="0">
            <wp:extent cx="5760720" cy="3557905"/>
            <wp:effectExtent l="0" t="0" r="0" b="0"/>
            <wp:docPr id="76" name="Slika 3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lika 386" descr=""/>
                    <pic:cNvPicPr>
                      <a:picLocks noChangeAspect="1" noChangeArrowheads="1"/>
                    </pic:cNvPicPr>
                  </pic:nvPicPr>
                  <pic:blipFill>
                    <a:blip r:embed="rId69"/>
                    <a:stretch>
                      <a:fillRect/>
                    </a:stretch>
                  </pic:blipFill>
                  <pic:spPr bwMode="auto">
                    <a:xfrm>
                      <a:off x="0" y="0"/>
                      <a:ext cx="5760720" cy="3557905"/>
                    </a:xfrm>
                    <a:prstGeom prst="rect">
                      <a:avLst/>
                    </a:prstGeom>
                  </pic:spPr>
                </pic:pic>
              </a:graphicData>
            </a:graphic>
          </wp:inline>
        </w:drawing>
      </w:r>
    </w:p>
    <w:p>
      <w:pPr>
        <w:pStyle w:val="Normal"/>
        <w:spacing w:before="0" w:after="0"/>
        <w:jc w:val="center"/>
        <w:rPr>
          <w:b/>
          <w:b/>
          <w:bCs/>
          <w:color w:val="auto"/>
          <w:sz w:val="20"/>
          <w:szCs w:val="20"/>
        </w:rPr>
      </w:pPr>
      <w:r>
        <w:rPr>
          <w:b/>
          <w:bCs/>
          <w:color w:val="auto"/>
          <w:sz w:val="20"/>
          <w:szCs w:val="20"/>
        </w:rPr>
        <w:t xml:space="preserve">Slika </w:t>
      </w:r>
      <w:r>
        <w:rPr>
          <w:b/>
          <w:bCs/>
          <w:color w:val="auto"/>
          <w:sz w:val="20"/>
          <w:szCs w:val="20"/>
        </w:rPr>
        <w:fldChar w:fldCharType="begin"/>
      </w:r>
      <w:r>
        <w:rPr>
          <w:sz w:val="20"/>
          <w:b/>
          <w:szCs w:val="20"/>
          <w:bCs/>
          <w:color w:val="auto"/>
        </w:rPr>
        <w:instrText> SEQ Slika \* ARABIC </w:instrText>
      </w:r>
      <w:r>
        <w:rPr>
          <w:sz w:val="20"/>
          <w:b/>
          <w:szCs w:val="20"/>
          <w:bCs/>
          <w:color w:val="auto"/>
        </w:rPr>
        <w:fldChar w:fldCharType="separate"/>
      </w:r>
      <w:r>
        <w:rPr>
          <w:sz w:val="20"/>
          <w:b/>
          <w:szCs w:val="20"/>
          <w:bCs/>
          <w:color w:val="auto"/>
        </w:rPr>
        <w:t>17</w:t>
      </w:r>
      <w:r>
        <w:rPr>
          <w:sz w:val="20"/>
          <w:b/>
          <w:szCs w:val="20"/>
          <w:bCs/>
          <w:color w:val="auto"/>
        </w:rPr>
        <w:fldChar w:fldCharType="end"/>
      </w:r>
      <w:r>
        <w:rPr>
          <w:b/>
          <w:bCs/>
          <w:color w:val="auto"/>
          <w:sz w:val="20"/>
          <w:szCs w:val="20"/>
        </w:rPr>
        <w:t>, Put intervencije Zavoda za hitnu medicinsku pomoć Istarske županije – MPM Buje</w:t>
      </w:r>
    </w:p>
    <w:p>
      <w:pPr>
        <w:pStyle w:val="Normal"/>
        <w:rPr>
          <w:rStyle w:val="IntenseEmphasis"/>
          <w:i w:val="false"/>
          <w:i w:val="false"/>
          <w:iCs w:val="false"/>
          <w:color w:val="000000" w:themeColor="text1"/>
        </w:rPr>
      </w:pPr>
      <w:r>
        <w:rPr/>
        <w:t>Lokaciju za vrijeme saniranja posljedica te do istrage o uzrocima nesreće osigurava Policijska postaja Buje - Buie</w:t>
      </w:r>
    </w:p>
    <w:p>
      <w:pPr>
        <w:pStyle w:val="Normal"/>
        <w:rPr>
          <w:rStyle w:val="IntenseEmphasis"/>
          <w:b/>
          <w:b/>
          <w:i w:val="false"/>
          <w:i w:val="false"/>
          <w:color w:val="auto"/>
          <w:u w:val="single"/>
        </w:rPr>
      </w:pPr>
      <w:r>
        <w:rPr>
          <w:rStyle w:val="IntenseEmphasis"/>
          <w:b/>
          <w:i w:val="false"/>
          <w:color w:val="auto"/>
          <w:u w:val="single"/>
        </w:rPr>
        <w:t>Posljedice</w:t>
      </w:r>
    </w:p>
    <w:p>
      <w:pPr>
        <w:pStyle w:val="Normal"/>
        <w:rPr>
          <w:i/>
          <w:i/>
          <w:color w:val="54883D"/>
        </w:rPr>
      </w:pPr>
      <w:r>
        <w:rPr>
          <w:i/>
          <w:color w:val="54883D"/>
        </w:rPr>
        <w:t>Život i zdravlje ljudi</w:t>
      </w:r>
    </w:p>
    <w:p>
      <w:pPr>
        <w:pStyle w:val="Normal"/>
        <w:spacing w:before="120" w:after="120"/>
        <w:rPr>
          <w:color w:val="auto"/>
          <w:szCs w:val="23"/>
        </w:rPr>
      </w:pPr>
      <w:r>
        <w:rPr>
          <w:color w:val="auto"/>
          <w:szCs w:val="23"/>
        </w:rPr>
        <w:t>Kako je ranije navedeno, u slučaju eksplozije spremnika UNP autocisterne, mogu se očekivati teške i po život opasne ozljede na oko 22 osoba (uključujući zaposlenike operatera) dok se lakše ozljede mogu očekivati među 12 osoba.</w:t>
      </w:r>
    </w:p>
    <w:p>
      <w:pPr>
        <w:pStyle w:val="Caption"/>
        <w:rPr/>
      </w:pPr>
      <w:r>
        <w:rPr/>
        <w:t xml:space="preserve">Tablica </w:t>
      </w:r>
      <w:r>
        <w:rPr/>
        <w:fldChar w:fldCharType="begin"/>
      </w:r>
      <w:r>
        <w:rPr/>
        <w:instrText> SEQ Tabela \* ARABIC </w:instrText>
      </w:r>
      <w:r>
        <w:rPr/>
        <w:fldChar w:fldCharType="separate"/>
      </w:r>
      <w:r>
        <w:rPr/>
        <w:t>24</w:t>
      </w:r>
      <w:r>
        <w:rPr/>
        <w:fldChar w:fldCharType="end"/>
      </w:r>
      <w:r>
        <w:rPr/>
        <w:t>. Vrijednost kriterija za posljedice na život i zdravlje ljudi po kategorijama – industrijske nesreće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792"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45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themeColor="accent3" w:themeShade="bf"/>
                <w:sz w:val="20"/>
                <w:szCs w:val="20"/>
              </w:rPr>
              <w:t>BROJ UGROŽENIH OSOBA %</w:t>
            </w:r>
          </w:p>
        </w:tc>
        <w:tc>
          <w:tcPr>
            <w:tcW w:w="2160"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&lt; 0,001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00000" w:themeColor="accent3" w:themeShade="bf"/>
                <w:sz w:val="20"/>
              </w:rPr>
              <w:t>0,001 - 0,0046</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0,0047 - 0,011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00000" w:themeColor="accent3" w:themeShade="bf"/>
                <w:sz w:val="20"/>
              </w:rPr>
              <w:t>0,012 - 0,035</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0,036 &gt;</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bl>
    <w:p>
      <w:pPr>
        <w:pStyle w:val="Normal"/>
        <w:rPr>
          <w:highlight w:val="yellow"/>
        </w:rPr>
      </w:pPr>
      <w:r>
        <w:rPr>
          <w:highlight w:val="yellow"/>
        </w:rPr>
      </w:r>
    </w:p>
    <w:p>
      <w:pPr>
        <w:pStyle w:val="Normal"/>
        <w:rPr>
          <w:i/>
          <w:i/>
          <w:color w:val="54883D"/>
        </w:rPr>
      </w:pPr>
      <w:r>
        <w:rPr>
          <w:i/>
          <w:color w:val="54883D"/>
        </w:rPr>
        <w:t>Gospodarstvo</w:t>
      </w:r>
    </w:p>
    <w:p>
      <w:pPr>
        <w:pStyle w:val="Normal"/>
        <w:spacing w:before="120" w:after="120"/>
        <w:rPr>
          <w:iCs/>
          <w:color w:val="FF0000"/>
          <w:szCs w:val="23"/>
        </w:rPr>
      </w:pPr>
      <w:r>
        <w:rPr>
          <w:iCs/>
          <w:szCs w:val="23"/>
        </w:rPr>
        <w:t>Za očekivati je da bi došlo do značajne materijalne štete na objektima operatera te susjednim poslovnim/stambenim objektima koje bi na neko vrijeme prekinule s radom. Očekuju se materijalna šteta na stambenim/poslovnim objektima koji se nalaze u zonama ugroženosti.</w:t>
      </w:r>
    </w:p>
    <w:p>
      <w:pPr>
        <w:pStyle w:val="Caption"/>
        <w:rPr>
          <w:rStyle w:val="IntenseEmphasis"/>
          <w:b w:val="false"/>
          <w:b w:val="false"/>
          <w:i w:val="false"/>
          <w:i w:val="false"/>
          <w:color w:val="54883D"/>
        </w:rPr>
      </w:pPr>
      <w:r>
        <w:rPr/>
        <w:t xml:space="preserve">Tablica </w:t>
      </w:r>
      <w:r>
        <w:rPr/>
        <w:fldChar w:fldCharType="begin"/>
      </w:r>
      <w:r>
        <w:rPr/>
        <w:instrText> SEQ Tabela \* ARABIC </w:instrText>
      </w:r>
      <w:r>
        <w:rPr/>
        <w:fldChar w:fldCharType="separate"/>
      </w:r>
      <w:r>
        <w:rPr/>
        <w:t>25</w:t>
      </w:r>
      <w:r>
        <w:rPr/>
        <w:fldChar w:fldCharType="end"/>
      </w:r>
      <w:r>
        <w:rPr/>
        <w:t xml:space="preserve">. Vrijednost kriterija za </w:t>
      </w:r>
      <w:r>
        <w:rPr>
          <w:rStyle w:val="IntenseEmphasis"/>
          <w:color w:val="54883D"/>
        </w:rPr>
        <w:t>posljedice na gospodarstvo po kategorijama – industrijske nesreće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i/>
          <w:i/>
          <w:color w:val="54883D"/>
        </w:rPr>
      </w:pPr>
      <w:r>
        <w:rPr>
          <w:i/>
          <w:color w:val="54883D"/>
        </w:rPr>
      </w:r>
    </w:p>
    <w:p>
      <w:pPr>
        <w:pStyle w:val="Normal"/>
        <w:rPr>
          <w:i/>
          <w:i/>
          <w:color w:val="54883D"/>
        </w:rPr>
      </w:pPr>
      <w:r>
        <w:rPr>
          <w:i/>
          <w:color w:val="54883D"/>
        </w:rPr>
        <w:t>Društvena stabilnost i politika</w:t>
      </w:r>
    </w:p>
    <w:p>
      <w:pPr>
        <w:pStyle w:val="Normal"/>
        <w:rPr>
          <w:rFonts w:eastAsia="Calibri" w:eastAsiaTheme="minorHAnsi"/>
          <w:b/>
          <w:b/>
          <w:u w:val="single"/>
        </w:rPr>
      </w:pPr>
      <w:r>
        <w:rPr>
          <w:rFonts w:eastAsia="Calibri" w:eastAsiaTheme="minorHAnsi"/>
          <w:b/>
          <w:u w:val="single"/>
        </w:rPr>
        <w:t>Posljedice po kritičnu infrastrukturu</w:t>
      </w:r>
    </w:p>
    <w:p>
      <w:pPr>
        <w:pStyle w:val="Normal"/>
        <w:rPr>
          <w:szCs w:val="22"/>
        </w:rPr>
      </w:pPr>
      <w:r>
        <w:rPr/>
        <w:t>Maloprodajno mjesto ne predstavlja objekt koji se klasificira pod kritičnu infrastrukturu značajnu za Republiku Hrvatsku sukladno Zakonu o kritičnim infrastrukturama, NN 56/13, i Odluci o određivanju sektora iz kojih središnja tijela državne uprave identificiraju nacionalne kritične infrastrukture te liste redoslijeda sektora kritičnih infrastruktura, NN 108/13. S obzirom na blizinu drugih maloprodajnih mjesta u okruženju, može se zaključiti da u slučaju prestanka rada MPM Buje ne bi došlo do značajnih problema u opskrbi stanovništva gorivom. Prema procjeni nema mogućih štetnih posljedice najgoreg mogućeg scenarija na lokaciji maloprodajnog mjesta na obavljanje djelatnosti objekata kritične infrastrukture iz okruženja.</w:t>
      </w:r>
    </w:p>
    <w:p>
      <w:pPr>
        <w:pStyle w:val="Normal"/>
        <w:rPr>
          <w:szCs w:val="22"/>
        </w:rPr>
      </w:pPr>
      <w:r>
        <w:rPr>
          <w:szCs w:val="22"/>
        </w:rPr>
      </w:r>
    </w:p>
    <w:p>
      <w:pPr>
        <w:pStyle w:val="Normal"/>
        <w:spacing w:before="80" w:after="0"/>
        <w:rPr>
          <w:rStyle w:val="IntenseEmphasis"/>
          <w:color w:val="54883D"/>
        </w:rPr>
      </w:pPr>
      <w:r>
        <w:rPr>
          <w:color w:val="54883D"/>
        </w:rPr>
      </w:r>
    </w:p>
    <w:p>
      <w:pPr>
        <w:pStyle w:val="Normal"/>
        <w:spacing w:before="80" w:after="0"/>
        <w:rPr>
          <w:rStyle w:val="IntenseEmphasis"/>
          <w:color w:val="54883D"/>
        </w:rPr>
      </w:pPr>
      <w:r>
        <w:rPr>
          <w:color w:val="54883D"/>
        </w:rPr>
      </w:r>
    </w:p>
    <w:p>
      <w:pPr>
        <w:pStyle w:val="Normal"/>
        <w:spacing w:before="80" w:after="0"/>
        <w:rPr>
          <w:rStyle w:val="IntenseEmphasis"/>
          <w:color w:val="54883D"/>
        </w:rPr>
      </w:pPr>
      <w:r>
        <w:rPr>
          <w:rStyle w:val="IntenseEmphasis"/>
          <w:color w:val="54883D"/>
        </w:rPr>
        <w:t>Energetika</w:t>
      </w:r>
    </w:p>
    <w:p>
      <w:pPr>
        <w:pStyle w:val="Normal"/>
        <w:spacing w:before="120" w:after="120"/>
        <w:rPr>
          <w:rFonts w:ascii="Arial Narrow" w:hAnsi="Arial Narrow" w:eastAsia="" w:eastAsiaTheme="minorEastAsia"/>
          <w:color w:val="auto"/>
          <w:szCs w:val="22"/>
          <w:lang w:eastAsia="hr-HR"/>
        </w:rPr>
      </w:pPr>
      <w:r>
        <w:rPr>
          <w:rFonts w:eastAsia="" w:eastAsiaTheme="minorEastAsia"/>
          <w:color w:val="auto"/>
          <w:szCs w:val="22"/>
          <w:lang w:eastAsia="hr-HR"/>
        </w:rPr>
        <w:t>U slučaju tehničko-tehnološke nesreće na lokaciji MPM Buje doći će do prestanka u distribuciji naftnih derivata. Međutim, ne bi došlo do značajnih prekida u distribuciji budući da bi se dostava istih organizirala s drugih lokacija</w:t>
      </w:r>
      <w:r>
        <w:rPr>
          <w:rFonts w:eastAsia="" w:ascii="Arial Narrow" w:hAnsi="Arial Narrow" w:eastAsiaTheme="minorEastAsia"/>
          <w:color w:val="auto"/>
          <w:szCs w:val="22"/>
          <w:lang w:eastAsia="hr-HR"/>
        </w:rPr>
        <w:t>.</w:t>
      </w:r>
    </w:p>
    <w:p>
      <w:pPr>
        <w:pStyle w:val="Normal"/>
        <w:spacing w:before="80" w:after="0"/>
        <w:rPr>
          <w:rStyle w:val="IntenseEmphasis"/>
          <w:i w:val="false"/>
          <w:i w:val="false"/>
          <w:color w:val="auto"/>
        </w:rPr>
      </w:pPr>
      <w:r>
        <w:rPr>
          <w:i w:val="false"/>
          <w:color w:val="auto"/>
        </w:rPr>
      </w:r>
    </w:p>
    <w:p>
      <w:pPr>
        <w:pStyle w:val="Normal"/>
        <w:spacing w:before="80" w:after="0"/>
        <w:rPr>
          <w:rStyle w:val="IntenseEmphasis"/>
          <w:color w:val="54883D"/>
        </w:rPr>
      </w:pPr>
      <w:r>
        <w:rPr>
          <w:rStyle w:val="IntenseEmphasis"/>
          <w:color w:val="54883D"/>
        </w:rPr>
        <w:t>Promet</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 xml:space="preserve">U slučaju tehničko-tehnološke nesreće na lokaciji tvrtke INA d.d., MPM Buje može doći do oštećenja cestovnih prometnica (D 21) a time i do prekida cestovnog prometa u zoni ugroze. </w:t>
      </w:r>
    </w:p>
    <w:p>
      <w:pPr>
        <w:pStyle w:val="Normal"/>
        <w:spacing w:before="80" w:after="0"/>
        <w:rPr>
          <w:color w:val="54883D"/>
          <w:szCs w:val="20"/>
        </w:rPr>
      </w:pPr>
      <w:r>
        <w:rPr>
          <w:color w:val="54883D"/>
          <w:szCs w:val="20"/>
        </w:rPr>
      </w:r>
    </w:p>
    <w:p>
      <w:pPr>
        <w:pStyle w:val="Caption"/>
        <w:rPr/>
      </w:pPr>
      <w:r>
        <w:rPr/>
        <w:t xml:space="preserve">Tablica </w:t>
      </w:r>
      <w:r>
        <w:rPr/>
        <w:fldChar w:fldCharType="begin"/>
      </w:r>
      <w:r>
        <w:rPr/>
        <w:instrText> SEQ Tabela \* ARABIC </w:instrText>
      </w:r>
      <w:r>
        <w:rPr/>
        <w:fldChar w:fldCharType="separate"/>
      </w:r>
      <w:r>
        <w:rPr/>
        <w:t>26</w:t>
      </w:r>
      <w:r>
        <w:rPr/>
        <w:fldChar w:fldCharType="end"/>
      </w:r>
      <w:r>
        <w:rPr/>
        <w:t>. Vrijednost kriterija za posljedice na društvenu stabilnost i politiku - oštećena kritična infrastruktura – industrijske nesreće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spacing w:before="80" w:after="0"/>
        <w:rPr>
          <w:rStyle w:val="IntenseEmphasis"/>
          <w:i w:val="false"/>
          <w:i w:val="false"/>
          <w:color w:val="auto"/>
          <w:highlight w:val="yellow"/>
        </w:rPr>
      </w:pPr>
      <w:r>
        <w:rPr>
          <w:i w:val="false"/>
          <w:color w:val="auto"/>
          <w:highlight w:val="yellow"/>
        </w:rPr>
      </w:r>
    </w:p>
    <w:p>
      <w:pPr>
        <w:pStyle w:val="Normal"/>
        <w:rPr>
          <w:rFonts w:eastAsia="Calibri" w:eastAsiaTheme="minorHAnsi"/>
          <w:b/>
          <w:b/>
          <w:u w:val="single"/>
        </w:rPr>
      </w:pPr>
      <w:r>
        <w:rPr>
          <w:rFonts w:eastAsia="Calibri" w:eastAsiaTheme="minorHAnsi"/>
          <w:b/>
          <w:u w:val="single"/>
        </w:rPr>
        <w:t>Posljedice po građevine javnog društvenog značaja</w:t>
      </w:r>
    </w:p>
    <w:p>
      <w:pPr>
        <w:pStyle w:val="Normal"/>
        <w:spacing w:before="80" w:after="0"/>
        <w:rPr/>
      </w:pPr>
      <w:r>
        <w:rPr/>
        <w:t>Neće izazvati posljedice na građevinama javnog društvenog značaja i zbog toga su odabrane neznatne posljedice.</w:t>
      </w:r>
    </w:p>
    <w:p>
      <w:pPr>
        <w:pStyle w:val="Normal"/>
        <w:spacing w:before="80" w:after="0"/>
        <w:rPr/>
      </w:pPr>
      <w:r>
        <w:rPr/>
      </w:r>
    </w:p>
    <w:p>
      <w:pPr>
        <w:pStyle w:val="Caption"/>
        <w:rPr/>
      </w:pPr>
      <w:r>
        <w:rPr/>
        <w:t xml:space="preserve">Tablica </w:t>
      </w:r>
      <w:r>
        <w:rPr/>
        <w:fldChar w:fldCharType="begin"/>
      </w:r>
      <w:r>
        <w:rPr/>
        <w:instrText> SEQ Tabela \* ARABIC </w:instrText>
      </w:r>
      <w:r>
        <w:rPr/>
        <w:fldChar w:fldCharType="separate"/>
      </w:r>
      <w:r>
        <w:rPr/>
        <w:t>27</w:t>
      </w:r>
      <w:r>
        <w:rPr/>
        <w:fldChar w:fldCharType="end"/>
      </w:r>
      <w:r>
        <w:rPr/>
        <w:t>. Vrijednost kriterija za posljedice na društvenu stabilnost i politiku  - štete/gubitci na ustanovama/građevinama javnog društvenog značaja – industrijske nesreće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spacing w:before="80" w:after="0"/>
        <w:rPr>
          <w:rStyle w:val="IntenseEmphasis"/>
          <w:i w:val="false"/>
          <w:i w:val="false"/>
          <w:color w:val="auto"/>
          <w:highlight w:val="yellow"/>
        </w:rPr>
      </w:pPr>
      <w:r>
        <w:rPr>
          <w:i w:val="false"/>
          <w:color w:val="auto"/>
          <w:highlight w:val="yellow"/>
        </w:rPr>
      </w:r>
    </w:p>
    <w:p>
      <w:pPr>
        <w:pStyle w:val="Caption"/>
        <w:rPr/>
      </w:pPr>
      <w:r>
        <w:rPr/>
        <w:t xml:space="preserve">Tablica </w:t>
      </w:r>
      <w:r>
        <w:rPr/>
        <w:fldChar w:fldCharType="begin"/>
      </w:r>
      <w:r>
        <w:rPr/>
        <w:instrText> SEQ Tabela \* ARABIC </w:instrText>
      </w:r>
      <w:r>
        <w:rPr/>
        <w:fldChar w:fldCharType="separate"/>
      </w:r>
      <w:r>
        <w:rPr/>
        <w:t>28</w:t>
      </w:r>
      <w:r>
        <w:rPr/>
        <w:fldChar w:fldCharType="end"/>
      </w:r>
      <w:r>
        <w:rPr/>
        <w:t>. Vrijednost kriterija za društvenu stabilnost i politiku - zbirno – industrijske nesreće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82"/>
        <w:gridCol w:w="2415"/>
        <w:gridCol w:w="3243"/>
        <w:gridCol w:w="1629"/>
      </w:tblGrid>
      <w:tr>
        <w:trPr>
          <w:cnfStyle w:val="100000000000" w:firstRow="1" w:lastRow="0" w:firstColumn="0" w:lastColumn="0" w:oddVBand="0" w:evenVBand="0" w:oddHBand="0"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ind w:left="29" w:hanging="0"/>
              <w:jc w:val="center"/>
              <w:rPr>
                <w:sz w:val="20"/>
              </w:rPr>
            </w:pPr>
            <w:r>
              <w:rPr>
                <w:b/>
                <w:bCs/>
                <w:color w:val="76923C" w:themeColor="accent3" w:themeShade="bf"/>
                <w:sz w:val="20"/>
              </w:rPr>
              <w:t>KATEGORIJA</w:t>
            </w:r>
          </w:p>
        </w:tc>
        <w:tc>
          <w:tcPr>
            <w:tcW w:w="2415"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KRITIČNA INFRASTRUKTURA</w:t>
            </w:r>
          </w:p>
        </w:tc>
        <w:tc>
          <w:tcPr>
            <w:tcW w:w="3243"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USTANOVE/GRAĐEVINE JAVNOG DRUŠTVENOG ZNAČAJA</w:t>
            </w:r>
          </w:p>
        </w:tc>
        <w:tc>
          <w:tcPr>
            <w:tcW w:w="1629"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1.</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2.</w:t>
            </w:r>
          </w:p>
        </w:tc>
        <w:tc>
          <w:tcPr>
            <w:tcW w:w="2415"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r>
          </w:p>
        </w:tc>
        <w:tc>
          <w:tcPr>
            <w:tcW w:w="1629"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t>x</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3.</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4.</w:t>
            </w:r>
          </w:p>
        </w:tc>
        <w:tc>
          <w:tcPr>
            <w:tcW w:w="2415"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5.</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bl>
    <w:p>
      <w:pPr>
        <w:pStyle w:val="Normal"/>
        <w:rPr>
          <w:i/>
          <w:i/>
          <w:iCs/>
          <w:color w:val="54883D"/>
        </w:rPr>
      </w:pPr>
      <w:r>
        <w:rPr>
          <w:rStyle w:val="IntenseEmphasis"/>
          <w:color w:val="54883D"/>
        </w:rPr>
        <w:t>Vjerojatnost događaja</w:t>
      </w:r>
    </w:p>
    <w:p>
      <w:pPr>
        <w:pStyle w:val="Normal"/>
        <w:rPr/>
      </w:pPr>
      <w:r>
        <w:rPr/>
        <w:t xml:space="preserve">S obzirom na prethodno navedene podatke, izračunata je vjerojatnost pojavljivanja ovog događaja prema IAEA – TECDOC-727 metodi i Priručniku za razvrstavanje i utvrđivanje prioriteta među rizicima izazvanim velikim nesrećama u procesnoj i srodnim industrijama. Računanje vjerojatnosti nekog događaja (promet opasnih materijala) provodi se pomoću zbrajanja logaritama: </w:t>
      </w:r>
    </w:p>
    <w:p>
      <w:pPr>
        <w:pStyle w:val="Normal"/>
        <w:spacing w:before="120" w:after="120"/>
        <w:rPr>
          <w:b/>
          <w:b/>
        </w:rPr>
      </w:pPr>
      <w:r>
        <w:rPr>
          <w:b/>
        </w:rPr>
        <w:t>N</w:t>
      </w:r>
      <w:r>
        <w:rPr>
          <w:b/>
          <w:vertAlign w:val="subscript"/>
        </w:rPr>
        <w:t>p,t</w:t>
      </w:r>
      <w:r>
        <w:rPr>
          <w:b/>
        </w:rPr>
        <w:t>=N</w:t>
      </w:r>
      <w:r>
        <w:rPr>
          <w:b/>
          <w:vertAlign w:val="subscript"/>
        </w:rPr>
        <w:t>*</w:t>
      </w:r>
      <w:r>
        <w:rPr>
          <w:b/>
        </w:rPr>
        <w:t xml:space="preserve"> </w:t>
      </w:r>
      <w:r>
        <w:rPr>
          <w:b/>
          <w:vertAlign w:val="subscript"/>
        </w:rPr>
        <w:t xml:space="preserve">p,t </w:t>
      </w:r>
      <w:r>
        <w:rPr>
          <w:b/>
        </w:rPr>
        <w:t>+ n</w:t>
      </w:r>
      <w:r>
        <w:rPr>
          <w:b/>
          <w:vertAlign w:val="subscript"/>
        </w:rPr>
        <w:t>ui</w:t>
      </w:r>
      <w:r>
        <w:rPr>
          <w:b/>
        </w:rPr>
        <w:t xml:space="preserve"> + n</w:t>
      </w:r>
      <w:r>
        <w:rPr>
          <w:b/>
          <w:vertAlign w:val="subscript"/>
        </w:rPr>
        <w:t xml:space="preserve">z </w:t>
      </w:r>
      <w:r>
        <w:rPr>
          <w:b/>
        </w:rPr>
        <w:t>+ n</w:t>
      </w:r>
      <w:r>
        <w:rPr>
          <w:b/>
          <w:vertAlign w:val="subscript"/>
        </w:rPr>
        <w:t>o</w:t>
      </w:r>
      <w:r>
        <w:rPr>
          <w:b/>
        </w:rPr>
        <w:t xml:space="preserve"> + n</w:t>
      </w:r>
      <w:r>
        <w:rPr>
          <w:b/>
          <w:vertAlign w:val="subscript"/>
        </w:rPr>
        <w:t>n</w:t>
      </w:r>
      <w:r>
        <w:rPr>
          <w:b/>
        </w:rPr>
        <w:t xml:space="preserve">, </w:t>
      </w:r>
    </w:p>
    <w:p>
      <w:pPr>
        <w:pStyle w:val="Normal"/>
        <w:spacing w:before="120" w:after="120"/>
        <w:rPr>
          <w:b/>
          <w:b/>
        </w:rPr>
      </w:pPr>
      <w:r>
        <w:rPr>
          <w:b/>
        </w:rPr>
        <w:t xml:space="preserve">N = | log </w:t>
      </w:r>
      <w:r>
        <w:rPr>
          <w:b/>
          <w:vertAlign w:val="subscript"/>
        </w:rPr>
        <w:t>10</w:t>
      </w:r>
      <w:r>
        <w:rPr>
          <w:b/>
        </w:rPr>
        <w:t xml:space="preserve"> P | </w:t>
      </w:r>
    </w:p>
    <w:p>
      <w:pPr>
        <w:pStyle w:val="Normal"/>
        <w:rPr/>
      </w:pPr>
      <w:r>
        <w:rPr/>
        <w:t xml:space="preserve">gdje je: </w:t>
      </w:r>
    </w:p>
    <w:p>
      <w:pPr>
        <w:pStyle w:val="Normal"/>
        <w:spacing w:before="120" w:after="120"/>
        <w:rPr/>
      </w:pPr>
      <w:r>
        <w:rPr/>
        <w:t>N</w:t>
      </w:r>
      <w:r>
        <w:rPr>
          <w:vertAlign w:val="subscript"/>
        </w:rPr>
        <w:t xml:space="preserve">* p,t </w:t>
      </w:r>
      <w:r>
        <w:rPr/>
        <w:t xml:space="preserve">- prosječan broj vjerojatnosti za postrojenje i tvar </w:t>
      </w:r>
    </w:p>
    <w:p>
      <w:pPr>
        <w:pStyle w:val="Normal"/>
        <w:spacing w:before="120" w:after="120"/>
        <w:rPr/>
      </w:pPr>
      <w:r>
        <w:rPr/>
        <w:t>n</w:t>
      </w:r>
      <w:r>
        <w:rPr>
          <w:vertAlign w:val="subscript"/>
        </w:rPr>
        <w:t>ui</w:t>
      </w:r>
      <w:r>
        <w:rPr/>
        <w:t xml:space="preserve"> - korekcijski parametar broja vjerojatnosti za učestalost radnji utovara/istovara </w:t>
      </w:r>
    </w:p>
    <w:p>
      <w:pPr>
        <w:pStyle w:val="Normal"/>
        <w:spacing w:before="120" w:after="120"/>
        <w:rPr/>
      </w:pPr>
      <w:r>
        <w:rPr/>
        <w:t>n</w:t>
      </w:r>
      <w:r>
        <w:rPr>
          <w:vertAlign w:val="subscript"/>
        </w:rPr>
        <w:t>z</w:t>
      </w:r>
      <w:r>
        <w:rPr/>
        <w:t xml:space="preserve"> - korekcijski parametar broja vjerojatnosti za sigurnosne sustave povezane sa zapaljivim tvarima </w:t>
      </w:r>
    </w:p>
    <w:p>
      <w:pPr>
        <w:pStyle w:val="Normal"/>
        <w:spacing w:before="120" w:after="120"/>
        <w:rPr/>
      </w:pPr>
      <w:r>
        <w:rPr/>
        <w:t>n</w:t>
      </w:r>
      <w:r>
        <w:rPr>
          <w:vertAlign w:val="subscript"/>
        </w:rPr>
        <w:t>0</w:t>
      </w:r>
      <w:r>
        <w:rPr/>
        <w:t xml:space="preserve"> - korekcijski parametar broja vjerojatnosti za organizacijsku i upravljačku sigurnost </w:t>
      </w:r>
    </w:p>
    <w:p>
      <w:pPr>
        <w:pStyle w:val="Normal"/>
        <w:spacing w:before="120" w:after="120"/>
        <w:rPr/>
      </w:pPr>
      <w:r>
        <w:rPr/>
        <w:t>n</w:t>
      </w:r>
      <w:r>
        <w:rPr>
          <w:vertAlign w:val="subscript"/>
        </w:rPr>
        <w:t>n</w:t>
      </w:r>
      <w:r>
        <w:rPr/>
        <w:t xml:space="preserve">- korekcijski parametar broja vjerojatnosti za smjer vjetra prema naseljenom području </w:t>
      </w:r>
    </w:p>
    <w:p>
      <w:pPr>
        <w:pStyle w:val="Normal"/>
        <w:spacing w:before="120" w:after="120"/>
        <w:rPr/>
      </w:pPr>
      <w:r>
        <w:rPr/>
        <w:t xml:space="preserve">N - broj vjerojatnosti </w:t>
      </w:r>
    </w:p>
    <w:p>
      <w:pPr>
        <w:pStyle w:val="Normal"/>
        <w:spacing w:before="120" w:after="120"/>
        <w:rPr/>
      </w:pPr>
      <w:r>
        <w:rPr/>
        <w:t>P - vrijednost učestalosti</w:t>
      </w:r>
    </w:p>
    <w:p>
      <w:pPr>
        <w:pStyle w:val="Normal"/>
        <w:rPr/>
      </w:pPr>
      <w:r>
        <w:rPr/>
      </w:r>
    </w:p>
    <w:p>
      <w:pPr>
        <w:pStyle w:val="Normal"/>
        <w:rPr>
          <w:color w:val="auto"/>
          <w:szCs w:val="22"/>
        </w:rPr>
      </w:pPr>
      <w:r>
        <w:rPr>
          <w:b/>
        </w:rPr>
        <w:t>N</w:t>
      </w:r>
      <w:r>
        <w:rPr>
          <w:b/>
          <w:vertAlign w:val="subscript"/>
        </w:rPr>
        <w:t>p,t</w:t>
      </w:r>
      <w:r>
        <w:rPr>
          <w:b/>
        </w:rPr>
        <w:t>= 6 - 1 + 0 + 0 + 0 = 5</w:t>
      </w:r>
    </w:p>
    <w:p>
      <w:pPr>
        <w:pStyle w:val="Normal"/>
        <w:spacing w:before="120" w:after="120"/>
        <w:rPr>
          <w:b/>
          <w:b/>
          <w:vertAlign w:val="superscript"/>
        </w:rPr>
      </w:pPr>
      <w:r>
        <w:rPr>
          <w:b/>
        </w:rPr>
        <w:t>P</w:t>
      </w:r>
      <w:r>
        <w:rPr>
          <w:b/>
          <w:vertAlign w:val="subscript"/>
        </w:rPr>
        <w:t>p,t</w:t>
      </w:r>
      <w:r>
        <w:rPr>
          <w:b/>
        </w:rPr>
        <w:t>(broj nesreća godišnje) = 1 x 10</w:t>
      </w:r>
      <w:r>
        <w:rPr>
          <w:b/>
          <w:vertAlign w:val="superscript"/>
        </w:rPr>
        <w:t>-5</w:t>
      </w:r>
    </w:p>
    <w:p>
      <w:pPr>
        <w:pStyle w:val="Normal"/>
        <w:rPr/>
      </w:pPr>
      <w:r>
        <w:rPr/>
      </w:r>
    </w:p>
    <w:p>
      <w:pPr>
        <w:pStyle w:val="Normal"/>
        <w:rPr/>
      </w:pPr>
      <w:r>
        <w:rPr/>
        <w:t>S obzirom na dobivene podatke, odabrana je iznimno mala vjerojatnost pojavljivanja.</w:t>
      </w:r>
    </w:p>
    <w:p>
      <w:pPr>
        <w:pStyle w:val="Caption"/>
        <w:rPr/>
      </w:pPr>
      <w:r>
        <w:rPr/>
        <w:t xml:space="preserve">Tablica </w:t>
      </w:r>
      <w:r>
        <w:rPr/>
        <w:fldChar w:fldCharType="begin"/>
      </w:r>
      <w:r>
        <w:rPr/>
        <w:instrText> SEQ Tabela \* ARABIC </w:instrText>
      </w:r>
      <w:r>
        <w:rPr/>
        <w:fldChar w:fldCharType="separate"/>
      </w:r>
      <w:r>
        <w:rPr/>
        <w:t>29</w:t>
      </w:r>
      <w:r>
        <w:rPr/>
        <w:fldChar w:fldCharType="end"/>
      </w:r>
      <w:r>
        <w:rPr/>
        <w:t>. Vjerojatnost / frekvencija – industrijske nesreće</w:t>
      </w:r>
    </w:p>
    <w:tbl>
      <w:tblPr>
        <w:tblStyle w:val="GridTable6Colorful-Accent31"/>
        <w:tblW w:w="9634" w:type="dxa"/>
        <w:jc w:val="left"/>
        <w:tblInd w:w="0" w:type="dxa"/>
        <w:tblCellMar>
          <w:top w:w="0" w:type="dxa"/>
          <w:left w:w="108" w:type="dxa"/>
          <w:bottom w:w="0" w:type="dxa"/>
          <w:right w:w="108" w:type="dxa"/>
        </w:tblCellMar>
        <w:tblLook w:firstRow="1" w:noVBand="1" w:lastRow="0" w:firstColumn="1" w:lastColumn="0" w:noHBand="0" w:val="04a0"/>
      </w:tblPr>
      <w:tblGrid>
        <w:gridCol w:w="1553"/>
        <w:gridCol w:w="1703"/>
        <w:gridCol w:w="1842"/>
        <w:gridCol w:w="2977"/>
        <w:gridCol w:w="1559"/>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53"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40" w:before="80" w:after="0"/>
              <w:jc w:val="center"/>
              <w:rPr>
                <w:sz w:val="20"/>
                <w:szCs w:val="20"/>
              </w:rPr>
            </w:pPr>
            <w:r>
              <w:rPr>
                <w:b/>
                <w:bCs/>
                <w:color w:val="76923C" w:themeColor="accent3" w:themeShade="bf"/>
                <w:sz w:val="20"/>
                <w:szCs w:val="20"/>
              </w:rPr>
              <w:t>KATEGORIJA</w:t>
            </w:r>
          </w:p>
        </w:tc>
        <w:tc>
          <w:tcPr>
            <w:tcW w:w="8081" w:type="dxa"/>
            <w:gridSpan w:val="4"/>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VJEROJATNOST / 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53" w:type="dxa"/>
            <w:vMerge w:val="continue"/>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rPr>
                <w:b w:val="false"/>
                <w:b w:val="false"/>
                <w:sz w:val="20"/>
                <w:szCs w:val="20"/>
              </w:rPr>
            </w:pPr>
            <w:r>
              <w:rPr>
                <w:b w:val="false"/>
                <w:bCs/>
                <w:color w:val="76923C" w:themeColor="accent3" w:themeShade="bf"/>
                <w:sz w:val="20"/>
                <w:szCs w:val="20"/>
              </w:rPr>
            </w:r>
          </w:p>
        </w:tc>
        <w:tc>
          <w:tcPr>
            <w:tcW w:w="170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4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97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559"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254" w:hRule="atLeast"/>
        </w:trPr>
        <w:tc>
          <w:tcPr>
            <w:tcW w:w="1553"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170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4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 1 %</w:t>
            </w:r>
          </w:p>
        </w:tc>
        <w:tc>
          <w:tcPr>
            <w:tcW w:w="2977"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55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53"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170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4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77"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559"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trPr>
        <w:tc>
          <w:tcPr>
            <w:tcW w:w="1553"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170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4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77"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55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53"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170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4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77"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559"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70" w:hRule="atLeast"/>
        </w:trPr>
        <w:tc>
          <w:tcPr>
            <w:tcW w:w="1553"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170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4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77"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55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191" w:name="_Toc99955709"/>
      <w:bookmarkStart w:id="192" w:name="_Toc116990157"/>
      <w:r>
        <w:rPr/>
        <w:t>Podaci, izvori i metode proračuna</w:t>
      </w:r>
      <w:bookmarkEnd w:id="191"/>
      <w:bookmarkEnd w:id="192"/>
    </w:p>
    <w:p>
      <w:pPr>
        <w:pStyle w:val="Normal"/>
        <w:rPr/>
      </w:pPr>
      <w:r>
        <w:rPr/>
        <w:t>Prilikom izračuna zona ugroženosti i procjene rizika korišteni su podaci iz:</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Procjene ugroženosti stanovništva, materijalnih i kulturnih dobara te okoliša za područje Grada Buje - Buie (2015.);</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 xml:space="preserve">Procjena rizika od katastrofa za Republiku Hrvatsku (2015.); </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Procjene rizika pravnih osoba koje obavljaju djelatnost korištenjem opasnih tvari MPM Buje (siječanj, 2022.);</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Priručnik za razvrstavanje i utvrđivanje prioriteta među rizicima izazvanim velikim nesrećama u procesnoj i srodnim industrijama, IAEA Beč, 1993; IAEA-TECDOC-727;</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Grad Buje – Buie.</w:t>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193" w:name="_Toc99955710"/>
      <w:bookmarkStart w:id="194" w:name="_Toc116990158"/>
      <w:r>
        <w:rPr/>
        <w:t>Matrice rizika</w:t>
      </w:r>
      <w:bookmarkEnd w:id="193"/>
      <w:bookmarkEnd w:id="194"/>
    </w:p>
    <w:p>
      <w:pPr>
        <w:pStyle w:val="Normal"/>
        <w:rPr/>
      </w:pPr>
      <w:r>
        <w:rPr/>
        <w:t>Rizik: Industrijska nesreća</w:t>
      </w:r>
    </w:p>
    <w:p>
      <w:pPr>
        <w:pStyle w:val="Normal"/>
        <w:rPr/>
      </w:pPr>
      <w:r>
        <w:rPr/>
        <w:t>Naziv scenarija: Puknuće UNP spremnika autocisterne s BLEV(E) posljedicom na lokaciji MPM Buje tvrtke INA d.d.</w:t>
      </w:r>
    </w:p>
    <w:p>
      <w:pPr>
        <w:pStyle w:val="Normal"/>
        <w:jc w:val="center"/>
        <w:rPr/>
      </w:pPr>
      <w:r>
        <w:rPr/>
        <w:drawing>
          <wp:inline distT="0" distB="0" distL="0" distR="0">
            <wp:extent cx="5210175" cy="4443730"/>
            <wp:effectExtent l="0" t="0" r="0" b="0"/>
            <wp:docPr id="78" name="Picture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101" descr=""/>
                    <pic:cNvPicPr>
                      <a:picLocks noChangeAspect="1" noChangeArrowheads="1"/>
                    </pic:cNvPicPr>
                  </pic:nvPicPr>
                  <pic:blipFill>
                    <a:blip r:embed="rId70"/>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19" wp14:anchorId="0D657003">
                <wp:simplePos x="0" y="0"/>
                <wp:positionH relativeFrom="column">
                  <wp:posOffset>1550035</wp:posOffset>
                </wp:positionH>
                <wp:positionV relativeFrom="paragraph">
                  <wp:posOffset>1252855</wp:posOffset>
                </wp:positionV>
                <wp:extent cx="315595" cy="254000"/>
                <wp:effectExtent l="19050" t="0" r="28575" b="13970"/>
                <wp:wrapNone/>
                <wp:docPr id="77" name="Hexagon 96"/>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96" fillcolor="#4f81bd" stroked="t" style="position:absolute;margin-left:122.05pt;margin-top:98.65pt;width:24.75pt;height:19.9pt" wp14:anchorId="0D657003" type="shapetype_9">
                <w10:wrap type="none"/>
                <v:fill o:detectmouseclick="t" type="solid" color2="#b07e42"/>
                <v:stroke color="#4f81bd" weight="9360" joinstyle="miter" endcap="flat"/>
              </v:shape>
            </w:pict>
          </mc:Fallback>
        </mc:AlternateContent>
      </w:r>
    </w:p>
    <w:p>
      <w:pPr>
        <w:pStyle w:val="Normal"/>
        <w:rPr>
          <w:b/>
          <w:b/>
        </w:rPr>
      </w:pPr>
      <w:r>
        <w:rPr>
          <w:b/>
        </w:rPr>
        <w:t>Događaj s najgorim mogućim posljedicama</w:t>
      </w:r>
    </w:p>
    <w:p>
      <w:pPr>
        <w:pStyle w:val="Normal"/>
        <w:jc w:val="left"/>
        <w:rPr/>
      </w:pPr>
      <w:r>
        <w:rPr/>
      </w:r>
    </w:p>
    <w:p>
      <w:pPr>
        <w:pStyle w:val="Normal"/>
        <w:jc w:val="center"/>
        <w:rPr>
          <w:b/>
          <w:b/>
          <w:sz w:val="20"/>
        </w:rPr>
      </w:pPr>
      <w:r>
        <w:rPr>
          <w:b/>
          <w:sz w:val="20"/>
        </w:rPr>
        <w:t>Život i zdravlje ljudi</w:t>
        <w:tab/>
        <w:tab/>
        <w:t xml:space="preserve">       Gospodarstvo</w:t>
        <w:tab/>
        <w:t xml:space="preserve">          Društvena stabilnost i politika</w:t>
      </w:r>
    </w:p>
    <w:p>
      <w:pPr>
        <w:pStyle w:val="Normal"/>
        <w:rPr/>
      </w:pPr>
      <w:r>
        <mc:AlternateContent>
          <mc:Choice Requires="wps">
            <w:drawing>
              <wp:anchor behindDoc="0" distT="0" distB="0" distL="0" distR="0" simplePos="0" locked="0" layoutInCell="1" allowOverlap="1" relativeHeight="20" wp14:anchorId="6FAC88D7">
                <wp:simplePos x="0" y="0"/>
                <wp:positionH relativeFrom="column">
                  <wp:posOffset>462280</wp:posOffset>
                </wp:positionH>
                <wp:positionV relativeFrom="paragraph">
                  <wp:posOffset>280035</wp:posOffset>
                </wp:positionV>
                <wp:extent cx="112395" cy="92075"/>
                <wp:effectExtent l="19050" t="0" r="41275" b="23495"/>
                <wp:wrapNone/>
                <wp:docPr id="79" name="Hexagon 100"/>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100" fillcolor="#4f81bd" stroked="t" style="position:absolute;margin-left:36.4pt;margin-top:22.05pt;width:8.75pt;height:7.15pt" wp14:anchorId="6FAC88D7"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21" wp14:anchorId="68EB22A9">
                <wp:simplePos x="0" y="0"/>
                <wp:positionH relativeFrom="column">
                  <wp:posOffset>2277745</wp:posOffset>
                </wp:positionH>
                <wp:positionV relativeFrom="paragraph">
                  <wp:posOffset>652145</wp:posOffset>
                </wp:positionV>
                <wp:extent cx="112395" cy="92075"/>
                <wp:effectExtent l="19050" t="0" r="41275" b="23495"/>
                <wp:wrapNone/>
                <wp:docPr id="80" name="Hexagon 99"/>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99" fillcolor="#4f81bd" stroked="t" style="position:absolute;margin-left:179.35pt;margin-top:51.35pt;width:8.75pt;height:7.15pt" wp14:anchorId="68EB22A9"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22" wp14:anchorId="7D64ABE8">
                <wp:simplePos x="0" y="0"/>
                <wp:positionH relativeFrom="column">
                  <wp:posOffset>4194175</wp:posOffset>
                </wp:positionH>
                <wp:positionV relativeFrom="paragraph">
                  <wp:posOffset>632460</wp:posOffset>
                </wp:positionV>
                <wp:extent cx="112395" cy="92075"/>
                <wp:effectExtent l="19050" t="0" r="41275" b="23495"/>
                <wp:wrapNone/>
                <wp:docPr id="81" name="Hexagon 97"/>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97" fillcolor="#4f81bd" stroked="t" style="position:absolute;margin-left:330.25pt;margin-top:49.8pt;width:8.75pt;height:7.15pt" wp14:anchorId="7D64ABE8"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82" name="Picture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02" descr=""/>
                    <pic:cNvPicPr>
                      <a:picLocks noChangeAspect="1" noChangeArrowheads="1"/>
                    </pic:cNvPicPr>
                  </pic:nvPicPr>
                  <pic:blipFill>
                    <a:blip r:embed="rId71"/>
                    <a:stretch>
                      <a:fillRect/>
                    </a:stretch>
                  </pic:blipFill>
                  <pic:spPr bwMode="auto">
                    <a:xfrm>
                      <a:off x="0" y="0"/>
                      <a:ext cx="1828800" cy="1554480"/>
                    </a:xfrm>
                    <a:prstGeom prst="rect">
                      <a:avLst/>
                    </a:prstGeom>
                  </pic:spPr>
                </pic:pic>
              </a:graphicData>
            </a:graphic>
          </wp:inline>
        </w:drawing>
      </w:r>
      <w:r>
        <w:rPr/>
        <w:drawing>
          <wp:inline distT="0" distB="0" distL="0" distR="0">
            <wp:extent cx="1905000" cy="1619250"/>
            <wp:effectExtent l="0" t="0" r="0" b="0"/>
            <wp:docPr id="83" name="Picture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103" descr=""/>
                    <pic:cNvPicPr>
                      <a:picLocks noChangeAspect="1" noChangeArrowheads="1"/>
                    </pic:cNvPicPr>
                  </pic:nvPicPr>
                  <pic:blipFill>
                    <a:blip r:embed="rId72"/>
                    <a:stretch>
                      <a:fillRect/>
                    </a:stretch>
                  </pic:blipFill>
                  <pic:spPr bwMode="auto">
                    <a:xfrm>
                      <a:off x="0" y="0"/>
                      <a:ext cx="1905000" cy="1619250"/>
                    </a:xfrm>
                    <a:prstGeom prst="rect">
                      <a:avLst/>
                    </a:prstGeom>
                  </pic:spPr>
                </pic:pic>
              </a:graphicData>
            </a:graphic>
          </wp:inline>
        </w:drawing>
      </w:r>
      <w:r>
        <w:rPr/>
        <w:drawing>
          <wp:inline distT="0" distB="0" distL="0" distR="0">
            <wp:extent cx="1906270" cy="1620520"/>
            <wp:effectExtent l="0" t="0" r="0" b="0"/>
            <wp:docPr id="84" name="Picture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04" descr=""/>
                    <pic:cNvPicPr>
                      <a:picLocks noChangeAspect="1" noChangeArrowheads="1"/>
                    </pic:cNvPicPr>
                  </pic:nvPicPr>
                  <pic:blipFill>
                    <a:blip r:embed="rId73"/>
                    <a:stretch>
                      <a:fillRect/>
                    </a:stretch>
                  </pic:blipFill>
                  <pic:spPr bwMode="auto">
                    <a:xfrm>
                      <a:off x="0" y="0"/>
                      <a:ext cx="1906270" cy="1620520"/>
                    </a:xfrm>
                    <a:prstGeom prst="rect">
                      <a:avLst/>
                    </a:prstGeom>
                  </pic:spPr>
                </pic:pic>
              </a:graphicData>
            </a:graphic>
          </wp:inline>
        </w:drawing>
      </w:r>
    </w:p>
    <w:p>
      <w:pPr>
        <w:pStyle w:val="Normal"/>
        <w:rPr/>
      </w:pPr>
      <w:r>
        <w:rPr/>
      </w:r>
    </w:p>
    <w:p>
      <w:pPr>
        <w:pStyle w:val="Normal"/>
        <w:rPr/>
      </w:pPr>
      <w:r>
        <w:rPr/>
      </w:r>
    </w:p>
    <w:p>
      <w:pPr>
        <w:pStyle w:val="Stilnaslova2"/>
        <w:numPr>
          <w:ilvl w:val="1"/>
          <w:numId w:val="2"/>
        </w:numPr>
        <w:rPr>
          <w:rFonts w:eastAsia="" w:eastAsiaTheme="majorEastAsia"/>
        </w:rPr>
      </w:pPr>
      <w:bookmarkStart w:id="195" w:name="_Toc496856095"/>
      <w:bookmarkStart w:id="196" w:name="_Toc99955711"/>
      <w:bookmarkStart w:id="197" w:name="_Toc116990159"/>
      <w:r>
        <w:rPr>
          <w:rFonts w:eastAsia="" w:eastAsiaTheme="majorEastAsia"/>
        </w:rPr>
        <w:t>Potres</w:t>
      </w:r>
      <w:bookmarkEnd w:id="195"/>
      <w:bookmarkEnd w:id="196"/>
      <w:bookmarkEnd w:id="197"/>
    </w:p>
    <w:p>
      <w:pPr>
        <w:pStyle w:val="Stilnaslova3"/>
        <w:numPr>
          <w:ilvl w:val="2"/>
          <w:numId w:val="2"/>
        </w:numPr>
        <w:ind w:left="709" w:hanging="721"/>
        <w:rPr/>
      </w:pPr>
      <w:bookmarkStart w:id="198" w:name="_Toc496856096"/>
      <w:bookmarkStart w:id="199" w:name="_Toc99955712"/>
      <w:bookmarkStart w:id="200" w:name="_Toc116990160"/>
      <w:r>
        <w:rPr/>
        <w:t>Naziv scenarija</w:t>
      </w:r>
      <w:bookmarkEnd w:id="198"/>
      <w:bookmarkEnd w:id="199"/>
      <w:bookmarkEnd w:id="200"/>
    </w:p>
    <w:p>
      <w:pPr>
        <w:pStyle w:val="Normal"/>
        <w:rPr>
          <w:lang w:bidi="en-US"/>
        </w:rPr>
      </w:pPr>
      <w:r>
        <w:rPr>
          <w:lang w:bidi="en-US"/>
        </w:rPr>
      </w:r>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szCs w:val="20"/>
              </w:rPr>
              <w:t xml:space="preserve">Podrhtavanje tla uzrokovano potresom jačine </w:t>
            </w:r>
            <w:r>
              <w:rPr>
                <w:b w:val="false"/>
                <w:bCs/>
                <w:color w:val="76923C" w:themeColor="accent3" w:themeShade="bf"/>
              </w:rPr>
              <w:t>VII</w:t>
            </w:r>
            <w:r>
              <w:rPr>
                <w:b w:val="false"/>
                <w:bCs/>
                <w:color w:val="76923C" w:themeColor="accent3" w:themeShade="bf"/>
                <w:vertAlign w:val="superscript"/>
              </w:rPr>
              <w:t>o</w:t>
            </w:r>
            <w:r>
              <w:rPr>
                <w:b w:val="false"/>
                <w:bCs/>
                <w:color w:val="76923C" w:themeColor="accent3" w:themeShade="bf"/>
              </w:rPr>
              <w:t xml:space="preserve"> MCS ljestvice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Potres</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Potres</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lang w:bidi="en-US"/>
        </w:rPr>
      </w:pPr>
      <w:r>
        <w:rPr>
          <w:lang w:bidi="en-US"/>
        </w:rPr>
      </w:r>
    </w:p>
    <w:p>
      <w:pPr>
        <w:pStyle w:val="Stilnaslova3"/>
        <w:numPr>
          <w:ilvl w:val="2"/>
          <w:numId w:val="2"/>
        </w:numPr>
        <w:ind w:left="709" w:hanging="721"/>
        <w:rPr/>
      </w:pPr>
      <w:bookmarkStart w:id="201" w:name="_Toc496856097"/>
      <w:bookmarkStart w:id="202" w:name="_Toc99955713"/>
      <w:bookmarkStart w:id="203" w:name="_Toc116990161"/>
      <w:r>
        <w:rPr/>
        <w:t>Uvod</w:t>
      </w:r>
      <w:bookmarkEnd w:id="201"/>
      <w:bookmarkEnd w:id="202"/>
      <w:bookmarkEnd w:id="203"/>
    </w:p>
    <w:p>
      <w:pPr>
        <w:pStyle w:val="Normal"/>
        <w:rPr/>
      </w:pPr>
      <w:r>
        <w:rPr/>
        <w:t xml:space="preserve">Potres je iznenadna i kratkotrajna </w:t>
      </w:r>
      <w:hyperlink r:id="rId74" w:tgtFrame="Vibracije">
        <w:r>
          <w:rPr/>
          <w:t>vibracija</w:t>
        </w:r>
      </w:hyperlink>
      <w:r>
        <w:rPr/>
        <w:t xml:space="preserve"> </w:t>
      </w:r>
      <w:hyperlink r:id="rId75" w:tgtFrame="Tlo">
        <w:r>
          <w:rPr/>
          <w:t>tla</w:t>
        </w:r>
      </w:hyperlink>
      <w:r>
        <w:rPr/>
        <w:t xml:space="preserve"> uzrokovana urušavanjem </w:t>
      </w:r>
      <w:hyperlink r:id="rId76" w:tgtFrame="Stijena">
        <w:r>
          <w:rPr/>
          <w:t>stijena</w:t>
        </w:r>
      </w:hyperlink>
      <w:r>
        <w:rPr/>
        <w:t xml:space="preserve"> (urušni potres), </w:t>
      </w:r>
      <w:hyperlink r:id="rId77" w:tgtFrame="Magma">
        <w:r>
          <w:rPr/>
          <w:t>magmatskom</w:t>
        </w:r>
      </w:hyperlink>
      <w:r>
        <w:rPr/>
        <w:t xml:space="preserve"> aktivnošću (</w:t>
      </w:r>
      <w:hyperlink r:id="rId78" w:tgtFrame="Vulkan">
        <w:r>
          <w:rPr/>
          <w:t>vulkanski</w:t>
        </w:r>
      </w:hyperlink>
      <w:r>
        <w:rPr/>
        <w:t xml:space="preserve"> potres) ili </w:t>
      </w:r>
      <w:hyperlink r:id="rId79" w:tgtFrame="Tektonika ploča">
        <w:r>
          <w:rPr/>
          <w:t>tektonskim poremećajima</w:t>
        </w:r>
      </w:hyperlink>
      <w:r>
        <w:rPr/>
        <w:t xml:space="preserve"> (tektonski potres) u </w:t>
      </w:r>
      <w:hyperlink r:id="rId80" w:tgtFrame="Litosfera">
        <w:r>
          <w:rPr/>
          <w:t>litosferi</w:t>
        </w:r>
      </w:hyperlink>
      <w:r>
        <w:rPr/>
        <w:t xml:space="preserve"> i dijelom u </w:t>
      </w:r>
      <w:hyperlink r:id="rId81" w:tgtFrame="Zemljin plašt">
        <w:r>
          <w:rPr/>
          <w:t>Zemljinu plaštu</w:t>
        </w:r>
      </w:hyperlink>
      <w:r>
        <w:rPr/>
        <w:t>. To je elementarna nepogoda uzrokovana prirodnim događajem koji je vjerojatno najveći uzrok stradavanja ljudi i uništenja materijalnih dobara. Katastrofe uzrokovane potresima karakterizira brz nastanak, a događaju se stalno i bez prethodnog upozorenja.</w:t>
      </w:r>
    </w:p>
    <w:p>
      <w:pPr>
        <w:pStyle w:val="Normal"/>
        <w:spacing w:before="120" w:after="120"/>
        <w:rPr/>
      </w:pPr>
      <w:r>
        <w:rPr>
          <w:szCs w:val="22"/>
        </w:rPr>
        <w:t>Budući da potrese nije moguće spriječiti, provođenje mjera za ublažavanje posljedica potresa i pripremljenost društvene zajednice u slučaju njegove pojave od iznimne su važnosti.</w:t>
      </w:r>
    </w:p>
    <w:p>
      <w:pPr>
        <w:pStyle w:val="Normal"/>
        <w:rPr/>
      </w:pPr>
      <w:r>
        <w:rPr/>
      </w:r>
    </w:p>
    <w:p>
      <w:pPr>
        <w:pStyle w:val="Stilnaslova3"/>
        <w:numPr>
          <w:ilvl w:val="2"/>
          <w:numId w:val="2"/>
        </w:numPr>
        <w:ind w:left="709" w:hanging="721"/>
        <w:rPr/>
      </w:pPr>
      <w:bookmarkStart w:id="204" w:name="_Toc492284942"/>
      <w:bookmarkStart w:id="205" w:name="_Toc496856098"/>
      <w:bookmarkStart w:id="206" w:name="_Toc99955714"/>
      <w:bookmarkStart w:id="207" w:name="_Toc116990162"/>
      <w:r>
        <w:rPr/>
        <w:t>Prikaz utjecaja na kritičnu infrastrukturu</w:t>
      </w:r>
      <w:bookmarkEnd w:id="204"/>
      <w:bookmarkEnd w:id="205"/>
      <w:bookmarkEnd w:id="206"/>
      <w:bookmarkEnd w:id="207"/>
    </w:p>
    <w:tbl>
      <w:tblPr>
        <w:tblStyle w:val="GridTable6Colorful-Accent31"/>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rPr>
            </w:pPr>
            <w:r>
              <w:rPr>
                <w:b/>
                <w:bCs/>
                <w:color w:val="76923C" w:themeColor="accent3" w:themeShade="bf"/>
                <w:sz w:val="20"/>
              </w:rPr>
              <w:t>UTJECAJ</w:t>
            </w:r>
          </w:p>
        </w:tc>
        <w:tc>
          <w:tcPr>
            <w:tcW w:w="82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trHeight w:val="471"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b/>
                <w:b/>
                <w:bCs/>
                <w:color w:val="76923C" w:themeColor="accent3" w:themeShade="bf"/>
              </w:rPr>
            </w:pPr>
            <w:r>
              <w:rPr>
                <w:b/>
                <w:bCs/>
                <w:color w:val="76923C" w:themeColor="accent3" w:themeShade="bf"/>
                <w:sz w:val="20"/>
              </w:rPr>
              <w:t>x</w:t>
            </w:r>
          </w:p>
        </w:tc>
        <w:tc>
          <w:tcPr>
            <w:tcW w:w="8296" w:type="dxa"/>
            <w:tcBorders/>
            <w:shd w:color="auto" w:fill="FFFFFF" w:themeFill="background1" w:val="clea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color w:val="auto"/>
        </w:rPr>
      </w:pPr>
      <w:r>
        <w:rPr>
          <w:color w:val="auto"/>
        </w:rPr>
      </w:r>
    </w:p>
    <w:p>
      <w:pPr>
        <w:pStyle w:val="Normal"/>
        <w:rPr>
          <w:color w:val="auto"/>
        </w:rPr>
      </w:pPr>
      <w:r>
        <w:rPr>
          <w:color w:val="auto"/>
        </w:rPr>
        <w:t>Od mogućih posljedica zbog utjecaja na infrastrukturu i strateške objekte urbanog područja pogođenog potresom posebno treba istaknuti:</w:t>
      </w:r>
    </w:p>
    <w:p>
      <w:pPr>
        <w:pStyle w:val="Normal"/>
        <w:numPr>
          <w:ilvl w:val="0"/>
          <w:numId w:val="44"/>
        </w:numPr>
        <w:tabs>
          <w:tab w:val="clear" w:pos="708"/>
          <w:tab w:val="left" w:pos="2445" w:leader="none"/>
        </w:tabs>
        <w:spacing w:before="72" w:after="72"/>
        <w:contextualSpacing/>
        <w:rPr/>
      </w:pPr>
      <w:r>
        <w:rPr/>
        <w:t>Izravna oštećenja prometnica zbog podrhtavanja tla ili njihova neprohodnost zbog sekundarnih posljedica, primjerice odrona ili klizišta, mogu otežati prometnu povezanost i usporiti potrebne radnje neposredno nakon potresa (spašavanje i evakuaciju, raščišćavanje ruševina, pregled oštećenja građevina itd.).</w:t>
      </w:r>
    </w:p>
    <w:p>
      <w:pPr>
        <w:pStyle w:val="Normal"/>
        <w:numPr>
          <w:ilvl w:val="0"/>
          <w:numId w:val="44"/>
        </w:numPr>
        <w:tabs>
          <w:tab w:val="clear" w:pos="708"/>
          <w:tab w:val="left" w:pos="2445" w:leader="none"/>
        </w:tabs>
        <w:spacing w:before="72" w:after="72"/>
        <w:contextualSpacing/>
        <w:rPr/>
      </w:pPr>
      <w:r>
        <w:rPr/>
        <w:t>Oštećenje ili rušenje objekata koji predstavljaju kritične točke prometne infrastrukture, posebice mostova, nadvožnjaka, potpornih zidova itd. mogu prekinuti važne prometne tokove.</w:t>
      </w:r>
    </w:p>
    <w:p>
      <w:pPr>
        <w:pStyle w:val="Normal"/>
        <w:numPr>
          <w:ilvl w:val="0"/>
          <w:numId w:val="44"/>
        </w:numPr>
        <w:tabs>
          <w:tab w:val="clear" w:pos="708"/>
          <w:tab w:val="left" w:pos="2445" w:leader="none"/>
        </w:tabs>
        <w:spacing w:before="72" w:after="72"/>
        <w:contextualSpacing/>
        <w:rPr/>
      </w:pPr>
      <w:r>
        <w:rPr/>
        <w:t>Oštećenja industrijskih objekata uz izravne troškove zbog oštećenja građevina i opreme mogu zbog odgode spremnosti za rad uključivati dodatne posljedice za zaposlene osobe te gospodarstvo u cjelini, a u pojedinim slučajevima moguće su i dugoročne posljedice zbog potencijalnih opasnosti za okoliš.</w:t>
      </w:r>
    </w:p>
    <w:p>
      <w:pPr>
        <w:pStyle w:val="Normal"/>
        <w:numPr>
          <w:ilvl w:val="0"/>
          <w:numId w:val="44"/>
        </w:numPr>
        <w:tabs>
          <w:tab w:val="clear" w:pos="708"/>
          <w:tab w:val="left" w:pos="2445" w:leader="none"/>
        </w:tabs>
        <w:spacing w:before="72" w:after="72"/>
        <w:contextualSpacing/>
        <w:rPr/>
      </w:pPr>
      <w:r>
        <w:rPr/>
        <w:t>Prekidi u telekomunikacijskoj mreži zbog oštećenja stanovništvu i hitnim službama mogu otežati komunikaciju, a oštećenja strujne mreže i komunalne infrastrukture mogu usporiti radove hitnih službi i povećati osjećaj nesigurnosti stanovništva.</w:t>
      </w:r>
    </w:p>
    <w:p>
      <w:pPr>
        <w:pStyle w:val="Normal"/>
        <w:numPr>
          <w:ilvl w:val="0"/>
          <w:numId w:val="44"/>
        </w:numPr>
        <w:tabs>
          <w:tab w:val="clear" w:pos="708"/>
          <w:tab w:val="left" w:pos="2445" w:leader="none"/>
        </w:tabs>
        <w:spacing w:before="72" w:after="72"/>
        <w:contextualSpacing/>
        <w:rPr/>
      </w:pPr>
      <w:r>
        <w:rPr/>
        <w:t>Opasnost od oštećenja zdravstvenih ustanova s odgovarajućom zdravstvenom opremom može dodatno ugroziti najranjivije stanovništvo i otežati mogućnost osiguravanja dovoljnih kapaciteta za pružanje pomoći ozlijeđenim osobama.</w:t>
      </w:r>
    </w:p>
    <w:p>
      <w:pPr>
        <w:pStyle w:val="Normal"/>
        <w:numPr>
          <w:ilvl w:val="0"/>
          <w:numId w:val="44"/>
        </w:numPr>
        <w:tabs>
          <w:tab w:val="clear" w:pos="708"/>
          <w:tab w:val="left" w:pos="2445" w:leader="none"/>
        </w:tabs>
        <w:spacing w:before="72" w:after="72"/>
        <w:contextualSpacing/>
        <w:rPr/>
      </w:pPr>
      <w:r>
        <w:rPr/>
        <w:t>Oštećenje javnih objekata društvene namjene može ugroziti sigurnost velikog broja ljudi i dugoročno utjecati na uobičajen odvijanje društvenih aktivnosti.</w:t>
      </w:r>
    </w:p>
    <w:p>
      <w:pPr>
        <w:pStyle w:val="Normal"/>
        <w:numPr>
          <w:ilvl w:val="0"/>
          <w:numId w:val="44"/>
        </w:numPr>
        <w:tabs>
          <w:tab w:val="clear" w:pos="708"/>
          <w:tab w:val="left" w:pos="2445" w:leader="none"/>
        </w:tabs>
        <w:spacing w:before="72" w:after="72"/>
        <w:contextualSpacing/>
        <w:rPr/>
      </w:pPr>
      <w:r>
        <w:rPr/>
        <w:t>Posebice treba obratiti pozornost na oštećenja vrtića i škole, a oštećenje vjerskih objekata i kulturno - povijesne baštine može dovesti do nenadoknadivih gubitaka i dodatno demoralizirati stanovništvo.</w:t>
      </w:r>
    </w:p>
    <w:p>
      <w:pPr>
        <w:pStyle w:val="Normal"/>
        <w:numPr>
          <w:ilvl w:val="0"/>
          <w:numId w:val="44"/>
        </w:numPr>
        <w:tabs>
          <w:tab w:val="clear" w:pos="708"/>
          <w:tab w:val="left" w:pos="2445" w:leader="none"/>
        </w:tabs>
        <w:spacing w:before="72" w:after="72"/>
        <w:contextualSpacing/>
        <w:rPr/>
      </w:pPr>
      <w:r>
        <w:rPr/>
        <w:t>U slučaju oštećenja građevina u kojoj se odvijaju poslovi državne uprave postoji opasnost od zastoja u državnoj administraciji i narušavanja političke stabilnosti, a od posebnog je značaja sigurnost i raspoloživost hitnih službi, uključujući vatrogastvo i policiju.</w:t>
      </w:r>
    </w:p>
    <w:p>
      <w:pPr>
        <w:pStyle w:val="Normal"/>
        <w:rPr>
          <w:highlight w:val="yellow"/>
          <w:lang w:bidi="en-US"/>
        </w:rPr>
      </w:pPr>
      <w:r>
        <w:rPr>
          <w:highlight w:val="yellow"/>
          <w:lang w:bidi="en-US"/>
        </w:rPr>
      </w:r>
    </w:p>
    <w:p>
      <w:pPr>
        <w:pStyle w:val="Stilnaslova3"/>
        <w:numPr>
          <w:ilvl w:val="2"/>
          <w:numId w:val="2"/>
        </w:numPr>
        <w:ind w:left="709" w:hanging="721"/>
        <w:rPr/>
      </w:pPr>
      <w:bookmarkStart w:id="208" w:name="_Toc99955715"/>
      <w:bookmarkStart w:id="209" w:name="_Toc116990163"/>
      <w:r>
        <w:rPr/>
        <w:t>Kontekst</w:t>
      </w:r>
      <w:bookmarkEnd w:id="208"/>
      <w:bookmarkEnd w:id="209"/>
    </w:p>
    <w:p>
      <w:pPr>
        <w:pStyle w:val="Normal"/>
        <w:spacing w:before="120" w:after="120"/>
        <w:rPr>
          <w:rFonts w:eastAsia="Calibri" w:eastAsiaTheme="minorHAnsi"/>
        </w:rPr>
      </w:pPr>
      <w:r>
        <w:rPr>
          <w:rFonts w:eastAsia="Calibri" w:eastAsiaTheme="minorHAnsi"/>
        </w:rPr>
        <w:t>Potresi su tipična katastrofa s brzim izbijanjem, događaju se u bilo koje doba i izbijaju bez upozorenja. Potres je endogeni proces do kojeg dolazi uslijed pomicanja tektonskih ploča a posljedica je podrhtavanje Zemljine kore zbog oslobađanja velike količine energije.</w:t>
      </w:r>
    </w:p>
    <w:p>
      <w:pPr>
        <w:pStyle w:val="Normal"/>
        <w:spacing w:before="120" w:after="120"/>
        <w:rPr/>
      </w:pPr>
      <w:r>
        <w:rPr/>
        <w:t>Republika Hrvatska pripada mediteransko - transazijskom pojasu visoke seizmičke aktivnosti, prema Europskoj karti seizmičkog hazarda jedna je od seizmički ugroženijih država u Europi, a gotovo cijelo područje Hrvatske je izrazito podložno pojavi potresa. Potresima je najviše izloženo priobalno područje, posebice južna Dalmacija, te sjeverozapadna Hrvatska.</w:t>
      </w:r>
    </w:p>
    <w:p>
      <w:pPr>
        <w:pStyle w:val="Normal"/>
        <w:spacing w:before="120" w:after="120"/>
        <w:rPr>
          <w:rFonts w:eastAsia="Calibri" w:eastAsiaTheme="minorHAnsi"/>
        </w:rPr>
      </w:pPr>
      <w:r>
        <w:rPr>
          <w:rFonts w:eastAsia="Calibri" w:eastAsiaTheme="minorHAnsi"/>
        </w:rPr>
        <w:t>Jačina potresa ovisi o više čimbenika kao što su količina oslobođene energije, dubina hipocentra,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pPr>
        <w:pStyle w:val="Normal"/>
        <w:spacing w:before="120" w:after="120"/>
        <w:rPr>
          <w:rFonts w:eastAsia="Calibri" w:eastAsiaTheme="minorHAnsi"/>
        </w:rPr>
      </w:pPr>
      <w:r>
        <w:rPr>
          <w:rFonts w:eastAsia="Calibri" w:eastAsiaTheme="minorHAnsi"/>
        </w:rPr>
        <w:t xml:space="preserve">Obzirom na geološke osobitosti tla i rasjede koji postoje na području županije realno je za očekivati da će svako podrhtavanje tla i ispod naznačenih vrijednosti imati jači makroseizmički intenzitet. Naime geološki sastav tla, što znači manje kompaktno tlo s obiljem podzemnih voda, u ovom će slučaju djelovati tako da će pojačati amplifikaciju potresa, jer amplitude ubrzanja tla (periodi oscilacija za vrijeme potresa) ovise o značajkama podpovršinskih slojeva. </w:t>
      </w:r>
    </w:p>
    <w:p>
      <w:pPr>
        <w:pStyle w:val="Normal"/>
        <w:spacing w:before="120" w:after="120"/>
        <w:rPr/>
      </w:pPr>
      <w:r>
        <w:rPr/>
        <w:t>Prema seizmološkoj karti izrađenoj u sklopu seizmičke mikrorajonizacije Istarske županije i Grada Buja, u toj aktivnoj zoni osnovni stupanj seizmičnosti je VII° MCS ljestvice. Seizmičnost na području Grada iznosi VII° po MCS.</w:t>
      </w:r>
    </w:p>
    <w:p>
      <w:pPr>
        <w:pStyle w:val="Caption"/>
        <w:rPr/>
      </w:pPr>
      <w:r>
        <w:rPr>
          <w:lang w:bidi="en-US"/>
        </w:rPr>
        <w:t xml:space="preserve">Slika 12. </w:t>
      </w:r>
      <w:r>
        <w:rPr/>
        <w:t>Prikaz epicentara potresa u Republici Hrvatskoj</w:t>
      </w:r>
    </w:p>
    <w:p>
      <w:pPr>
        <w:pStyle w:val="Normal"/>
        <w:rPr/>
      </w:pPr>
      <w:r>
        <w:rPr/>
        <w:drawing>
          <wp:anchor behindDoc="0" distT="0" distB="0" distL="0" distR="0" simplePos="0" locked="0" layoutInCell="1" allowOverlap="1" relativeHeight="49">
            <wp:simplePos x="0" y="0"/>
            <wp:positionH relativeFrom="page">
              <wp:posOffset>1459865</wp:posOffset>
            </wp:positionH>
            <wp:positionV relativeFrom="paragraph">
              <wp:posOffset>61595</wp:posOffset>
            </wp:positionV>
            <wp:extent cx="4488815" cy="4495800"/>
            <wp:effectExtent l="0" t="0" r="0" b="0"/>
            <wp:wrapNone/>
            <wp:docPr id="85" name="Pictur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14" descr=""/>
                    <pic:cNvPicPr>
                      <a:picLocks noChangeAspect="1" noChangeArrowheads="1"/>
                    </pic:cNvPicPr>
                  </pic:nvPicPr>
                  <pic:blipFill>
                    <a:blip r:embed="rId82"/>
                    <a:stretch>
                      <a:fillRect/>
                    </a:stretch>
                  </pic:blipFill>
                  <pic:spPr bwMode="auto">
                    <a:xfrm>
                      <a:off x="0" y="0"/>
                      <a:ext cx="4488815" cy="4495800"/>
                    </a:xfrm>
                    <a:prstGeom prst="rect">
                      <a:avLst/>
                    </a:prstGeom>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Caption"/>
        <w:rPr/>
      </w:pPr>
      <w:r>
        <w:rPr/>
        <w:t xml:space="preserve">Izvor: Geofizički odsjek, Prirodoslovno-matematički fakultet </w:t>
      </w:r>
    </w:p>
    <w:p>
      <w:pPr>
        <w:pStyle w:val="Normal"/>
        <w:tabs>
          <w:tab w:val="clear" w:pos="708"/>
          <w:tab w:val="left" w:pos="5955" w:leader="none"/>
        </w:tabs>
        <w:spacing w:before="120" w:after="120"/>
        <w:rPr>
          <w:rFonts w:eastAsia="Calibri" w:eastAsiaTheme="minorHAnsi"/>
          <w:iCs/>
        </w:rPr>
      </w:pPr>
      <w:r>
        <w:rPr>
          <w:rFonts w:eastAsia="Calibri" w:eastAsiaTheme="minorHAnsi"/>
          <w:iCs/>
        </w:rPr>
        <w:t xml:space="preserve">Analizom epicentara potresa u Hrvatskoj (Slika 12.) u povratnom razdoblju od 1850. – 2015. godine može se zaključiti da se područje Grada Buja nalazi na seizmički aktivnijem području, ali su potresi male magnitude i opasnost od potresa postoji. </w:t>
      </w:r>
    </w:p>
    <w:p>
      <w:pPr>
        <w:pStyle w:val="Normal"/>
        <w:spacing w:before="120" w:after="120"/>
        <w:rPr>
          <w:rFonts w:eastAsia="Calibri" w:eastAsiaTheme="minorHAnsi"/>
          <w:iCs/>
        </w:rPr>
      </w:pPr>
      <w:r>
        <w:rPr>
          <w:rFonts w:eastAsia="Calibri" w:eastAsiaTheme="minorHAnsi"/>
          <w:iCs/>
        </w:rPr>
        <w:t xml:space="preserve">Seizmičnost se prikazuje na dva načina. Jedan način je opisivanje intenziteta potresa (mjera učinka potresa na ljude i objekte) i prikazuje se preko Mercalli-Cancani-Sieberg (MCS) ljestvice koja ima 12 stupnjeva (Tablica 30). Drugi način opisivanja je jačina potresa preko magnitude potresa (mjera energije oslobođene tijekom potresa) i prikazuje se preko Richterove ljestvice koja također ima 12 stupnjeva. </w:t>
      </w:r>
    </w:p>
    <w:p>
      <w:pPr>
        <w:pStyle w:val="Normal"/>
        <w:tabs>
          <w:tab w:val="clear" w:pos="708"/>
          <w:tab w:val="left" w:pos="5955" w:leader="none"/>
        </w:tabs>
        <w:spacing w:before="0" w:after="160"/>
        <w:rPr>
          <w:rFonts w:eastAsia="Calibri" w:eastAsiaTheme="minorHAnsi"/>
          <w:iCs/>
        </w:rPr>
      </w:pPr>
      <w:r>
        <w:rPr>
          <w:rFonts w:eastAsia="Calibri" w:eastAsiaTheme="minorHAnsi"/>
          <w:iCs/>
        </w:rPr>
        <w:t>Jedan od načina opisivanja potresa je putem intenziteta potresa. Seizmičnost se prikazuje različitim makro seizmičkim ljestvicama koje opisuju intenzitet: Mercalli-Cancani-Siebergova (MCS), Modificirana Mercallijeva (MM, u SAD-u), Medvedev-Sponheuer-Karnikova (MSK) i Europska makro seizmička ljestvica (EMS). One su prilagođene područjima za koja su nastajale: npr. karakteristikama uobičajene gradnje objekata (drvene, ciglene, betonske zgrade i sl.), a razlikuju se i po složenosti pri klasifikaciji učinaka. Ljestvice za određivanje makro seizmičkog intenziteta najčešće imaju 12 stupnjeva, a svaki stupanj opisuje tipične učinke potresa te jačine, npr. prvi stupanj jakosti potresa su nezamjetljivi potresi koje bilježe samo seizmografi, dok je dvanaesti stupanj velika katastrofa.</w:t>
      </w:r>
      <w:r>
        <w:rPr/>
        <w:t xml:space="preserve"> </w:t>
      </w:r>
      <w:r>
        <w:rPr>
          <w:rFonts w:eastAsia="Calibri" w:eastAsiaTheme="minorHAnsi"/>
          <w:iCs/>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pPr>
        <w:pStyle w:val="Normal"/>
        <w:spacing w:before="120" w:after="120"/>
        <w:rPr>
          <w:rFonts w:eastAsia="Calibri" w:eastAsiaTheme="minorHAnsi"/>
          <w:iCs/>
        </w:rPr>
      </w:pPr>
      <w:r>
        <w:rPr>
          <w:rFonts w:eastAsia="Calibri" w:eastAsiaTheme="minorHAnsi"/>
          <w:iCs/>
        </w:rPr>
      </w:r>
    </w:p>
    <w:p>
      <w:pPr>
        <w:pStyle w:val="Caption"/>
        <w:rPr/>
      </w:pPr>
      <w:r>
        <w:rPr/>
        <w:t xml:space="preserve">Tablica </w:t>
      </w:r>
      <w:r>
        <w:rPr/>
        <w:fldChar w:fldCharType="begin"/>
      </w:r>
      <w:r>
        <w:rPr/>
        <w:instrText> SEQ Tabela \* ARABIC </w:instrText>
      </w:r>
      <w:r>
        <w:rPr/>
        <w:fldChar w:fldCharType="separate"/>
      </w:r>
      <w:r>
        <w:rPr/>
        <w:t>30</w:t>
      </w:r>
      <w:r>
        <w:rPr/>
        <w:fldChar w:fldCharType="end"/>
      </w:r>
      <w:r>
        <w:rPr/>
        <w:t>. MCS ljestvica potresa</w:t>
      </w:r>
    </w:p>
    <w:tbl>
      <w:tblPr>
        <w:tblStyle w:val="GridTable6Colorful-Accent31"/>
        <w:tblW w:w="5000" w:type="pct"/>
        <w:jc w:val="left"/>
        <w:tblInd w:w="0" w:type="dxa"/>
        <w:tblCellMar>
          <w:top w:w="0" w:type="dxa"/>
          <w:left w:w="108" w:type="dxa"/>
          <w:bottom w:w="0" w:type="dxa"/>
          <w:right w:w="108" w:type="dxa"/>
        </w:tblCellMar>
        <w:tblLook w:firstRow="1" w:noVBand="1" w:lastRow="0" w:firstColumn="1" w:lastColumn="0" w:noHBand="0" w:val="04a0"/>
      </w:tblPr>
      <w:tblGrid>
        <w:gridCol w:w="1130"/>
        <w:gridCol w:w="1988"/>
        <w:gridCol w:w="5952"/>
      </w:tblGrid>
      <w:tr>
        <w:trPr>
          <w:trHeight w:val="695" w:hRule="atLeast"/>
          <w:cnfStyle w:val="100000000000" w:firstRow="1" w:lastRow="0" w:firstColumn="0" w:lastColumn="0" w:oddVBand="0" w:evenVBand="0" w:oddHBand="0"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Stupanj potresa</w:t>
            </w:r>
          </w:p>
        </w:tc>
        <w:tc>
          <w:tcPr>
            <w:tcW w:w="1988" w:type="dxa"/>
            <w:tcBorders>
              <w:bottom w:val="single" w:sz="12" w:space="0" w:color="C2D69B"/>
            </w:tcBorders>
            <w:shd w:color="auto" w:fill="EAF1DD" w:themeFill="accent3" w:themeFillTint="33" w:val="clea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Naziv potresa</w:t>
            </w:r>
          </w:p>
        </w:tc>
        <w:tc>
          <w:tcPr>
            <w:tcW w:w="5952" w:type="dxa"/>
            <w:tcBorders>
              <w:bottom w:val="single" w:sz="12" w:space="0" w:color="C2D69B"/>
            </w:tcBorders>
            <w:shd w:color="auto" w:fill="EAF1DD" w:themeFill="accent3" w:themeFillTint="33" w:val="clea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Učinak potresa</w:t>
            </w:r>
          </w:p>
        </w:tc>
      </w:tr>
      <w:tr>
        <w:trPr>
          <w:trHeight w:val="468"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I.</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Nezamjetljiv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Bilježe ga jedino seizmografi.</w:t>
            </w:r>
          </w:p>
        </w:tc>
      </w:tr>
      <w:tr>
        <w:trPr>
          <w:trHeight w:val="468"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II.</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Vrlo lagan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U višim stambenih zgrada osjete ga vrlo osjetljivi ljudi.</w:t>
            </w:r>
          </w:p>
        </w:tc>
      </w:tr>
      <w:tr>
        <w:trPr>
          <w:trHeight w:val="710"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III.</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Lagan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Podrhtavanje tla kao pri prolazu automobila. U unutrašnjosti zgrada osjeti ga više ljudi.</w:t>
            </w:r>
          </w:p>
        </w:tc>
      </w:tr>
      <w:tr>
        <w:trPr>
          <w:trHeight w:val="872"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IV.</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Umjeren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U zgradama ga osjeti više ljudi, a na otvorenome samo pojedinci. Budi neke spavače. Trese vrata i pokućstvo. Prozori, staklenina i posude zveče kao pri prolazu teških kamiona.</w:t>
            </w:r>
          </w:p>
        </w:tc>
      </w:tr>
      <w:tr>
        <w:trPr>
          <w:trHeight w:val="922"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V.</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Prilično jak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Osjeti ga više ljudi na otvorenom prostoru. Budi spavače; pojedinci bježe iz kuća. Njišu se predmeti koji slobodno vise.</w:t>
            </w:r>
          </w:p>
        </w:tc>
      </w:tr>
      <w:tr>
        <w:trPr>
          <w:trHeight w:val="835"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VI.</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Jak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Ljudi bježe iz zgrada. Sa zidova padaju slike, ruše se predmeti, razbija se posuđe, pomiče ili prevrće pokućstvo. Zvone manja crkvena zvona. Lagano se oštećuju pojedine dobro građene kuće.</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VII.</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Vrlo jak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Crijepovi se lome i kližu s krova, ruše se dimnjaci. Oštećuje se pokućstvo u zgradama. Ruše se slabije građene zgrade, a na jačima nastaju oštećenja.</w:t>
            </w:r>
          </w:p>
        </w:tc>
      </w:tr>
      <w:tr>
        <w:trPr>
          <w:trHeight w:val="922"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VIII.</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Razoran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Znatno oštećuje do 25% zgrada. Pojedine se kuće ruše, a veliki broj ih je neprikladan za stanovanje. U tlu nastaju pukotine, a na padinama klizišta.</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IX.</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Pustošni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Oštećuje 50% zgrada. Mnoge se zgrade ruše, a većina ih je neupotrebljiva. U tlu se javljaju velike pukotine, a na padinama klizišta i odroni.</w:t>
            </w:r>
          </w:p>
        </w:tc>
      </w:tr>
      <w:tr>
        <w:trPr>
          <w:trHeight w:val="1300"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X.</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Uništavajući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Teško oštećuje 75% zgrada. Veliki broj dobro građenih kuća ruši se do temelja. Ruše se mostovi, pucaju brane, savijaju željezničke tračnice, oštećuju putevi. Pukotine u tlu široke su nekoliko decimetara. Urušavaju se špilje, pojavljuje se podzemna voda.</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XI.</w:t>
            </w:r>
          </w:p>
        </w:tc>
        <w:tc>
          <w:tcPr>
            <w:tcW w:w="1988"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Katastrofalan potres</w:t>
            </w:r>
          </w:p>
        </w:tc>
        <w:tc>
          <w:tcPr>
            <w:tcW w:w="5952" w:type="dxa"/>
            <w:tcBorders/>
            <w:shd w:color="auto" w:fill="FFFFFF" w:themeFill="background1" w:val="clear"/>
          </w:tcPr>
          <w:p>
            <w:pPr>
              <w:pStyle w:val="Normal"/>
              <w:spacing w:lineRule="auto" w:line="240" w:before="80" w:after="16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Gotovo sve zgrade se ruše do temelja. Iz širokih pukotina u tlu izbija podzemna voda noseći mulj i pijesak. Tlo se odronjava, stijene se otkidaju i ruše.</w:t>
            </w:r>
          </w:p>
        </w:tc>
      </w:tr>
      <w:tr>
        <w:trPr>
          <w:trHeight w:val="525" w:hRule="atLeast"/>
        </w:trPr>
        <w:tc>
          <w:tcPr>
            <w:tcW w:w="1130"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160"/>
              <w:jc w:val="center"/>
              <w:rPr>
                <w:color w:val="auto"/>
                <w:sz w:val="20"/>
                <w:szCs w:val="20"/>
              </w:rPr>
            </w:pPr>
            <w:r>
              <w:rPr>
                <w:b/>
                <w:bCs/>
                <w:color w:val="auto" w:themeColor="accent3" w:themeShade="bf"/>
                <w:sz w:val="20"/>
                <w:szCs w:val="20"/>
              </w:rPr>
              <w:t>XII.</w:t>
            </w:r>
          </w:p>
        </w:tc>
        <w:tc>
          <w:tcPr>
            <w:tcW w:w="1988"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Veliki katastrofalan potres</w:t>
            </w:r>
          </w:p>
        </w:tc>
        <w:tc>
          <w:tcPr>
            <w:tcW w:w="5952" w:type="dxa"/>
            <w:tcBorders/>
            <w:shd w:color="auto" w:fill="FFFFFF" w:themeFill="background1" w:val="clear"/>
          </w:tcPr>
          <w:p>
            <w:pPr>
              <w:pStyle w:val="Normal"/>
              <w:spacing w:lineRule="auto" w:line="240" w:before="80" w:after="16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Sve što je izgrađeno ljudskom rukom ruši se do temelja. Reljef mijenja izgled, zatrpavaju se jezera, rijeke mijenjaju korito.</w:t>
            </w:r>
          </w:p>
        </w:tc>
      </w:tr>
    </w:tbl>
    <w:p>
      <w:pPr>
        <w:pStyle w:val="Caption"/>
        <w:rPr>
          <w:rStyle w:val="IntenseEmphasis"/>
          <w:i w:val="false"/>
          <w:i w:val="false"/>
          <w:color w:val="54883D"/>
        </w:rPr>
      </w:pPr>
      <w:r>
        <w:rPr>
          <w:rStyle w:val="IntenseEmphasis"/>
          <w:color w:val="54883D"/>
        </w:rPr>
        <w:t xml:space="preserve">Izvor – </w:t>
      </w:r>
      <w:r>
        <w:rPr>
          <w:rStyle w:val="IntenseEmphasis"/>
          <w:iCs w:val="false"/>
          <w:color w:val="54883D"/>
        </w:rPr>
        <w:t>www.enciklopedija.hr</w:t>
      </w:r>
    </w:p>
    <w:p>
      <w:pPr>
        <w:pStyle w:val="Normal"/>
        <w:tabs>
          <w:tab w:val="clear" w:pos="708"/>
          <w:tab w:val="left" w:pos="142" w:leader="none"/>
        </w:tabs>
        <w:spacing w:before="120" w:after="120"/>
        <w:ind w:hanging="142"/>
        <w:jc w:val="center"/>
        <w:rPr>
          <w:b/>
          <w:b/>
          <w:bCs/>
          <w:i/>
          <w:i/>
          <w:color w:val="54883D"/>
          <w:sz w:val="20"/>
          <w:szCs w:val="18"/>
        </w:rPr>
      </w:pPr>
      <w:r>
        <w:rPr>
          <w:b/>
          <w:bCs/>
          <w:i/>
          <w:color w:val="54883D"/>
          <w:sz w:val="20"/>
          <w:szCs w:val="18"/>
        </w:rPr>
        <w:t>Tablica 24.  EMS-98 ljestvica intenziteta potresa</w:t>
      </w:r>
    </w:p>
    <w:tbl>
      <w:tblPr>
        <w:tblStyle w:val="GridTable6Colorful-Accent31"/>
        <w:tblW w:w="9634" w:type="dxa"/>
        <w:jc w:val="center"/>
        <w:tblInd w:w="0" w:type="dxa"/>
        <w:tblCellMar>
          <w:top w:w="0" w:type="dxa"/>
          <w:left w:w="108" w:type="dxa"/>
          <w:bottom w:w="0" w:type="dxa"/>
          <w:right w:w="108" w:type="dxa"/>
        </w:tblCellMar>
        <w:tblLook w:firstRow="1" w:noVBand="1" w:lastRow="0" w:firstColumn="1" w:lastColumn="0" w:noHBand="0" w:val="04a0"/>
      </w:tblPr>
      <w:tblGrid>
        <w:gridCol w:w="1205"/>
        <w:gridCol w:w="1552"/>
        <w:gridCol w:w="6877"/>
      </w:tblGrid>
      <w:tr>
        <w:trPr>
          <w:tblHeader w:val="true"/>
          <w:trHeight w:val="615" w:hRule="atLeast"/>
          <w:cnfStyle w:val="100000000000" w:firstRow="1" w:lastRow="0" w:firstColumn="0" w:lastColumn="0" w:oddVBand="0" w:evenVBand="0" w:oddHBand="0"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rPr>
                <w:color w:val="auto"/>
                <w:sz w:val="20"/>
                <w:szCs w:val="20"/>
              </w:rPr>
            </w:pPr>
            <w:r>
              <w:rPr>
                <w:b/>
                <w:bCs/>
                <w:color w:val="auto" w:themeColor="accent3" w:themeShade="bf"/>
                <w:sz w:val="20"/>
                <w:szCs w:val="20"/>
              </w:rPr>
              <w:t>Stupanj intenziteta potresa</w:t>
            </w:r>
          </w:p>
        </w:tc>
        <w:tc>
          <w:tcPr>
            <w:tcW w:w="155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Opis</w:t>
            </w:r>
          </w:p>
        </w:tc>
        <w:tc>
          <w:tcPr>
            <w:tcW w:w="687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tabs>
                <w:tab w:val="clear" w:pos="708"/>
                <w:tab w:val="left" w:pos="380" w:leader="none"/>
                <w:tab w:val="center" w:pos="2824" w:leader="none"/>
              </w:tabs>
              <w:spacing w:lineRule="auto" w:line="240" w:before="80" w:after="0"/>
              <w:jc w:val="left"/>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ab/>
              <w:tab/>
              <w:t>Učinak potresa</w:t>
            </w:r>
          </w:p>
        </w:tc>
      </w:tr>
      <w:tr>
        <w:trPr>
          <w:trHeight w:val="468"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Neosjetan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ne osjeća se</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 nema učinaka</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 nema štete</w:t>
            </w:r>
          </w:p>
        </w:tc>
      </w:tr>
      <w:tr>
        <w:trPr>
          <w:trHeight w:val="468"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II.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Jedva osjetan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podrhtavanje osjećaju samo na izdvojenim mjestima (&lt;1%) osobe koje se odmaraju i u posebnom su položaju u prostorijama</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b) nema učinaka</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c) nema štete</w:t>
            </w:r>
          </w:p>
        </w:tc>
      </w:tr>
      <w:tr>
        <w:trPr>
          <w:trHeight w:val="710"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III.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76923C" w:themeColor="accent3" w:themeShade="bf"/>
              </w:rPr>
              <w:t>Slab</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neki ljudi u prostorijama osjete potres; ljudi koji se odmaraju osjećaju ljuljanje ili podrhtavanje svjetiljaka</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 viseći predmeti se lagano ljuljaju</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 nema štete</w:t>
            </w:r>
          </w:p>
        </w:tc>
      </w:tr>
      <w:tr>
        <w:trPr>
          <w:trHeight w:val="872"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IV.</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Primijećen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potres osjete mnogi u prostorijama a vani samo neki; mali se broj ljudi probudi; razina vibracija ne zastrašuje; vibracija je umjerena; opaža se lako podrhtavanje ili ljuljanje zgrada, prostorija ili kreveta, stolica itd.</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b) posuđe, čaše, prozori i vrata zveče; obješeni se predmeti ljuljaju; u nekim se slučajevima lako pokućstvo vidljivo trese; drvene konstrukcije ponegdje škripe</w:t>
            </w:r>
          </w:p>
        </w:tc>
      </w:tr>
      <w:tr>
        <w:trPr>
          <w:trHeight w:val="922"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V.</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Jak</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većina osjeća potres u prostorijama, vani samo neki; mali broj ljudi je uplašen i istrčava van; mnogi se zaspali bude; osjeća se jako potresanje ili ljuljanje cijele zgrade, prostorija ili namještaja</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 šteta 1. stupnja na malo zgrada razreda oštetljivosti A i B</w:t>
            </w:r>
          </w:p>
        </w:tc>
      </w:tr>
      <w:tr>
        <w:trPr>
          <w:trHeight w:val="835"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VI.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Malo štetan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većina ga osjeti u prostorijama, a mnogi i vani; mali broj osoba gubi ravnotežu; mnogi su uplašeni i bježe van</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b) mali predmeti oblične stabilnosti mogu pasti a namještaj može klizati; u malo slučajeva posuđe i stakleni predmeti se lome; seoske životinje (čak i vani) mogu se poplašiti</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c) šteta 1. stupnja na mnogim zgradama razreda oštetljivosti A i B; šteta 2. stupnja na malo zgrada razreda A i B; šteta 1. stupnja na malo zgrada razreda C</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VII.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Štetan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većina ljudi je uplašena i istrčava van; mnogi teško stoje, posebno na višim katovima</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 namještaj kliže, a namještaj s visokim težištem može se prevrnuti; veliki broj predmeta pada s polica; voda se izlijeva iz spremnika i bazena</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trPr>
          <w:trHeight w:val="922"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VIII.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Jako štetan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mnogi ljudi teško stoje, čak i vani</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b) namještaj se prevrće; predmeti kao što su televizori, pisaći strojevi itd. padaju na tlo; nadgrobni spomenici se negdje pomiču, uvrću ili prevrću; na mekom se tlu mogu vidjeti valovi</w:t>
            </w:r>
          </w:p>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IX.</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Razoran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opća panika; potres ljude baca na tlo</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b) mnogi spomenici i stupovi padaju ili se uvrću; na mekom se tlu vide valovi</w:t>
            </w:r>
          </w:p>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trPr>
          <w:trHeight w:val="1300"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X.</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Vrlo razoran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trPr>
          <w:trHeight w:val="937" w:hRule="atLeast"/>
          <w:cnfStyle w:val="000000100000" w:firstRow="0" w:lastRow="0" w:firstColumn="0" w:lastColumn="0" w:oddVBand="0" w:evenVBand="0" w:oddHBand="1" w:evenHBand="0" w:firstRowFirstColumn="0" w:firstRowLastColumn="0" w:lastRowFirstColumn="0" w:lastRowLastColumn="0"/>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XI.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Pustošan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auto" w:themeColor="accent3" w:themeShade="bf"/>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trPr>
          <w:trHeight w:val="525" w:hRule="atLeast"/>
        </w:trPr>
        <w:tc>
          <w:tcPr>
            <w:tcW w:w="1205"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color w:val="auto"/>
                <w:sz w:val="20"/>
                <w:szCs w:val="20"/>
              </w:rPr>
            </w:pPr>
            <w:r>
              <w:rPr>
                <w:b/>
                <w:bCs/>
                <w:color w:val="auto" w:themeColor="accent3" w:themeShade="bf"/>
                <w:sz w:val="20"/>
                <w:szCs w:val="20"/>
              </w:rPr>
              <w:t>XII.</w:t>
            </w:r>
          </w:p>
        </w:tc>
        <w:tc>
          <w:tcPr>
            <w:tcW w:w="1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U cijelosti pustošan</w:t>
            </w:r>
          </w:p>
        </w:tc>
        <w:tc>
          <w:tcPr>
            <w:tcW w:w="687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auto" w:themeColor="accent3" w:themeShade="bf"/>
                <w:sz w:val="20"/>
                <w:szCs w:val="20"/>
              </w:rPr>
              <w:t>a) sve zgrade razreda A, B i praktično sve do razreda C su razorene; većina zgrada razreda D, E i F su razorene; potres je dostigao je najveći pojmljiv učinak</w:t>
            </w:r>
          </w:p>
        </w:tc>
      </w:tr>
    </w:tbl>
    <w:p>
      <w:pPr>
        <w:pStyle w:val="Normal"/>
        <w:spacing w:before="120" w:after="120"/>
        <w:rPr>
          <w:rFonts w:eastAsia="Calibri" w:eastAsiaTheme="minorHAnsi"/>
          <w:iCs/>
        </w:rPr>
      </w:pPr>
      <w:r>
        <w:rPr>
          <w:rFonts w:eastAsia="Calibri" w:eastAsiaTheme="minorHAnsi"/>
          <w:iCs/>
        </w:rPr>
      </w:r>
    </w:p>
    <w:p>
      <w:pPr>
        <w:pStyle w:val="Normal"/>
        <w:rPr/>
      </w:pPr>
      <w:r>
        <w:rPr/>
        <w:t xml:space="preserve">U tablici 24. </w:t>
      </w:r>
      <w:r>
        <w:rPr>
          <w:i/>
        </w:rPr>
        <w:t xml:space="preserve">EMS-98 ljestvica intenziteta potresa </w:t>
      </w:r>
      <w:r>
        <w:rPr/>
        <w:t>slova a) predstavlja učinke na ljude, b) učinke na predmete i prirodu, c) učinke na zgrade. Količine su podijeljene u tri skupine, neki – predstavlja količinu od 0-20%, mnogi – količinu od 10-60% te većina – količinu od 60-100%.</w:t>
      </w:r>
    </w:p>
    <w:p>
      <w:pPr>
        <w:pStyle w:val="Normal"/>
        <w:spacing w:before="120" w:after="120"/>
        <w:rPr>
          <w:rFonts w:eastAsia="Calibri" w:eastAsiaTheme="minorHAnsi"/>
          <w:iCs/>
        </w:rPr>
      </w:pPr>
      <w:r>
        <w:rPr>
          <w:rFonts w:eastAsia="Calibri" w:eastAsiaTheme="minorHAnsi"/>
          <w:iCs/>
          <w:color w:val="auto"/>
        </w:rPr>
        <w:t xml:space="preserve">Drugi </w:t>
      </w:r>
      <w:r>
        <w:rPr>
          <w:rFonts w:eastAsia="Calibri" w:eastAsiaTheme="minorHAnsi"/>
          <w:iCs/>
        </w:rPr>
        <w:t>način opisivanja potresa je preko magnitude potresa (mjera elastične energije oslobođene tijekom potresa) i prikazuje se preko Richterove ljestvice koja ima 10 stupnjeva.</w:t>
      </w:r>
    </w:p>
    <w:p>
      <w:pPr>
        <w:pStyle w:val="Normal"/>
        <w:spacing w:before="120" w:after="120"/>
        <w:rPr>
          <w:rFonts w:eastAsia="Calibri" w:eastAsiaTheme="minorHAnsi"/>
          <w:iCs/>
        </w:rPr>
      </w:pPr>
      <w:r>
        <w:rPr>
          <w:rFonts w:eastAsia="Calibri" w:eastAsiaTheme="minorHAnsi"/>
          <w:iCs/>
        </w:rPr>
        <w:t xml:space="preserve">Obje ljestvice se temelje na </w:t>
      </w:r>
      <w:r>
        <w:rPr>
          <w:shd w:fill="FFFFFF" w:val="clear"/>
        </w:rPr>
        <w:t>pojavama i promjenama koje potresi izazivaju kod ljudi i životinja uz ocjenu veličine štete na objektima te sagledavanje promjena u prirodi kao posljedice potresa</w:t>
      </w:r>
      <w:r>
        <w:rPr>
          <w:rFonts w:eastAsia="Calibri" w:eastAsiaTheme="minorHAnsi"/>
          <w:iCs/>
        </w:rPr>
        <w:t xml:space="preserve">. </w:t>
      </w:r>
    </w:p>
    <w:p>
      <w:pPr>
        <w:pStyle w:val="Normal"/>
        <w:spacing w:before="120" w:after="120"/>
        <w:jc w:val="center"/>
        <w:rPr>
          <w:b/>
          <w:b/>
          <w:bCs/>
          <w:i/>
          <w:i/>
          <w:color w:val="54883D"/>
          <w:sz w:val="20"/>
          <w:szCs w:val="18"/>
        </w:rPr>
      </w:pPr>
      <w:r>
        <w:rPr>
          <w:b/>
          <w:bCs/>
          <w:i/>
          <w:color w:val="54883D"/>
          <w:sz w:val="20"/>
          <w:szCs w:val="18"/>
        </w:rPr>
      </w:r>
    </w:p>
    <w:p>
      <w:pPr>
        <w:pStyle w:val="Normal"/>
        <w:spacing w:before="120" w:after="120"/>
        <w:jc w:val="center"/>
        <w:rPr>
          <w:b/>
          <w:b/>
          <w:bCs/>
          <w:i/>
          <w:i/>
          <w:color w:val="54883D"/>
          <w:sz w:val="20"/>
          <w:szCs w:val="18"/>
        </w:rPr>
      </w:pPr>
      <w:r>
        <w:rPr>
          <w:b/>
          <w:bCs/>
          <w:i/>
          <w:color w:val="54883D"/>
          <w:sz w:val="20"/>
          <w:szCs w:val="18"/>
        </w:rPr>
      </w:r>
    </w:p>
    <w:p>
      <w:pPr>
        <w:pStyle w:val="Normal"/>
        <w:spacing w:before="120" w:after="120"/>
        <w:jc w:val="center"/>
        <w:rPr>
          <w:b/>
          <w:b/>
          <w:bCs/>
          <w:i/>
          <w:i/>
          <w:color w:val="54883D"/>
          <w:sz w:val="20"/>
          <w:szCs w:val="18"/>
        </w:rPr>
      </w:pPr>
      <w:r>
        <w:rPr>
          <w:b/>
          <w:bCs/>
          <w:i/>
          <w:color w:val="54883D"/>
          <w:sz w:val="20"/>
          <w:szCs w:val="18"/>
        </w:rPr>
      </w:r>
    </w:p>
    <w:p>
      <w:pPr>
        <w:pStyle w:val="Normal"/>
        <w:spacing w:before="120" w:after="120"/>
        <w:jc w:val="center"/>
        <w:rPr>
          <w:b/>
          <w:b/>
          <w:bCs/>
          <w:i/>
          <w:i/>
          <w:color w:val="54883D"/>
          <w:sz w:val="20"/>
          <w:szCs w:val="18"/>
        </w:rPr>
      </w:pPr>
      <w:r>
        <w:rPr>
          <w:b/>
          <w:bCs/>
          <w:i/>
          <w:color w:val="54883D"/>
          <w:sz w:val="20"/>
          <w:szCs w:val="18"/>
        </w:rPr>
        <w:t xml:space="preserve">Slika </w:t>
      </w:r>
      <w:r>
        <w:rPr>
          <w:b/>
          <w:bCs/>
          <w:i/>
          <w:color w:val="54883D"/>
          <w:sz w:val="20"/>
          <w:szCs w:val="18"/>
        </w:rPr>
        <w:fldChar w:fldCharType="begin"/>
      </w:r>
      <w:r>
        <w:rPr>
          <w:sz w:val="20"/>
          <w:i/>
          <w:b/>
          <w:szCs w:val="18"/>
          <w:bCs/>
          <w:color w:val="54883D"/>
        </w:rPr>
        <w:instrText> SEQ Slika \* ARABIC </w:instrText>
      </w:r>
      <w:r>
        <w:rPr>
          <w:sz w:val="20"/>
          <w:i/>
          <w:b/>
          <w:szCs w:val="18"/>
          <w:bCs/>
          <w:color w:val="54883D"/>
        </w:rPr>
        <w:fldChar w:fldCharType="separate"/>
      </w:r>
      <w:r>
        <w:rPr>
          <w:sz w:val="20"/>
          <w:i/>
          <w:b/>
          <w:szCs w:val="18"/>
          <w:bCs/>
          <w:color w:val="54883D"/>
        </w:rPr>
        <w:t>18</w:t>
      </w:r>
      <w:r>
        <w:rPr>
          <w:sz w:val="20"/>
          <w:i/>
          <w:b/>
          <w:szCs w:val="18"/>
          <w:bCs/>
          <w:color w:val="54883D"/>
        </w:rPr>
        <w:fldChar w:fldCharType="end"/>
      </w:r>
      <w:r>
        <w:rPr>
          <w:b/>
          <w:bCs/>
          <w:i/>
          <w:color w:val="54883D"/>
          <w:sz w:val="20"/>
          <w:szCs w:val="18"/>
        </w:rPr>
        <w:t>. Vršna ubrzanja tla uzrokovana potresima za područje Grada Buja za povratni  period za 475 godina</w:t>
      </w:r>
    </w:p>
    <w:p>
      <w:pPr>
        <w:pStyle w:val="Normal"/>
        <w:spacing w:before="120" w:after="120"/>
        <w:jc w:val="center"/>
        <w:rPr/>
      </w:pPr>
      <w:r>
        <w:rPr/>
        <w:drawing>
          <wp:inline distT="0" distB="0" distL="0" distR="0">
            <wp:extent cx="5759450" cy="5504815"/>
            <wp:effectExtent l="0" t="0" r="0" b="0"/>
            <wp:docPr id="89" name="Picture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15" descr=""/>
                    <pic:cNvPicPr>
                      <a:picLocks noChangeAspect="1" noChangeArrowheads="1"/>
                    </pic:cNvPicPr>
                  </pic:nvPicPr>
                  <pic:blipFill>
                    <a:blip r:embed="rId83"/>
                    <a:stretch>
                      <a:fillRect/>
                    </a:stretch>
                  </pic:blipFill>
                  <pic:spPr bwMode="auto">
                    <a:xfrm>
                      <a:off x="0" y="0"/>
                      <a:ext cx="5759450" cy="5504815"/>
                    </a:xfrm>
                    <a:prstGeom prst="rect">
                      <a:avLst/>
                    </a:prstGeom>
                  </pic:spPr>
                </pic:pic>
              </a:graphicData>
            </a:graphic>
          </wp:inline>
        </w:drawing>
        <mc:AlternateContent>
          <mc:Choice Requires="wps">
            <w:drawing>
              <wp:anchor behindDoc="0" distT="0" distB="0" distL="0" distR="0" simplePos="0" locked="0" layoutInCell="1" allowOverlap="1" relativeHeight="55" wp14:anchorId="15846838">
                <wp:simplePos x="0" y="0"/>
                <wp:positionH relativeFrom="column">
                  <wp:posOffset>702310</wp:posOffset>
                </wp:positionH>
                <wp:positionV relativeFrom="paragraph">
                  <wp:posOffset>1488440</wp:posOffset>
                </wp:positionV>
                <wp:extent cx="114935" cy="125095"/>
                <wp:effectExtent l="0" t="0" r="635" b="9525"/>
                <wp:wrapNone/>
                <wp:docPr id="86" name="Regular Pentagon 61"/>
                <a:graphic xmlns:a="http://schemas.openxmlformats.org/drawingml/2006/main">
                  <a:graphicData uri="http://schemas.microsoft.com/office/word/2010/wordprocessingShape">
                    <wps:wsp>
                      <wps:cNvSpPr/>
                      <wps:spPr>
                        <a:xfrm>
                          <a:off x="0" y="0"/>
                          <a:ext cx="114480" cy="124560"/>
                        </a:xfrm>
                        <a:prstGeom prst="pentagon">
                          <a:avLst>
                            <a:gd name="hf" fmla="val 105146"/>
                            <a:gd name="vf" fmla="val 110557"/>
                          </a:avLst>
                        </a:prstGeom>
                        <a:solidFill>
                          <a:srgbClr val="ff0000"/>
                        </a:solidFill>
                        <a:ln w="25560">
                          <a:noFill/>
                        </a:ln>
                      </wps:spPr>
                      <wps:style>
                        <a:lnRef idx="0"/>
                        <a:fillRef idx="0"/>
                        <a:effectRef idx="0"/>
                        <a:fontRef idx="minor"/>
                      </wps:style>
                      <wps:bodyPr/>
                    </wps:wsp>
                  </a:graphicData>
                </a:graphic>
              </wp:anchor>
            </w:drawing>
          </mc:Choice>
          <mc:Fallback>
            <w:pict>
              <v:shapetype id="shapetype_56" coordsize="21600,21600" o:spt="56" path="m@8@12l10800,l@11@12l@10@13l@9@13xe">
                <v:stroke joinstyle="miter"/>
                <v:formulas>
                  <v:f eqn="prod 1 22712 2"/>
                  <v:f eqn="prod 1 23880 2"/>
                  <v:f eqn="sumangle 0 18 0"/>
                  <v:f eqn="cos @0 @2"/>
                  <v:f eqn="sumangle 0 306 0"/>
                  <v:f eqn="cos @0 @4"/>
                  <v:f eqn="sin @1 @2"/>
                  <v:f eqn="sin @1 @4"/>
                  <v:f eqn="sum 10800 0 @3"/>
                  <v:f eqn="sum 10800 0 @5"/>
                  <v:f eqn="sum 10800 @5 0"/>
                  <v:f eqn="sum 10800 @3 0"/>
                  <v:f eqn="sum @1 0 @6"/>
                  <v:f eqn="sum @1 0 @7"/>
                  <v:f eqn="prod @12 @5 @3"/>
                </v:formulas>
                <v:path gradientshapeok="t" o:connecttype="rect" textboxrect="@9,@14,@10,@13"/>
              </v:shapetype>
              <v:shape id="shape_0" ID="Regular Pentagon 61" fillcolor="red" stroked="f" style="position:absolute;margin-left:55.3pt;margin-top:117.2pt;width:8.95pt;height:9.75pt" wp14:anchorId="15846838" type="shapetype_56">
                <w10:wrap type="none"/>
                <v:fill o:detectmouseclick="t" type="solid" color2="aqua"/>
                <v:stroke color="#3465a4" weight="25560" joinstyle="round" endcap="flat"/>
              </v:shape>
            </w:pict>
          </mc:Fallback>
        </mc:AlternateContent>
        <mc:AlternateContent>
          <mc:Choice Requires="wps">
            <w:drawing>
              <wp:anchor behindDoc="0" distT="0" distB="0" distL="0" distR="0" simplePos="0" locked="0" layoutInCell="1" allowOverlap="1" relativeHeight="56" wp14:anchorId="1127A555">
                <wp:simplePos x="0" y="0"/>
                <wp:positionH relativeFrom="column">
                  <wp:posOffset>2787015</wp:posOffset>
                </wp:positionH>
                <wp:positionV relativeFrom="paragraph">
                  <wp:posOffset>2016125</wp:posOffset>
                </wp:positionV>
                <wp:extent cx="1601470" cy="353695"/>
                <wp:effectExtent l="2019300" t="457200" r="19050" b="28575"/>
                <wp:wrapNone/>
                <wp:docPr id="87" name="Line Callout 1 256"/>
                <a:graphic xmlns:a="http://schemas.openxmlformats.org/drawingml/2006/main">
                  <a:graphicData uri="http://schemas.microsoft.com/office/word/2010/wordprocessingShape">
                    <wps:wsp>
                      <wps:cNvSpPr/>
                      <wps:spPr>
                        <a:xfrm>
                          <a:off x="0" y="0"/>
                          <a:ext cx="1600920" cy="353160"/>
                        </a:xfrm>
                        <a:prstGeom prst="borderCallout1">
                          <a:avLst>
                            <a:gd name="adj1" fmla="val 18750"/>
                            <a:gd name="adj2" fmla="val -8333"/>
                            <a:gd name="adj3" fmla="val -125791"/>
                            <a:gd name="adj4" fmla="val -125080"/>
                          </a:avLst>
                        </a:prstGeom>
                        <a:noFill/>
                        <a:ln w="25560">
                          <a:solidFill>
                            <a:srgbClr val="ff0000"/>
                          </a:solidFill>
                          <a:round/>
                        </a:ln>
                      </wps:spPr>
                      <wps:style>
                        <a:lnRef idx="0"/>
                        <a:fillRef idx="0"/>
                        <a:effectRef idx="0"/>
                        <a:fontRef idx="minor"/>
                      </wps:style>
                      <wps:txbx>
                        <w:txbxContent>
                          <w:p>
                            <w:pPr>
                              <w:pStyle w:val="Sadrajokvira"/>
                              <w:spacing w:before="80" w:after="160"/>
                              <w:jc w:val="center"/>
                              <w:rPr>
                                <w:b/>
                                <w:b/>
                                <w:sz w:val="20"/>
                              </w:rPr>
                            </w:pPr>
                            <w:r>
                              <w:rPr>
                                <w:b/>
                                <w:color w:val="000000"/>
                                <w:sz w:val="20"/>
                              </w:rPr>
                              <w:t>Grad Buje</w:t>
                            </w:r>
                          </w:p>
                        </w:txbxContent>
                      </wps:txbx>
                      <wps:bodyPr anchor="ctr">
                        <a:noAutofit/>
                      </wps:bodyPr>
                    </wps:wsp>
                  </a:graphicData>
                </a:graphic>
              </wp:anchor>
            </w:drawing>
          </mc:Choice>
          <mc:Fallback>
            <w:pict>
              <v:shapetype id="shapetype_180" coordsize="21600,21600" o:spt="180" adj="-8280,24300,-1800,4050" path="m,l21600,l21600,21600l,21600xem@1@0l@3@2nfe">
                <v:stroke joinstyle="miter"/>
                <v:formulas>
                  <v:f eqn="val #3"/>
                  <v:f eqn="val #2"/>
                  <v:f eqn="val #1"/>
                  <v:f eqn="val #0"/>
                </v:formulas>
                <v:path gradientshapeok="t" o:connecttype="rect" textboxrect="0,0,21600,21600"/>
                <v:handles>
                  <v:h position="@1,@0"/>
                  <v:h position="@3,@2"/>
                </v:handles>
              </v:shapetype>
              <v:shape id="shape_0" ID="Line Callout 1 256" stroked="t" style="position:absolute;margin-left:219.45pt;margin-top:158.75pt;width:126pt;height:27.75pt" wp14:anchorId="1127A555" type="shapetype_180">
                <w10:wrap type="square"/>
                <v:fill o:detectmouseclick="t" on="false"/>
                <v:stroke color="red" weight="25560" joinstyle="round" endcap="flat"/>
                <v:textbox>
                  <w:txbxContent>
                    <w:p>
                      <w:pPr>
                        <w:pStyle w:val="Sadrajokvira"/>
                        <w:spacing w:before="80" w:after="160"/>
                        <w:jc w:val="center"/>
                        <w:rPr>
                          <w:b/>
                          <w:b/>
                          <w:sz w:val="20"/>
                        </w:rPr>
                      </w:pPr>
                      <w:r>
                        <w:rPr>
                          <w:b/>
                          <w:color w:val="000000"/>
                          <w:sz w:val="20"/>
                        </w:rPr>
                        <w:t>Grad Buje</w:t>
                      </w:r>
                    </w:p>
                  </w:txbxContent>
                </v:textbox>
              </v:shape>
            </w:pict>
          </mc:Fallback>
        </mc:AlternateContent>
      </w:r>
    </w:p>
    <w:p>
      <w:pPr>
        <w:pStyle w:val="Normal"/>
        <w:spacing w:before="120" w:after="120"/>
        <w:jc w:val="center"/>
        <w:rPr>
          <w:b/>
          <w:b/>
          <w:bCs/>
          <w:i/>
          <w:i/>
          <w:color w:val="54883D"/>
          <w:sz w:val="20"/>
          <w:szCs w:val="18"/>
        </w:rPr>
      </w:pPr>
      <w:r>
        <w:rPr>
          <w:b/>
          <w:bCs/>
          <w:i/>
          <w:color w:val="54883D"/>
          <w:sz w:val="20"/>
          <w:szCs w:val="18"/>
        </w:rPr>
        <w:t>Izvor: Karte potresnih područja RH, PMF Zagreb</w:t>
      </w:r>
    </w:p>
    <w:p>
      <w:pPr>
        <w:pStyle w:val="Normal"/>
        <w:spacing w:before="120" w:after="120"/>
        <w:rPr>
          <w:rFonts w:eastAsia="Calibri" w:eastAsiaTheme="minorHAnsi"/>
          <w:iCs/>
        </w:rPr>
      </w:pPr>
      <w:r>
        <w:rPr>
          <w:rFonts w:eastAsia="Calibri" w:eastAsiaTheme="minorHAnsi"/>
          <w:iCs/>
        </w:rPr>
      </w:r>
    </w:p>
    <w:p>
      <w:pPr>
        <w:pStyle w:val="Normal"/>
        <w:rPr>
          <w:rFonts w:ascii="Arial Narrow" w:hAnsi="Arial Narrow"/>
          <w:lang w:bidi="en-US"/>
        </w:rPr>
      </w:pPr>
      <w:r>
        <w:rPr/>
        <w:t xml:space="preserve">Na Karti potresnih područja – Poredbeno vršno ubrzanje tla tipa A s vjerojatnosti premašaja 10% u 50 (povratno razdoblje 475 godina) izraženo u jedinicama gravitacijskog ubrzanja, g. Područje Grada Buja nalazi se u području vršnog ubrzanja tla za povratni period od 475 godina u području </w:t>
      </w:r>
      <w:r>
        <w:rPr>
          <w:lang w:bidi="en-US"/>
        </w:rPr>
        <w:t xml:space="preserve">0,08 g i 0,10 g </w:t>
      </w:r>
      <w:r>
        <w:rPr>
          <w:color w:val="auto"/>
          <w:lang w:bidi="en-US"/>
        </w:rPr>
        <w:t xml:space="preserve">što odgovara  6° i 7° po </w:t>
      </w:r>
      <w:r>
        <w:rPr>
          <w:lang w:bidi="en-US"/>
        </w:rPr>
        <w:t>MCS ljestvici.</w:t>
      </w:r>
    </w:p>
    <w:p>
      <w:pPr>
        <w:pStyle w:val="Normal"/>
        <w:spacing w:before="120" w:after="120"/>
        <w:rPr/>
      </w:pPr>
      <w:r>
        <w:rPr/>
      </w:r>
    </w:p>
    <w:p>
      <w:pPr>
        <w:pStyle w:val="Caption"/>
        <w:rPr/>
      </w:pPr>
      <w:r>
        <w:rPr/>
      </w:r>
      <w:bookmarkStart w:id="210" w:name="_Toc406573010"/>
      <w:bookmarkStart w:id="211" w:name="_Toc406573010"/>
    </w:p>
    <w:p>
      <w:pPr>
        <w:pStyle w:val="Caption"/>
        <w:rPr/>
      </w:pPr>
      <w:r>
        <w:rPr/>
      </w:r>
    </w:p>
    <w:p>
      <w:pPr>
        <w:pStyle w:val="Caption"/>
        <w:rPr/>
      </w:pPr>
      <w:r>
        <w:rPr/>
      </w:r>
    </w:p>
    <w:p>
      <w:pPr>
        <w:pStyle w:val="Caption"/>
        <w:rPr/>
      </w:pPr>
      <w:r>
        <w:rPr/>
      </w:r>
    </w:p>
    <w:p>
      <w:pPr>
        <w:pStyle w:val="Caption"/>
        <w:rPr/>
      </w:pPr>
      <w:r>
        <w:rPr/>
        <w:t>Slika 13. Intenzitet potresa za povratno razdoblje 475 godina</w:t>
      </w:r>
    </w:p>
    <w:p>
      <w:pPr>
        <w:pStyle w:val="Caption"/>
        <w:rPr/>
      </w:pPr>
      <w:r>
        <w:rPr/>
        <w:drawing>
          <wp:inline distT="0" distB="0" distL="0" distR="0">
            <wp:extent cx="4695825" cy="4429125"/>
            <wp:effectExtent l="0" t="0" r="0" b="0"/>
            <wp:docPr id="90"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1" descr=""/>
                    <pic:cNvPicPr>
                      <a:picLocks noChangeAspect="1" noChangeArrowheads="1"/>
                    </pic:cNvPicPr>
                  </pic:nvPicPr>
                  <pic:blipFill>
                    <a:blip r:embed="rId84"/>
                    <a:stretch>
                      <a:fillRect/>
                    </a:stretch>
                  </pic:blipFill>
                  <pic:spPr bwMode="auto">
                    <a:xfrm>
                      <a:off x="0" y="0"/>
                      <a:ext cx="4695825" cy="4429125"/>
                    </a:xfrm>
                    <a:prstGeom prst="rect">
                      <a:avLst/>
                    </a:prstGeom>
                  </pic:spPr>
                </pic:pic>
              </a:graphicData>
            </a:graphic>
          </wp:inline>
        </w:drawing>
      </w:r>
    </w:p>
    <w:p>
      <w:pPr>
        <w:pStyle w:val="Caption"/>
        <w:rPr/>
      </w:pPr>
      <w:r>
        <w:rPr/>
        <w:t>Izvor: Karte potresnih područja RH, PMF Zagreb</w:t>
      </w:r>
    </w:p>
    <w:p>
      <w:pPr>
        <w:pStyle w:val="Normal"/>
        <w:rPr>
          <w:rFonts w:cs="Calibri" w:cstheme="minorHAnsi"/>
        </w:rPr>
      </w:pPr>
      <w:r>
        <w:rPr>
          <w:rFonts w:cs="Calibri" w:cstheme="minorHAnsi"/>
        </w:rPr>
      </w:r>
    </w:p>
    <w:p>
      <w:pPr>
        <w:pStyle w:val="Normal"/>
        <w:rPr>
          <w:rFonts w:cs="Calibri" w:cstheme="minorHAnsi"/>
        </w:rPr>
      </w:pPr>
      <w:r>
        <w:rPr>
          <w:rFonts w:cs="Calibri" w:cstheme="minorHAnsi"/>
        </w:rPr>
        <w:t>Veza između vršnih ubrzanja i MCS ljestvice prikazana je u sljedećoj tablici.</w:t>
      </w:r>
    </w:p>
    <w:p>
      <w:pPr>
        <w:pStyle w:val="Normal"/>
        <w:rPr>
          <w:highlight w:val="yellow"/>
        </w:rPr>
      </w:pPr>
      <w:r>
        <w:rPr>
          <w:highlight w:val="yellow"/>
        </w:rPr>
      </w:r>
    </w:p>
    <w:p>
      <w:pPr>
        <w:pStyle w:val="Caption"/>
        <w:rPr/>
      </w:pPr>
      <w:r>
        <w:rPr/>
        <w:t xml:space="preserve">Tablica </w:t>
      </w:r>
      <w:r>
        <w:rPr/>
        <w:fldChar w:fldCharType="begin"/>
      </w:r>
      <w:r>
        <w:rPr/>
        <w:instrText> SEQ Tabela \* ARABIC </w:instrText>
      </w:r>
      <w:r>
        <w:rPr/>
        <w:fldChar w:fldCharType="separate"/>
      </w:r>
      <w:r>
        <w:rPr/>
        <w:t>31</w:t>
      </w:r>
      <w:r>
        <w:rPr/>
        <w:fldChar w:fldCharType="end"/>
      </w:r>
      <w:r>
        <w:rPr/>
        <w:t>. Veza između vrijednosti vršnog ubrzanja tla i MCS ljestvice</w:t>
      </w:r>
      <w:bookmarkEnd w:id="211"/>
    </w:p>
    <w:tbl>
      <w:tblPr>
        <w:tblStyle w:val="GridTable6Colorful-Accent31"/>
        <w:tblW w:w="5000" w:type="pct"/>
        <w:jc w:val="left"/>
        <w:tblInd w:w="0" w:type="dxa"/>
        <w:tblCellMar>
          <w:top w:w="0" w:type="dxa"/>
          <w:left w:w="108" w:type="dxa"/>
          <w:bottom w:w="0" w:type="dxa"/>
          <w:right w:w="108" w:type="dxa"/>
        </w:tblCellMar>
        <w:tblLook w:firstRow="1" w:noVBand="0" w:lastRow="0" w:firstColumn="1" w:lastColumn="0" w:noHBand="0" w:val="00a0"/>
      </w:tblPr>
      <w:tblGrid>
        <w:gridCol w:w="1027"/>
        <w:gridCol w:w="1770"/>
        <w:gridCol w:w="1615"/>
        <w:gridCol w:w="4657"/>
      </w:tblGrid>
      <w:tr>
        <w:trPr>
          <w:trHeight w:val="525" w:hRule="atLeast"/>
          <w:cnfStyle w:val="100000000000" w:firstRow="1" w:lastRow="0" w:firstColumn="0" w:lastColumn="0" w:oddVBand="0" w:evenVBand="0" w:oddHBand="0" w:evenHBand="0" w:firstRowFirstColumn="0" w:firstRowLastColumn="0" w:lastRowFirstColumn="0" w:lastRowLastColumn="0"/>
        </w:trPr>
        <w:tc>
          <w:tcPr>
            <w:tcW w:w="102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40" w:before="80" w:after="160"/>
              <w:jc w:val="center"/>
              <w:rPr>
                <w:sz w:val="20"/>
              </w:rPr>
            </w:pPr>
            <w:r>
              <w:rPr>
                <w:b/>
                <w:bCs/>
                <w:color w:val="76923C" w:themeColor="accent3" w:themeShade="bf"/>
                <w:sz w:val="20"/>
              </w:rPr>
              <w:t>MCS stupanj potresa</w:t>
            </w:r>
          </w:p>
        </w:tc>
        <w:tc>
          <w:tcPr>
            <w:tcW w:w="1770" w:type="dxa"/>
            <w:cnfStyle w:val="000010000000" w:firstRow="0" w:lastRow="0" w:firstColumn="0" w:lastColumn="0" w:oddVBand="1"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40" w:before="80" w:after="160"/>
              <w:jc w:val="center"/>
              <w:rPr>
                <w:b w:val="false"/>
                <w:b w:val="false"/>
                <w:bCs w:val="false"/>
                <w:sz w:val="20"/>
              </w:rPr>
            </w:pPr>
            <w:r>
              <w:rPr>
                <w:b/>
                <w:bCs/>
                <w:color w:val="76923C" w:themeColor="accent3" w:themeShade="bf"/>
                <w:sz w:val="20"/>
              </w:rPr>
              <w:t>VRŠNO UBRZANJE TLA</w:t>
            </w:r>
          </w:p>
          <w:p>
            <w:pPr>
              <w:pStyle w:val="Normal"/>
              <w:spacing w:lineRule="auto" w:line="240" w:before="80" w:after="160"/>
              <w:jc w:val="center"/>
              <w:rPr>
                <w:sz w:val="20"/>
              </w:rPr>
            </w:pPr>
            <w:r>
              <w:rPr>
                <w:b w:val="false"/>
                <w:bCs/>
                <w:color w:val="76923C" w:themeColor="accent3" w:themeShade="bf"/>
                <w:sz w:val="20"/>
              </w:rPr>
              <w:t>(jedinica gravitacijskog ubrzanja, g)</w:t>
            </w:r>
          </w:p>
        </w:tc>
        <w:tc>
          <w:tcPr>
            <w:tcW w:w="1615" w:type="dxa"/>
            <w:tcBorders>
              <w:bottom w:val="single" w:sz="12" w:space="0" w:color="C2D69B"/>
            </w:tcBorders>
            <w:shd w:color="auto" w:fill="EAF1DD" w:themeFill="accent3" w:themeFillTint="33"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NAZIV POTRESA</w:t>
            </w:r>
          </w:p>
        </w:tc>
        <w:tc>
          <w:tcPr>
            <w:tcW w:w="4657" w:type="dxa"/>
            <w:cnfStyle w:val="000010000000" w:firstRow="0" w:lastRow="0" w:firstColumn="0" w:lastColumn="0" w:oddVBand="1"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40" w:before="80" w:after="160"/>
              <w:jc w:val="center"/>
              <w:rPr>
                <w:sz w:val="20"/>
              </w:rPr>
            </w:pPr>
            <w:r>
              <w:rPr>
                <w:b/>
                <w:bCs/>
                <w:color w:val="76923C" w:themeColor="accent3" w:themeShade="bf"/>
                <w:sz w:val="20"/>
              </w:rPr>
              <w:t>OPIS POTRESA</w:t>
            </w:r>
          </w:p>
        </w:tc>
      </w:tr>
      <w:tr>
        <w:trPr>
          <w:trHeight w:val="1057" w:hRule="atLeast"/>
          <w:cnfStyle w:val="000000100000" w:firstRow="0" w:lastRow="0" w:firstColumn="0" w:lastColumn="0" w:oddVBand="0" w:evenVBand="0" w:oddHBand="1" w:evenHBand="0" w:firstRowFirstColumn="0" w:firstRowLastColumn="0" w:lastRowFirstColumn="0" w:lastRowLastColumn="0"/>
        </w:trPr>
        <w:tc>
          <w:tcPr>
            <w:tcW w:w="102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b/>
                <w:bCs/>
                <w:color w:val="76923C" w:themeColor="accent3" w:themeShade="bf"/>
                <w:sz w:val="20"/>
              </w:rPr>
              <w:t>VI.</w:t>
            </w:r>
          </w:p>
        </w:tc>
        <w:tc>
          <w:tcPr>
            <w:tcW w:w="1770"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color w:val="76923C" w:themeColor="accent3" w:themeShade="bf"/>
                <w:sz w:val="20"/>
              </w:rPr>
              <w:t>0,05 g</w:t>
            </w:r>
          </w:p>
        </w:tc>
        <w:tc>
          <w:tcPr>
            <w:tcW w:w="1615" w:type="dxa"/>
            <w:tcBorders/>
            <w:shd w:color="auto" w:fill="FFFFFF" w:themeFill="background1" w:val="clear"/>
            <w:vAlign w:val="center"/>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jak</w:t>
            </w:r>
          </w:p>
        </w:tc>
        <w:tc>
          <w:tcPr>
            <w:tcW w:w="4657"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tcPr>
          <w:p>
            <w:pPr>
              <w:pStyle w:val="Normal"/>
              <w:spacing w:lineRule="auto" w:line="240" w:before="120" w:after="120"/>
              <w:rPr>
                <w:i/>
                <w:i/>
                <w:sz w:val="20"/>
              </w:rPr>
            </w:pPr>
            <w:r>
              <w:rPr>
                <w:color w:val="76923C" w:themeColor="accent3" w:themeShade="bf"/>
                <w:sz w:val="20"/>
              </w:rPr>
              <w:t>Ljudi bježe iz zgrada. Sa zidova padaju slike, ruše se predmeti, razbija se posuđe, pomiče ili prevrće pokućstvo. Zvone manja crkvena zvona. Lagano se oštećuju pojedine dobro građene kuće.</w:t>
            </w:r>
          </w:p>
        </w:tc>
      </w:tr>
      <w:tr>
        <w:trPr>
          <w:trHeight w:val="606" w:hRule="atLeast"/>
        </w:trPr>
        <w:tc>
          <w:tcPr>
            <w:tcW w:w="102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b/>
                <w:bCs/>
                <w:color w:val="76923C" w:themeColor="accent3" w:themeShade="bf"/>
                <w:sz w:val="20"/>
              </w:rPr>
              <w:t>VII.</w:t>
            </w:r>
          </w:p>
        </w:tc>
        <w:tc>
          <w:tcPr>
            <w:tcW w:w="1770"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color w:val="76923C" w:themeColor="accent3" w:themeShade="bf"/>
                <w:sz w:val="20"/>
              </w:rPr>
              <w:t>0,1 g</w:t>
            </w:r>
          </w:p>
        </w:tc>
        <w:tc>
          <w:tcPr>
            <w:tcW w:w="1615" w:type="dxa"/>
            <w:tcBorders/>
            <w:shd w:color="auto" w:fill="FFFFFF" w:themeFill="background1" w:val="clear"/>
            <w:vAlign w:val="center"/>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vrlo jak</w:t>
            </w:r>
          </w:p>
        </w:tc>
        <w:tc>
          <w:tcPr>
            <w:tcW w:w="4657"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tcPr>
          <w:p>
            <w:pPr>
              <w:pStyle w:val="Normal"/>
              <w:spacing w:lineRule="auto" w:line="240" w:before="120" w:after="120"/>
              <w:rPr>
                <w:i/>
                <w:i/>
                <w:sz w:val="20"/>
              </w:rPr>
            </w:pPr>
            <w:r>
              <w:rPr>
                <w:color w:val="76923C" w:themeColor="accent3" w:themeShade="bf"/>
                <w:sz w:val="20"/>
              </w:rPr>
              <w:t>Crijepovi se lome i kližu s krova, ruše se dimnjaci. Oštećuje se pokućstvo u zgradama. Ruše se slabije građene zgrade, a na jačima nastaju oštećenja.</w:t>
            </w:r>
          </w:p>
        </w:tc>
      </w:tr>
      <w:tr>
        <w:trPr>
          <w:trHeight w:val="787" w:hRule="atLeast"/>
          <w:cnfStyle w:val="000000100000" w:firstRow="0" w:lastRow="0" w:firstColumn="0" w:lastColumn="0" w:oddVBand="0" w:evenVBand="0" w:oddHBand="1" w:evenHBand="0" w:firstRowFirstColumn="0" w:firstRowLastColumn="0" w:lastRowFirstColumn="0" w:lastRowLastColumn="0"/>
        </w:trPr>
        <w:tc>
          <w:tcPr>
            <w:tcW w:w="102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b/>
                <w:bCs/>
                <w:color w:val="76923C" w:themeColor="accent3" w:themeShade="bf"/>
                <w:sz w:val="20"/>
              </w:rPr>
              <w:t>VIII.</w:t>
            </w:r>
          </w:p>
        </w:tc>
        <w:tc>
          <w:tcPr>
            <w:tcW w:w="1770"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color w:val="76923C" w:themeColor="accent3" w:themeShade="bf"/>
                <w:sz w:val="20"/>
              </w:rPr>
              <w:t>0,2 g</w:t>
            </w:r>
          </w:p>
        </w:tc>
        <w:tc>
          <w:tcPr>
            <w:tcW w:w="1615" w:type="dxa"/>
            <w:tcBorders/>
            <w:shd w:color="auto" w:fill="FFFFFF" w:themeFill="background1" w:val="clear"/>
            <w:vAlign w:val="center"/>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razoran</w:t>
            </w:r>
          </w:p>
        </w:tc>
        <w:tc>
          <w:tcPr>
            <w:tcW w:w="4657"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tcPr>
          <w:p>
            <w:pPr>
              <w:pStyle w:val="Normal"/>
              <w:spacing w:lineRule="auto" w:line="240" w:before="120" w:after="120"/>
              <w:rPr>
                <w:i/>
                <w:i/>
                <w:sz w:val="20"/>
              </w:rPr>
            </w:pPr>
            <w:r>
              <w:rPr>
                <w:color w:val="76923C" w:themeColor="accent3" w:themeShade="bf"/>
                <w:sz w:val="20"/>
              </w:rPr>
              <w:t>Znatno oštećuje do 25% zgrada. Pojedine se kuće ruše, a veliki broj ih je neprikladan za stanovanje. U tlu nastaju pukotine, a na padinama klizišta.</w:t>
            </w:r>
          </w:p>
        </w:tc>
      </w:tr>
      <w:tr>
        <w:trPr>
          <w:trHeight w:val="910" w:hRule="atLeast"/>
        </w:trPr>
        <w:tc>
          <w:tcPr>
            <w:tcW w:w="102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b/>
                <w:bCs/>
                <w:color w:val="76923C" w:themeColor="accent3" w:themeShade="bf"/>
                <w:sz w:val="20"/>
              </w:rPr>
              <w:t>IX.</w:t>
            </w:r>
          </w:p>
        </w:tc>
        <w:tc>
          <w:tcPr>
            <w:tcW w:w="1770"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160"/>
              <w:jc w:val="center"/>
              <w:rPr>
                <w:sz w:val="20"/>
              </w:rPr>
            </w:pPr>
            <w:r>
              <w:rPr>
                <w:color w:val="76923C" w:themeColor="accent3" w:themeShade="bf"/>
                <w:sz w:val="20"/>
              </w:rPr>
              <w:t>0,3 g</w:t>
            </w:r>
          </w:p>
        </w:tc>
        <w:tc>
          <w:tcPr>
            <w:tcW w:w="1615" w:type="dxa"/>
            <w:tcBorders/>
            <w:shd w:color="auto" w:fill="FFFFFF" w:themeFill="background1" w:val="clear"/>
            <w:vAlign w:val="center"/>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pustošni</w:t>
            </w:r>
          </w:p>
        </w:tc>
        <w:tc>
          <w:tcPr>
            <w:tcW w:w="4657" w:type="dxa"/>
            <w:cnfStyle w:val="000010000000" w:firstRow="0" w:lastRow="0" w:firstColumn="0" w:lastColumn="0" w:oddVBand="1" w:evenVBand="0" w:oddHBand="0" w:evenHBand="0" w:firstRowFirstColumn="0" w:firstRowLastColumn="0" w:lastRowFirstColumn="0" w:lastRowLastColumn="0"/>
            <w:tcBorders/>
            <w:shd w:color="auto" w:fill="FFFFFF" w:themeFill="background1" w:val="clear"/>
          </w:tcPr>
          <w:p>
            <w:pPr>
              <w:pStyle w:val="Normal"/>
              <w:spacing w:lineRule="auto" w:line="240" w:before="120" w:after="120"/>
              <w:rPr>
                <w:i/>
                <w:i/>
                <w:sz w:val="20"/>
              </w:rPr>
            </w:pPr>
            <w:r>
              <w:rPr>
                <w:color w:val="76923C" w:themeColor="accent3" w:themeShade="bf"/>
                <w:sz w:val="20"/>
              </w:rPr>
              <w:t>Oštećuje 50% zgrada. Mnoge se zgrade ruše, a većina ih je neupotrebljiva. U tlu se javljaju velike pukotine, a na padinama klizišta i odroni.</w:t>
            </w:r>
          </w:p>
        </w:tc>
      </w:tr>
    </w:tbl>
    <w:p>
      <w:pPr>
        <w:pStyle w:val="NoSpacing"/>
        <w:rPr>
          <w:highlight w:val="yellow"/>
        </w:rPr>
      </w:pPr>
      <w:r>
        <w:rPr>
          <w:highlight w:val="yellow"/>
        </w:rPr>
      </w:r>
    </w:p>
    <w:p>
      <w:pPr>
        <w:pStyle w:val="Normal"/>
        <w:rPr/>
      </w:pPr>
      <w:r>
        <w:rPr/>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pPr>
        <w:pStyle w:val="Normal"/>
        <w:spacing w:before="120" w:after="120"/>
        <w:jc w:val="center"/>
        <w:rPr>
          <w:b/>
          <w:b/>
          <w:bCs/>
          <w:i/>
          <w:i/>
          <w:color w:val="54883D"/>
          <w:sz w:val="20"/>
          <w:szCs w:val="18"/>
        </w:rPr>
      </w:pPr>
      <w:r>
        <w:rPr>
          <w:b/>
          <w:bCs/>
          <w:i/>
          <w:color w:val="54883D"/>
          <w:sz w:val="20"/>
          <w:szCs w:val="18"/>
        </w:rPr>
      </w:r>
    </w:p>
    <w:p>
      <w:pPr>
        <w:pStyle w:val="Normal"/>
        <w:spacing w:before="120" w:after="120"/>
        <w:jc w:val="center"/>
        <w:rPr>
          <w:b/>
          <w:b/>
          <w:bCs/>
          <w:i/>
          <w:i/>
          <w:color w:val="54883D"/>
          <w:sz w:val="20"/>
          <w:szCs w:val="18"/>
        </w:rPr>
      </w:pPr>
      <w:r>
        <w:rPr>
          <w:b/>
          <w:bCs/>
          <w:i/>
          <w:color w:val="54883D"/>
          <w:sz w:val="20"/>
          <w:szCs w:val="18"/>
        </w:rPr>
        <w:t xml:space="preserve">Tablica </w:t>
      </w:r>
      <w:r>
        <w:rPr>
          <w:b/>
          <w:bCs/>
          <w:i/>
          <w:color w:val="54883D"/>
          <w:sz w:val="20"/>
          <w:szCs w:val="18"/>
        </w:rPr>
        <w:fldChar w:fldCharType="begin"/>
      </w:r>
      <w:r>
        <w:rPr>
          <w:sz w:val="20"/>
          <w:i/>
          <w:b/>
          <w:szCs w:val="18"/>
          <w:bCs/>
          <w:color w:val="54883D"/>
        </w:rPr>
        <w:instrText> SEQ Tabela \* ARABIC </w:instrText>
      </w:r>
      <w:r>
        <w:rPr>
          <w:sz w:val="20"/>
          <w:i/>
          <w:b/>
          <w:szCs w:val="18"/>
          <w:bCs/>
          <w:color w:val="54883D"/>
        </w:rPr>
        <w:fldChar w:fldCharType="separate"/>
      </w:r>
      <w:r>
        <w:rPr>
          <w:sz w:val="20"/>
          <w:i/>
          <w:b/>
          <w:szCs w:val="18"/>
          <w:bCs/>
          <w:color w:val="54883D"/>
        </w:rPr>
        <w:t>32</w:t>
      </w:r>
      <w:r>
        <w:rPr>
          <w:sz w:val="20"/>
          <w:i/>
          <w:b/>
          <w:szCs w:val="18"/>
          <w:bCs/>
          <w:color w:val="54883D"/>
        </w:rPr>
        <w:fldChar w:fldCharType="end"/>
      </w:r>
      <w:r>
        <w:rPr>
          <w:b/>
          <w:bCs/>
          <w:i/>
          <w:color w:val="54883D"/>
          <w:sz w:val="20"/>
          <w:szCs w:val="18"/>
        </w:rPr>
        <w:t>.  Stupnjevi oštećenja za zidane građevine prema EMS-98 klasifikaciji</w:t>
      </w:r>
    </w:p>
    <w:tbl>
      <w:tblPr>
        <w:tblStyle w:val="TableGrid"/>
        <w:tblW w:w="9102" w:type="dxa"/>
        <w:jc w:val="left"/>
        <w:tblInd w:w="0" w:type="dxa"/>
        <w:tblCellMar>
          <w:top w:w="0" w:type="dxa"/>
          <w:left w:w="108" w:type="dxa"/>
          <w:bottom w:w="0" w:type="dxa"/>
          <w:right w:w="108" w:type="dxa"/>
        </w:tblCellMar>
        <w:tblLook w:firstRow="1" w:noVBand="1" w:lastRow="0" w:firstColumn="1" w:lastColumn="0" w:noHBand="0" w:val="04a0"/>
      </w:tblPr>
      <w:tblGrid>
        <w:gridCol w:w="1306"/>
        <w:gridCol w:w="3508"/>
        <w:gridCol w:w="4288"/>
      </w:tblGrid>
      <w:tr>
        <w:trPr>
          <w:tblHeader w:val="true"/>
        </w:trPr>
        <w:tc>
          <w:tcPr>
            <w:tcW w:w="13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Kategorija</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Skica</w:t>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Opis</w:t>
            </w:r>
          </w:p>
        </w:tc>
      </w:tr>
      <w:tr>
        <w:trPr/>
        <w:tc>
          <w:tcPr>
            <w:tcW w:w="1306"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1983740" cy="1149350"/>
                  <wp:effectExtent l="0" t="0" r="0" b="0"/>
                  <wp:docPr id="91" name="Slika 4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lika 458" descr=""/>
                          <pic:cNvPicPr>
                            <a:picLocks noChangeAspect="1" noChangeArrowheads="1"/>
                          </pic:cNvPicPr>
                        </pic:nvPicPr>
                        <pic:blipFill>
                          <a:blip r:embed="rId85"/>
                          <a:stretch>
                            <a:fillRect/>
                          </a:stretch>
                        </pic:blipFill>
                        <pic:spPr bwMode="auto">
                          <a:xfrm>
                            <a:off x="0" y="0"/>
                            <a:ext cx="1983740" cy="1149350"/>
                          </a:xfrm>
                          <a:prstGeom prst="rect">
                            <a:avLst/>
                          </a:prstGeom>
                        </pic:spPr>
                      </pic:pic>
                    </a:graphicData>
                  </a:graphic>
                </wp:inline>
              </w:drawing>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Neznatno do blago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zanemarivo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blago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Vrlo tanke pukotine u ponekim zidovima.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malih komada žbuke.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Vrlo rijetko otpadanje pojedinačnih odvojenih dijelova zida.</w:t>
            </w:r>
          </w:p>
        </w:tc>
      </w:tr>
      <w:tr>
        <w:trPr/>
        <w:tc>
          <w:tcPr>
            <w:tcW w:w="1306"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II.</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1924050" cy="1011555"/>
                  <wp:effectExtent l="0" t="0" r="0" b="0"/>
                  <wp:docPr id="92" name="Slika 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lika 459" descr=""/>
                          <pic:cNvPicPr>
                            <a:picLocks noChangeAspect="1" noChangeArrowheads="1"/>
                          </pic:cNvPicPr>
                        </pic:nvPicPr>
                        <pic:blipFill>
                          <a:blip r:embed="rId86"/>
                          <a:stretch>
                            <a:fillRect/>
                          </a:stretch>
                        </pic:blipFill>
                        <pic:spPr bwMode="auto">
                          <a:xfrm>
                            <a:off x="0" y="0"/>
                            <a:ext cx="1924050" cy="1011555"/>
                          </a:xfrm>
                          <a:prstGeom prst="rect">
                            <a:avLst/>
                          </a:prstGeom>
                        </pic:spPr>
                      </pic:pic>
                    </a:graphicData>
                  </a:graphic>
                </wp:inline>
              </w:drawing>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Umjereno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blago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umjereno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Pukotine u brojnim zidovima.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većih komada žbuke.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Djelomično otkazivanje dimnjaka.</w:t>
            </w:r>
          </w:p>
        </w:tc>
      </w:tr>
      <w:tr>
        <w:trPr/>
        <w:tc>
          <w:tcPr>
            <w:tcW w:w="1306"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III.</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1891030" cy="1147445"/>
                  <wp:effectExtent l="0" t="0" r="0" b="0"/>
                  <wp:docPr id="93" name="Slika 4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lika 460" descr=""/>
                          <pic:cNvPicPr>
                            <a:picLocks noChangeAspect="1" noChangeArrowheads="1"/>
                          </pic:cNvPicPr>
                        </pic:nvPicPr>
                        <pic:blipFill>
                          <a:blip r:embed="rId87"/>
                          <a:stretch>
                            <a:fillRect/>
                          </a:stretch>
                        </pic:blipFill>
                        <pic:spPr bwMode="auto">
                          <a:xfrm>
                            <a:off x="0" y="0"/>
                            <a:ext cx="1891030" cy="1147445"/>
                          </a:xfrm>
                          <a:prstGeom prst="rect">
                            <a:avLst/>
                          </a:prstGeom>
                        </pic:spPr>
                      </pic:pic>
                    </a:graphicData>
                  </a:graphic>
                </wp:inline>
              </w:drawing>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Značajno do teško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umjereno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teško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Velike, razvedene pukotine u većini zidova.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crijepa.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Otkazivanje dimnjaka u razini krova.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Otkazivanja pojedinačnih nekonstruktivnih elemenata (pregradni, zabatni zidovi).</w:t>
            </w:r>
          </w:p>
        </w:tc>
      </w:tr>
      <w:tr>
        <w:trPr/>
        <w:tc>
          <w:tcPr>
            <w:tcW w:w="1306"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IV.</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233930" cy="1106805"/>
                  <wp:effectExtent l="0" t="0" r="0" b="0"/>
                  <wp:docPr id="94" name="Slika 4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lika 461" descr=""/>
                          <pic:cNvPicPr>
                            <a:picLocks noChangeAspect="1" noChangeArrowheads="1"/>
                          </pic:cNvPicPr>
                        </pic:nvPicPr>
                        <pic:blipFill>
                          <a:blip r:embed="rId88"/>
                          <a:stretch>
                            <a:fillRect/>
                          </a:stretch>
                        </pic:blipFill>
                        <pic:spPr bwMode="auto">
                          <a:xfrm>
                            <a:off x="0" y="0"/>
                            <a:ext cx="2233930" cy="1106805"/>
                          </a:xfrm>
                          <a:prstGeom prst="rect">
                            <a:avLst/>
                          </a:prstGeom>
                        </pic:spPr>
                      </pic:pic>
                    </a:graphicData>
                  </a:graphic>
                </wp:inline>
              </w:drawing>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Vrlo teško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teško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vrlo teško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Značajno otkazivanje zidova.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Djelomično otkazivanje konstrukcija krovova i međukatnih konstrukcija.</w:t>
            </w:r>
          </w:p>
        </w:tc>
      </w:tr>
      <w:tr>
        <w:trPr/>
        <w:tc>
          <w:tcPr>
            <w:tcW w:w="1306"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w:t>
            </w:r>
          </w:p>
        </w:tc>
        <w:tc>
          <w:tcPr>
            <w:tcW w:w="35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182495" cy="771525"/>
                  <wp:effectExtent l="0" t="0" r="0" b="0"/>
                  <wp:docPr id="95" name="Slika 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lika 462" descr=""/>
                          <pic:cNvPicPr>
                            <a:picLocks noChangeAspect="1" noChangeArrowheads="1"/>
                          </pic:cNvPicPr>
                        </pic:nvPicPr>
                        <pic:blipFill>
                          <a:blip r:embed="rId89"/>
                          <a:stretch>
                            <a:fillRect/>
                          </a:stretch>
                        </pic:blipFill>
                        <pic:spPr bwMode="auto">
                          <a:xfrm>
                            <a:off x="0" y="0"/>
                            <a:ext cx="2182495" cy="771525"/>
                          </a:xfrm>
                          <a:prstGeom prst="rect">
                            <a:avLst/>
                          </a:prstGeom>
                        </pic:spPr>
                      </pic:pic>
                    </a:graphicData>
                  </a:graphic>
                </wp:inline>
              </w:drawing>
            </w:r>
          </w:p>
        </w:tc>
        <w:tc>
          <w:tcPr>
            <w:tcW w:w="428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Otkazivanje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vrlo teško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Potpuno ili gotovo potpuno rušenje.</w:t>
            </w:r>
          </w:p>
        </w:tc>
      </w:tr>
    </w:tbl>
    <w:p>
      <w:pPr>
        <w:pStyle w:val="Normal"/>
        <w:spacing w:before="120" w:after="120"/>
        <w:jc w:val="center"/>
        <w:rPr>
          <w:b/>
          <w:b/>
          <w:bCs/>
          <w:i/>
          <w:i/>
          <w:color w:val="54883D"/>
          <w:sz w:val="20"/>
          <w:szCs w:val="18"/>
        </w:rPr>
      </w:pPr>
      <w:r>
        <w:rPr>
          <w:b/>
          <w:bCs/>
          <w:i/>
          <w:color w:val="54883D"/>
          <w:sz w:val="20"/>
          <w:szCs w:val="18"/>
        </w:rPr>
      </w:r>
    </w:p>
    <w:p>
      <w:pPr>
        <w:pStyle w:val="Normal"/>
        <w:spacing w:before="0" w:after="200"/>
        <w:jc w:val="center"/>
        <w:rPr>
          <w:b/>
          <w:b/>
          <w:bCs/>
          <w:i/>
          <w:i/>
          <w:color w:val="54883D"/>
          <w:sz w:val="20"/>
          <w:szCs w:val="18"/>
        </w:rPr>
      </w:pPr>
      <w:r>
        <w:rPr>
          <w:b/>
          <w:bCs/>
          <w:i/>
          <w:color w:val="54883D"/>
          <w:sz w:val="20"/>
          <w:szCs w:val="18"/>
        </w:rPr>
        <w:t xml:space="preserve">Tablica </w:t>
      </w:r>
      <w:r>
        <w:rPr>
          <w:b/>
          <w:bCs/>
          <w:i/>
          <w:color w:val="54883D"/>
          <w:sz w:val="20"/>
          <w:szCs w:val="18"/>
        </w:rPr>
        <w:fldChar w:fldCharType="begin"/>
      </w:r>
      <w:r>
        <w:rPr>
          <w:sz w:val="20"/>
          <w:i/>
          <w:b/>
          <w:szCs w:val="18"/>
          <w:bCs/>
          <w:color w:val="54883D"/>
        </w:rPr>
        <w:instrText> SEQ Tabela \* ARABIC </w:instrText>
      </w:r>
      <w:r>
        <w:rPr>
          <w:sz w:val="20"/>
          <w:i/>
          <w:b/>
          <w:szCs w:val="18"/>
          <w:bCs/>
          <w:color w:val="54883D"/>
        </w:rPr>
        <w:fldChar w:fldCharType="separate"/>
      </w:r>
      <w:r>
        <w:rPr>
          <w:sz w:val="20"/>
          <w:i/>
          <w:b/>
          <w:szCs w:val="18"/>
          <w:bCs/>
          <w:color w:val="54883D"/>
        </w:rPr>
        <w:t>33</w:t>
      </w:r>
      <w:r>
        <w:rPr>
          <w:sz w:val="20"/>
          <w:i/>
          <w:b/>
          <w:szCs w:val="18"/>
          <w:bCs/>
          <w:color w:val="54883D"/>
        </w:rPr>
        <w:fldChar w:fldCharType="end"/>
      </w:r>
      <w:r>
        <w:rPr>
          <w:b/>
          <w:bCs/>
          <w:i/>
          <w:color w:val="54883D"/>
          <w:sz w:val="20"/>
          <w:szCs w:val="18"/>
        </w:rPr>
        <w:t>.  Stupnjevi oštećenja za AB građevne prema EMS-98 klasifikaciji</w:t>
      </w:r>
    </w:p>
    <w:tbl>
      <w:tblPr>
        <w:tblStyle w:val="TableGrid"/>
        <w:tblW w:w="9445" w:type="dxa"/>
        <w:jc w:val="left"/>
        <w:tblInd w:w="0" w:type="dxa"/>
        <w:tblCellMar>
          <w:top w:w="0" w:type="dxa"/>
          <w:left w:w="108" w:type="dxa"/>
          <w:bottom w:w="0" w:type="dxa"/>
          <w:right w:w="108" w:type="dxa"/>
        </w:tblCellMar>
        <w:tblLook w:firstRow="1" w:noVBand="1" w:lastRow="0" w:firstColumn="1" w:lastColumn="0" w:noHBand="0" w:val="04a0"/>
      </w:tblPr>
      <w:tblGrid>
        <w:gridCol w:w="1305"/>
        <w:gridCol w:w="3510"/>
        <w:gridCol w:w="4630"/>
      </w:tblGrid>
      <w:tr>
        <w:trPr>
          <w:tblHeader w:val="true"/>
        </w:trPr>
        <w:tc>
          <w:tcPr>
            <w:tcW w:w="130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Kategorija</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Skica</w:t>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Opis</w:t>
            </w:r>
          </w:p>
        </w:tc>
      </w:tr>
      <w:tr>
        <w:trPr/>
        <w:tc>
          <w:tcPr>
            <w:tcW w:w="1305"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044700" cy="810895"/>
                  <wp:effectExtent l="0" t="0" r="0" b="0"/>
                  <wp:docPr id="96" name="Slika 4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lika 469" descr=""/>
                          <pic:cNvPicPr>
                            <a:picLocks noChangeAspect="1" noChangeArrowheads="1"/>
                          </pic:cNvPicPr>
                        </pic:nvPicPr>
                        <pic:blipFill>
                          <a:blip r:embed="rId90"/>
                          <a:stretch>
                            <a:fillRect/>
                          </a:stretch>
                        </pic:blipFill>
                        <pic:spPr bwMode="auto">
                          <a:xfrm>
                            <a:off x="0" y="0"/>
                            <a:ext cx="2044700" cy="810895"/>
                          </a:xfrm>
                          <a:prstGeom prst="rect">
                            <a:avLst/>
                          </a:prstGeom>
                        </pic:spPr>
                      </pic:pic>
                    </a:graphicData>
                  </a:graphic>
                </wp:inline>
              </w:drawing>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Neznatno do blago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zanemarivo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blago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Tanke pukotine u žbuci okvirnih elemenata ili zidova prizemlja.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Tanke pukotine u pregradnim zidovima i ispuni.</w:t>
            </w:r>
          </w:p>
        </w:tc>
      </w:tr>
      <w:tr>
        <w:trPr/>
        <w:tc>
          <w:tcPr>
            <w:tcW w:w="1305"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II.</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044700" cy="888365"/>
                  <wp:effectExtent l="0" t="0" r="0" b="0"/>
                  <wp:docPr id="97" name="Slika 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lika 470" descr=""/>
                          <pic:cNvPicPr>
                            <a:picLocks noChangeAspect="1" noChangeArrowheads="1"/>
                          </pic:cNvPicPr>
                        </pic:nvPicPr>
                        <pic:blipFill>
                          <a:blip r:embed="rId91"/>
                          <a:stretch>
                            <a:fillRect/>
                          </a:stretch>
                        </pic:blipFill>
                        <pic:spPr bwMode="auto">
                          <a:xfrm>
                            <a:off x="0" y="0"/>
                            <a:ext cx="2044700" cy="888365"/>
                          </a:xfrm>
                          <a:prstGeom prst="rect">
                            <a:avLst/>
                          </a:prstGeom>
                        </pic:spPr>
                      </pic:pic>
                    </a:graphicData>
                  </a:graphic>
                </wp:inline>
              </w:drawing>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Umjereno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blago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umjereno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Pukotine u stupovima, gredama ili nosivim zidovima.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Pukotine u pregradnim zidovima i ispuni.</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lomljive obloge i žbuke.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morta iz sljubnica nenosivog zida.</w:t>
            </w:r>
          </w:p>
        </w:tc>
      </w:tr>
      <w:tr>
        <w:trPr/>
        <w:tc>
          <w:tcPr>
            <w:tcW w:w="1305"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III.</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044700" cy="1017905"/>
                  <wp:effectExtent l="0" t="0" r="0" b="0"/>
                  <wp:docPr id="98" name="Slika 4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lika 471" descr=""/>
                          <pic:cNvPicPr>
                            <a:picLocks noChangeAspect="1" noChangeArrowheads="1"/>
                          </pic:cNvPicPr>
                        </pic:nvPicPr>
                        <pic:blipFill>
                          <a:blip r:embed="rId92"/>
                          <a:stretch>
                            <a:fillRect/>
                          </a:stretch>
                        </pic:blipFill>
                        <pic:spPr bwMode="auto">
                          <a:xfrm>
                            <a:off x="0" y="0"/>
                            <a:ext cx="2044700" cy="1017905"/>
                          </a:xfrm>
                          <a:prstGeom prst="rect">
                            <a:avLst/>
                          </a:prstGeom>
                        </pic:spPr>
                      </pic:pic>
                    </a:graphicData>
                  </a:graphic>
                </wp:inline>
              </w:drawing>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Značajno do teško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umjereno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teško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Pukotine u spojevima okvira u prizemlju i spojevima povezanih zidova.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Otpadanje zaštitnog sloja betona.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Izvijanje šipki armature.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Velike pukotine u pregradnim zidovima.</w:t>
            </w:r>
          </w:p>
        </w:tc>
      </w:tr>
      <w:tr>
        <w:trPr/>
        <w:tc>
          <w:tcPr>
            <w:tcW w:w="1305"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IV.</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044700" cy="1017905"/>
                  <wp:effectExtent l="0" t="0" r="0" b="0"/>
                  <wp:docPr id="99" name="Slika 4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lika 472" descr=""/>
                          <pic:cNvPicPr>
                            <a:picLocks noChangeAspect="1" noChangeArrowheads="1"/>
                          </pic:cNvPicPr>
                        </pic:nvPicPr>
                        <pic:blipFill>
                          <a:blip r:embed="rId93"/>
                          <a:stretch>
                            <a:fillRect/>
                          </a:stretch>
                        </pic:blipFill>
                        <pic:spPr bwMode="auto">
                          <a:xfrm>
                            <a:off x="0" y="0"/>
                            <a:ext cx="2044700" cy="1017905"/>
                          </a:xfrm>
                          <a:prstGeom prst="rect">
                            <a:avLst/>
                          </a:prstGeom>
                        </pic:spPr>
                      </pic:pic>
                    </a:graphicData>
                  </a:graphic>
                </wp:inline>
              </w:drawing>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Vrlo teško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teško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vrlo teško nekonstruktivno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Velike pukotine u konstruktivnim elementima uz otkazivanje betona u tlaku.</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Lom i proklizavanje armature.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Naginjanje stupova, otkazivanje nekoliko stupova</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xml:space="preserve"> </w:t>
            </w:r>
            <w:r>
              <w:rPr>
                <w:rFonts w:eastAsia="Calibri" w:cs="Times New Roman" w:ascii="Times New Roman" w:hAnsi="Times New Roman"/>
                <w:color w:val="auto"/>
                <w:sz w:val="20"/>
                <w:szCs w:val="20"/>
                <w:lang w:eastAsia="hr-HR"/>
              </w:rPr>
              <w:t>i cijelog gornjeg kata.</w:t>
            </w:r>
          </w:p>
        </w:tc>
      </w:tr>
      <w:tr>
        <w:trPr/>
        <w:tc>
          <w:tcPr>
            <w:tcW w:w="1305"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V.</w:t>
            </w:r>
          </w:p>
        </w:tc>
        <w:tc>
          <w:tcPr>
            <w:tcW w:w="351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szCs w:val="24"/>
                <w:lang w:eastAsia="hr-HR"/>
              </w:rPr>
              <w:drawing>
                <wp:inline distT="0" distB="0" distL="0" distR="0">
                  <wp:extent cx="2044700" cy="793750"/>
                  <wp:effectExtent l="0" t="0" r="0" b="0"/>
                  <wp:docPr id="100" name="Slika 4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lika 473" descr=""/>
                          <pic:cNvPicPr>
                            <a:picLocks noChangeAspect="1" noChangeArrowheads="1"/>
                          </pic:cNvPicPr>
                        </pic:nvPicPr>
                        <pic:blipFill>
                          <a:blip r:embed="rId94"/>
                          <a:stretch>
                            <a:fillRect/>
                          </a:stretch>
                        </pic:blipFill>
                        <pic:spPr bwMode="auto">
                          <a:xfrm>
                            <a:off x="0" y="0"/>
                            <a:ext cx="2044700" cy="793750"/>
                          </a:xfrm>
                          <a:prstGeom prst="rect">
                            <a:avLst/>
                          </a:prstGeom>
                        </pic:spPr>
                      </pic:pic>
                    </a:graphicData>
                  </a:graphic>
                </wp:inline>
              </w:drawing>
            </w:r>
          </w:p>
        </w:tc>
        <w:tc>
          <w:tcPr>
            <w:tcW w:w="463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Otkazivanje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 vrlo teško konstruktivno oštećenje.</w:t>
            </w:r>
          </w:p>
          <w:p>
            <w:pPr>
              <w:pStyle w:val="Normal"/>
              <w:spacing w:lineRule="auto" w:line="240"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Rušenje prizemlja ili dijelova konstrukcije.</w:t>
            </w:r>
          </w:p>
        </w:tc>
      </w:tr>
    </w:tbl>
    <w:p>
      <w:pPr>
        <w:pStyle w:val="Normal"/>
        <w:rPr>
          <w:i/>
          <w:i/>
          <w:color w:val="54883D"/>
        </w:rPr>
      </w:pPr>
      <w:r>
        <w:rPr>
          <w:i/>
          <w:color w:val="54883D"/>
        </w:rPr>
        <w:t>Stanovništvo i društvo</w:t>
      </w:r>
    </w:p>
    <w:p>
      <w:pPr>
        <w:pStyle w:val="Normal"/>
        <w:spacing w:before="0" w:after="0"/>
        <w:rPr>
          <w:color w:val="000000"/>
          <w:szCs w:val="22"/>
          <w:highlight w:val="white"/>
        </w:rPr>
      </w:pPr>
      <w:r>
        <w:rPr>
          <w:szCs w:val="22"/>
        </w:rPr>
        <w:t xml:space="preserve">Područje Grada prostire se na </w:t>
      </w:r>
      <w:r>
        <w:rPr/>
        <w:t>103,2/</w:t>
      </w:r>
      <w:r>
        <w:rPr>
          <w:szCs w:val="22"/>
        </w:rPr>
        <w:t xml:space="preserve"> km</w:t>
      </w:r>
      <w:r>
        <w:rPr>
          <w:szCs w:val="22"/>
          <w:vertAlign w:val="superscript"/>
        </w:rPr>
        <w:t>2</w:t>
      </w:r>
      <w:r>
        <w:rPr>
          <w:szCs w:val="22"/>
        </w:rPr>
        <w:t xml:space="preserve"> površine,</w:t>
      </w:r>
      <w:r>
        <w:rPr>
          <w:color w:val="000000"/>
          <w:szCs w:val="22"/>
          <w:shd w:fill="FFFFFF" w:val="clear"/>
        </w:rPr>
        <w:t xml:space="preserve"> Grad Buje – Citta di Buie smješten je na nekoliko brežuljaka od kojih treba spomenuti Bujsko brdo (222 m) koje je ujedno i najviša točka Buja, a ima i dva manja brežuljka (180m -190m).</w:t>
      </w:r>
      <w:r>
        <w:rPr>
          <w:szCs w:val="22"/>
        </w:rPr>
        <w:t xml:space="preserve"> </w:t>
      </w:r>
      <w:r>
        <w:rPr/>
        <w:t>Grad Buje - Buie</w:t>
      </w:r>
      <w:r>
        <w:rPr>
          <w:szCs w:val="22"/>
        </w:rPr>
        <w:t xml:space="preserve"> službeno obuhvaća ukupno </w:t>
      </w:r>
      <w:r>
        <w:rPr/>
        <w:t>21 naselje</w:t>
      </w:r>
      <w:r>
        <w:rPr>
          <w:szCs w:val="22"/>
        </w:rPr>
        <w:t xml:space="preserve">. To su: </w:t>
      </w:r>
      <w:r>
        <w:rPr>
          <w:color w:val="000000"/>
          <w:szCs w:val="22"/>
          <w:shd w:fill="FFFFFF" w:val="clear"/>
        </w:rPr>
        <w:t xml:space="preserve">Baredine – Baredine, Bibali – Bibali, Brdo – Collato, Brič – Briz, Buje – Buie, </w:t>
      </w:r>
      <w:r>
        <w:rPr>
          <w:color w:val="000000"/>
          <w:szCs w:val="22"/>
          <w:lang w:eastAsia="hr-HR"/>
        </w:rPr>
        <w:t xml:space="preserve">Buroli – Buroli, </w:t>
      </w:r>
      <w:r>
        <w:rPr>
          <w:color w:val="000000"/>
          <w:szCs w:val="22"/>
          <w:shd w:fill="FFFFFF" w:val="clear"/>
        </w:rPr>
        <w:t xml:space="preserve">Gamboci – Gambozzi, Kaldanija – Caldania, Kanegra – Canegra, Kaštel – Castelvenere, Krasica – Crassiza, Kršete – Carsette, Kućibreg – Cucibreg, Lozari – Losari, Marušići – Marussici, Merišće – Merischie, Momjan – Momiano, Oskoruš – Oscurus, Plovanija – Plovania, Sveta Marija na Krasu - Madonna del Carso, Triban – Tribano. </w:t>
      </w:r>
    </w:p>
    <w:p>
      <w:pPr>
        <w:pStyle w:val="Normal"/>
        <w:spacing w:before="0" w:after="0"/>
        <w:rPr>
          <w:szCs w:val="22"/>
          <w:lang w:eastAsia="hr-HR"/>
        </w:rPr>
      </w:pPr>
      <w:r>
        <w:rPr>
          <w:szCs w:val="22"/>
          <w:lang w:eastAsia="hr-HR"/>
        </w:rPr>
      </w:r>
    </w:p>
    <w:p>
      <w:pPr>
        <w:pStyle w:val="Normal"/>
        <w:spacing w:before="0" w:after="0"/>
        <w:rPr>
          <w:highlight w:val="yellow"/>
        </w:rPr>
      </w:pPr>
      <w:r>
        <w:rPr>
          <w:szCs w:val="22"/>
          <w:lang w:eastAsia="hr-HR"/>
        </w:rPr>
        <w:t xml:space="preserve">Prema Popisu stanovništva iz 2021. godine, na području </w:t>
      </w:r>
      <w:r>
        <w:rPr>
          <w:lang w:eastAsia="hr-HR"/>
        </w:rPr>
        <w:t>Grada Buje - Buie</w:t>
      </w:r>
      <w:r>
        <w:rPr>
          <w:szCs w:val="22"/>
          <w:lang w:eastAsia="hr-HR"/>
        </w:rPr>
        <w:t xml:space="preserve"> živi ukupno </w:t>
      </w:r>
      <w:r>
        <w:rPr>
          <w:color w:val="000000"/>
          <w:shd w:fill="FFFFFF" w:val="clear"/>
        </w:rPr>
        <w:t>4.451 stanovnika.</w:t>
      </w:r>
      <w:r>
        <w:rPr>
          <w:szCs w:val="22"/>
          <w:lang w:eastAsia="hr-HR"/>
        </w:rPr>
        <w:t xml:space="preserve"> </w:t>
      </w:r>
      <w:r>
        <w:rPr/>
        <w:t xml:space="preserve">Prosječna gustoća naseljenosti je 43,10 stan/km², </w:t>
      </w:r>
    </w:p>
    <w:p>
      <w:pPr>
        <w:pStyle w:val="Normal"/>
        <w:rPr>
          <w:color w:val="auto"/>
        </w:rPr>
      </w:pPr>
      <w:r>
        <w:rPr>
          <w:color w:val="auto"/>
        </w:rPr>
        <w:t xml:space="preserve">Na području </w:t>
      </w:r>
      <w:r>
        <w:rPr/>
        <w:t>Grada</w:t>
      </w:r>
      <w:r>
        <w:rPr>
          <w:color w:val="auto"/>
        </w:rPr>
        <w:t xml:space="preserve"> nalazi se ukupno 3.126 stambenih jedinica od čega i 1.770 kućanstava.</w:t>
      </w:r>
    </w:p>
    <w:p>
      <w:pPr>
        <w:pStyle w:val="Normal"/>
        <w:rPr>
          <w:color w:val="auto"/>
        </w:rPr>
      </w:pPr>
      <w:r>
        <w:rPr>
          <w:color w:val="auto"/>
        </w:rPr>
        <w:t xml:space="preserve">Grad Buje - Buie ima najviše stanovnika i najviše ugroženih se može očekivati u ovom naselju zbog veće gustoće naseljenosti. </w:t>
      </w:r>
    </w:p>
    <w:p>
      <w:pPr>
        <w:pStyle w:val="Normal"/>
        <w:rPr>
          <w:color w:val="auto"/>
        </w:rPr>
      </w:pPr>
      <w:r>
        <w:rPr>
          <w:color w:val="auto"/>
        </w:rPr>
        <w:t>Budući da se u Procjeni rizika obrađuje scenarij s najgorim mogućim posljedicama, za potrebe scenarija broj stanovnika u Gradu uvećan je za jedan puta – špica turističke sezone (ukupno 10 500 stanovnika).</w:t>
      </w:r>
    </w:p>
    <w:p>
      <w:pPr>
        <w:pStyle w:val="Normal"/>
        <w:rPr/>
      </w:pPr>
      <w:r>
        <w:rPr/>
      </w:r>
    </w:p>
    <w:p>
      <w:pPr>
        <w:pStyle w:val="Stilnaslova3"/>
        <w:numPr>
          <w:ilvl w:val="2"/>
          <w:numId w:val="2"/>
        </w:numPr>
        <w:ind w:left="709" w:hanging="721"/>
        <w:rPr/>
      </w:pPr>
      <w:bookmarkStart w:id="212" w:name="_Toc492284944"/>
      <w:bookmarkStart w:id="213" w:name="_Toc496856100"/>
      <w:bookmarkStart w:id="214" w:name="_Toc99955716"/>
      <w:bookmarkStart w:id="215" w:name="_Toc116990164"/>
      <w:r>
        <w:rPr/>
        <w:t>Uzrok</w:t>
      </w:r>
      <w:bookmarkEnd w:id="212"/>
      <w:bookmarkEnd w:id="213"/>
      <w:bookmarkEnd w:id="214"/>
      <w:bookmarkEnd w:id="215"/>
    </w:p>
    <w:p>
      <w:pPr>
        <w:pStyle w:val="Normal"/>
        <w:rPr/>
      </w:pPr>
      <w:r>
        <w:rPr/>
        <w:t>Unutarnji procesi uzrokovani su konvekcijskim gibanjima u unutrašnjosti Zemlje, koja su posljedica toplinske energije Zemlje i odgovorni su za kretanje oceanskih i kontinentalnih ploča.</w:t>
      </w:r>
      <w:r>
        <w:rPr>
          <w:shd w:fill="FFFFFF" w:val="clear"/>
        </w:rPr>
        <w:t xml:space="preserve"> Ploče se mogu međusobno primicati, razmicati ili kliziti jedna uz drugu, a granice između ploča područja su rezultat tektonskih aktivnosti.</w:t>
      </w:r>
      <w:r>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95" w:tgtFrame="Euroazija">
        <w:r>
          <w:rPr/>
          <w:t>Euroaziju</w:t>
        </w:r>
      </w:hyperlink>
      <w:r>
        <w:rPr/>
        <w:t xml:space="preserve"> (kontinentalnu masu koja se sastoji od </w:t>
      </w:r>
      <w:hyperlink r:id="rId96" w:tgtFrame="Europa">
        <w:r>
          <w:rPr/>
          <w:t>Europe</w:t>
        </w:r>
      </w:hyperlink>
      <w:r>
        <w:rPr/>
        <w:t xml:space="preserve"> i </w:t>
      </w:r>
      <w:hyperlink r:id="rId97" w:tgtFrame="Azija">
        <w:r>
          <w:rPr/>
          <w:t>Azije</w:t>
        </w:r>
      </w:hyperlink>
      <w:r>
        <w:rPr/>
        <w:t xml:space="preserve">, bez </w:t>
      </w:r>
      <w:hyperlink r:id="rId98" w:tgtFrame="Indija">
        <w:r>
          <w:rPr/>
          <w:t>Indijskog potkontinenta</w:t>
        </w:r>
      </w:hyperlink>
      <w:r>
        <w:rPr/>
        <w:t xml:space="preserve">, </w:t>
      </w:r>
      <w:hyperlink r:id="rId99" w:tgtFrame="Arapski poluotok">
        <w:r>
          <w:rPr/>
          <w:t>Arapskog poluotoka</w:t>
        </w:r>
      </w:hyperlink>
      <w:r>
        <w:rPr/>
        <w:t xml:space="preserve"> i područja istočno od lanca Verkojansk u istočnome </w:t>
      </w:r>
      <w:hyperlink r:id="rId100" w:tgtFrame="Sibir">
        <w:r>
          <w:rPr/>
          <w:t>Sibiru</w:t>
        </w:r>
      </w:hyperlink>
      <w:r>
        <w:rPr/>
        <w:t>). Na zapadu se proteže sve do Srednjeatlantskog hrpta.</w:t>
      </w:r>
    </w:p>
    <w:p>
      <w:pPr>
        <w:pStyle w:val="Normal"/>
        <w:rPr>
          <w:u w:val="single"/>
        </w:rPr>
      </w:pPr>
      <w:r>
        <w:rPr>
          <w:u w:val="single"/>
        </w:rPr>
      </w:r>
    </w:p>
    <w:p>
      <w:pPr>
        <w:pStyle w:val="Normal"/>
        <w:rPr>
          <w:b/>
          <w:b/>
          <w:u w:val="single"/>
        </w:rPr>
      </w:pPr>
      <w:r>
        <w:rPr>
          <w:b/>
          <w:u w:val="single"/>
        </w:rPr>
        <w:t>RAZVOJ DOGAĐAJA KOJI JE PRETHODIO VELIKOJ NESREĆI</w:t>
      </w:r>
    </w:p>
    <w:p>
      <w:pPr>
        <w:pStyle w:val="Normal"/>
        <w:rPr/>
      </w:pPr>
      <w:r>
        <w:rPr/>
        <w:t>Tektonski poremećaji u litosferi, kao što su kretanje litosfernih ploča u zoni subdukcije, mogu dovesti do pojave potresa. Uzrok nastanka potresa na području Istarske županije povezan je s podvlačenjem (subdukcijom) Jadranske platforme pod Dinaride, kao posljedica kretanja Afričke ploče u odnosu na Euro-azijsku ploču. Rasjedi, kao potencijalne žarišne točke, osim toga nastaju unutar pojedinih tektonskih ploča kao posljedica diferencijalnih naprezanja u Zemljinoj kori.</w:t>
      </w:r>
    </w:p>
    <w:p>
      <w:pPr>
        <w:pStyle w:val="Normal"/>
        <w:rPr/>
      </w:pPr>
      <w:r>
        <w:rPr/>
      </w:r>
    </w:p>
    <w:p>
      <w:pPr>
        <w:pStyle w:val="Normal"/>
        <w:rPr>
          <w:b/>
          <w:b/>
          <w:u w:val="single"/>
        </w:rPr>
      </w:pPr>
      <w:r>
        <w:rPr>
          <w:b/>
          <w:u w:val="single"/>
        </w:rPr>
      </w:r>
    </w:p>
    <w:p>
      <w:pPr>
        <w:pStyle w:val="Normal"/>
        <w:rPr>
          <w:b/>
          <w:b/>
          <w:u w:val="single"/>
        </w:rPr>
      </w:pPr>
      <w:r>
        <w:rPr>
          <w:b/>
          <w:u w:val="single"/>
        </w:rPr>
        <w:t>OKIDAČ KOJI JE UZROKOVAO VELIKU NESREĆU</w:t>
      </w:r>
    </w:p>
    <w:p>
      <w:pPr>
        <w:pStyle w:val="Normal"/>
        <w:rPr>
          <w:highlight w:val="white"/>
        </w:rPr>
      </w:pPr>
      <w:r>
        <w:rPr>
          <w:shd w:fill="FFFFFF" w:val="clear"/>
        </w:rPr>
        <w:t xml:space="preserve">Naglo otpuštanje napetosti u litosferi dovodi do nastanka potresa. Potres nastaje u unutrašnjosti Zemlje, u mjestu koje nazivamo žarište ili </w:t>
      </w:r>
      <w:hyperlink r:id="rId101" w:tgtFrame="Hipocentar">
        <w:r>
          <w:rPr>
            <w:shd w:fill="FFFFFF" w:val="clear"/>
          </w:rPr>
          <w:t>hipocentar</w:t>
        </w:r>
      </w:hyperlink>
      <w:r>
        <w:rPr>
          <w:shd w:fill="FFFFFF" w:val="clear"/>
        </w:rPr>
        <w:t xml:space="preserve">. Mjesto na površini Zemlje gdje se potres najjače osjeti zove se </w:t>
      </w:r>
      <w:hyperlink r:id="rId102" w:tgtFrame="Epicentar">
        <w:r>
          <w:rPr>
            <w:shd w:fill="FFFFFF" w:val="clear"/>
          </w:rPr>
          <w:t>epicentar</w:t>
        </w:r>
      </w:hyperlink>
      <w:r>
        <w:rPr>
          <w:shd w:fill="FFFFFF" w:val="clear"/>
        </w:rPr>
        <w:t>.</w:t>
      </w:r>
    </w:p>
    <w:p>
      <w:pPr>
        <w:pStyle w:val="Normal"/>
        <w:spacing w:before="80" w:after="0"/>
        <w:rPr/>
      </w:pPr>
      <w:r>
        <w:rPr/>
        <w:t>Unutarnji procesi uzrokovani su konvekcijskim gibanjima u unutrašnjosti Zemlje, koja su posljedica toplinske energije Zemlje i odgovorni su za kretanje oceanskih i kontinentalnih ploča.</w:t>
      </w:r>
      <w:r>
        <w:rPr>
          <w:shd w:fill="FFFFFF" w:val="clear"/>
        </w:rPr>
        <w:t xml:space="preserve"> Ploče se mogu međusobno primicati, razmicati ili kliziti jedna uz drugu, a granice između ploča područja su izražene tektonske aktivnosti.</w:t>
      </w:r>
      <w:r>
        <w:rPr/>
        <w:t xml:space="preserve"> Na kontaktima ploča oslobađa se golema količina energije koja uzrokuje deformacije stijena i nastanak potresa. </w:t>
      </w:r>
    </w:p>
    <w:p>
      <w:pPr>
        <w:pStyle w:val="Normal"/>
        <w:spacing w:before="120" w:after="120"/>
        <w:rPr>
          <w:highlight w:val="white"/>
        </w:rPr>
      </w:pPr>
      <w:r>
        <w:rPr>
          <w:highlight w:val="white"/>
        </w:rPr>
      </w:r>
    </w:p>
    <w:p>
      <w:pPr>
        <w:pStyle w:val="Normal"/>
        <w:rPr>
          <w:u w:val="single"/>
        </w:rPr>
      </w:pPr>
      <w:r>
        <w:rPr>
          <w:u w:val="single"/>
        </w:rPr>
        <w:t>Potresi kod Petrinje</w:t>
      </w:r>
    </w:p>
    <w:p>
      <w:pPr>
        <w:pStyle w:val="Normal"/>
        <w:rPr/>
      </w:pPr>
      <w:r>
        <w:rPr/>
        <w:t xml:space="preserve">Dana 28. prosinca 2020. godine u 6 sati i 28 minuta dogodio se jak potres magnitude 5.0 prema Richteru s epicentrom kod Petrinje. Isti dan, dogodili su se još jedan jak potres magnitude 4.7 u 7 sati i 49 minuta, jedan prilično jak potres magnitude 4.1 u 07 sati i 51 minutu te niz slabijih potresa. Ovi potresi bili su prethodni potresi najjačem udaru, razornom potresu koji se dogodio 29. prosinca 2020. godine u 12 sati i 19 minuta, magnitude 6.2 prema Richteru. Ovaj potres jedan je od dva najjača instrumentalno zabilježena potresa u Republici Hrvatskoj (od 1909. godine). Potres se osjetio diljem Hrvatske i u okolnim zemljama, a intenzitet u epicentru preliminarno je ocijenjen na VIII-IX stupnjeva EMS ljestvice (slika 17.). </w:t>
      </w:r>
    </w:p>
    <w:p>
      <w:pPr>
        <w:pStyle w:val="Normal"/>
        <w:rPr>
          <w:u w:val="single"/>
        </w:rPr>
      </w:pPr>
      <w:r>
        <w:rPr/>
        <w:drawing>
          <wp:inline distT="0" distB="0" distL="0" distR="0">
            <wp:extent cx="5758815" cy="3416300"/>
            <wp:effectExtent l="0" t="0" r="0" b="0"/>
            <wp:docPr id="101" name="Slika 9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lika 939" descr=""/>
                    <pic:cNvPicPr>
                      <a:picLocks noChangeAspect="1" noChangeArrowheads="1"/>
                    </pic:cNvPicPr>
                  </pic:nvPicPr>
                  <pic:blipFill>
                    <a:blip r:embed="rId103"/>
                    <a:srcRect l="0" t="3052" r="0" b="3684"/>
                    <a:stretch>
                      <a:fillRect/>
                    </a:stretch>
                  </pic:blipFill>
                  <pic:spPr bwMode="auto">
                    <a:xfrm>
                      <a:off x="0" y="0"/>
                      <a:ext cx="5758815" cy="3416300"/>
                    </a:xfrm>
                    <a:prstGeom prst="rect">
                      <a:avLst/>
                    </a:prstGeom>
                  </pic:spPr>
                </pic:pic>
              </a:graphicData>
            </a:graphic>
          </wp:inline>
        </w:drawing>
      </w:r>
    </w:p>
    <w:p>
      <w:pPr>
        <w:pStyle w:val="Normal"/>
        <w:spacing w:lineRule="auto" w:line="240" w:before="0" w:after="0"/>
        <w:jc w:val="center"/>
        <w:rPr>
          <w:rFonts w:eastAsia="Calibri" w:eastAsiaTheme="minorHAnsi"/>
          <w:bCs/>
          <w:color w:val="54883D"/>
          <w:sz w:val="20"/>
          <w:szCs w:val="18"/>
          <w:lang w:bidi="en-US"/>
        </w:rPr>
      </w:pPr>
      <w:r>
        <w:rPr>
          <w:rFonts w:eastAsia="Calibri" w:eastAsiaTheme="minorHAnsi"/>
          <w:bCs/>
          <w:color w:val="54883D"/>
          <w:sz w:val="20"/>
          <w:szCs w:val="18"/>
          <w:lang w:bidi="en-US"/>
        </w:rPr>
        <w:t xml:space="preserve">Slika </w:t>
      </w:r>
      <w:r>
        <w:rPr>
          <w:rFonts w:eastAsia="Calibri"/>
          <w:bCs/>
          <w:color w:val="54883D"/>
          <w:sz w:val="20"/>
          <w:szCs w:val="18"/>
          <w:lang w:bidi="en-US"/>
        </w:rPr>
        <w:fldChar w:fldCharType="begin"/>
      </w:r>
      <w:r>
        <w:rPr>
          <w:sz w:val="20"/>
          <w:szCs w:val="18"/>
          <w:bCs/>
          <w:rFonts w:eastAsia="Calibri"/>
          <w:color w:val="54883D"/>
          <w:lang w:bidi="en-US"/>
        </w:rPr>
        <w:instrText> SEQ Slika \* ARABIC </w:instrText>
      </w:r>
      <w:r>
        <w:rPr>
          <w:sz w:val="20"/>
          <w:szCs w:val="18"/>
          <w:bCs/>
          <w:rFonts w:eastAsia="Calibri"/>
          <w:color w:val="54883D"/>
          <w:lang w:bidi="en-US"/>
        </w:rPr>
        <w:fldChar w:fldCharType="separate"/>
      </w:r>
      <w:r>
        <w:rPr>
          <w:sz w:val="20"/>
          <w:szCs w:val="18"/>
          <w:bCs/>
          <w:rFonts w:eastAsia="Calibri"/>
          <w:color w:val="54883D"/>
          <w:lang w:bidi="en-US"/>
        </w:rPr>
        <w:t>19</w:t>
      </w:r>
      <w:r>
        <w:rPr>
          <w:sz w:val="20"/>
          <w:szCs w:val="18"/>
          <w:bCs/>
          <w:rFonts w:eastAsia="Calibri"/>
          <w:color w:val="54883D"/>
          <w:lang w:bidi="en-US"/>
        </w:rPr>
        <w:fldChar w:fldCharType="end"/>
      </w:r>
      <w:r>
        <w:rPr>
          <w:rFonts w:eastAsia="Calibri" w:eastAsiaTheme="minorHAnsi"/>
          <w:bCs/>
          <w:color w:val="54883D"/>
          <w:sz w:val="20"/>
          <w:szCs w:val="18"/>
          <w:lang w:bidi="en-US"/>
        </w:rPr>
        <w:t>. Preliminarna karta intenziteta za potres 29. prosinca 2020. godine u 12 h 19 min</w:t>
      </w:r>
    </w:p>
    <w:p>
      <w:pPr>
        <w:pStyle w:val="Normal"/>
        <w:spacing w:lineRule="auto" w:line="240" w:before="0" w:after="240"/>
        <w:jc w:val="center"/>
        <w:rPr>
          <w:rFonts w:eastAsia="Calibri" w:eastAsiaTheme="minorHAnsi"/>
          <w:bCs/>
          <w:color w:val="54883D"/>
          <w:sz w:val="20"/>
          <w:szCs w:val="18"/>
          <w:lang w:bidi="en-US"/>
        </w:rPr>
      </w:pPr>
      <w:r>
        <w:rPr>
          <w:rFonts w:eastAsia="Calibri" w:eastAsiaTheme="minorHAnsi"/>
          <w:bCs/>
          <w:color w:val="54883D"/>
          <w:sz w:val="20"/>
          <w:szCs w:val="18"/>
          <w:lang w:bidi="en-US"/>
        </w:rPr>
        <w:t>Izvor podataka: https://www.pmf.unizg.hr/geof/seizmoloska_sluzba/mjesec_dana_od_glavnog_petrinjskog_potresa</w:t>
      </w:r>
    </w:p>
    <w:p>
      <w:pPr>
        <w:pStyle w:val="Normal"/>
        <w:rPr>
          <w:highlight w:val="white"/>
        </w:rPr>
      </w:pPr>
      <w:r>
        <w:rPr>
          <w:highlight w:val="white"/>
        </w:rPr>
      </w:r>
    </w:p>
    <w:p>
      <w:pPr>
        <w:pStyle w:val="Normal"/>
        <w:rPr>
          <w:highlight w:val="white"/>
        </w:rPr>
      </w:pPr>
      <w:r>
        <w:rPr>
          <w:highlight w:val="white"/>
        </w:rPr>
      </w:r>
    </w:p>
    <w:p>
      <w:pPr>
        <w:pStyle w:val="Stilnaslova3"/>
        <w:numPr>
          <w:ilvl w:val="2"/>
          <w:numId w:val="2"/>
        </w:numPr>
        <w:ind w:left="709" w:hanging="721"/>
        <w:rPr/>
      </w:pPr>
      <w:bookmarkStart w:id="216" w:name="_Toc492284945"/>
      <w:bookmarkStart w:id="217" w:name="_Toc496856101"/>
      <w:bookmarkStart w:id="218" w:name="_Toc99955717"/>
      <w:bookmarkStart w:id="219" w:name="_Toc116990165"/>
      <w:r>
        <w:rPr/>
        <w:t>Događaj s najgorim mogućim posljedicama</w:t>
      </w:r>
      <w:bookmarkEnd w:id="216"/>
      <w:bookmarkEnd w:id="217"/>
      <w:bookmarkEnd w:id="218"/>
      <w:bookmarkEnd w:id="219"/>
    </w:p>
    <w:p>
      <w:pPr>
        <w:pStyle w:val="Normal"/>
        <w:rPr/>
      </w:pPr>
      <w:r>
        <w:rPr/>
        <w:t>Događaj s najgorim mogućim posljedicama pretpostavlja nastanak potresa jačine VII° MCS ljestvice na području Grada Buja.</w:t>
      </w:r>
    </w:p>
    <w:p>
      <w:pPr>
        <w:pStyle w:val="Normal"/>
        <w:rPr>
          <w:b/>
          <w:b/>
        </w:rPr>
      </w:pPr>
      <w:r>
        <w:rPr>
          <w:b/>
        </w:rPr>
        <w:t>Prognoza šteta na stambenom fondu</w:t>
      </w:r>
    </w:p>
    <w:p>
      <w:pPr>
        <w:pStyle w:val="Normal"/>
        <w:rPr/>
      </w:pPr>
      <w:r>
        <w:rPr/>
        <w:t>Izračun procjene štete na stambenom fondu Grada Buja izrađuje se uz sljedeće pretpostavke:</w:t>
      </w:r>
    </w:p>
    <w:p>
      <w:pPr>
        <w:pStyle w:val="ListParagraph"/>
        <w:numPr>
          <w:ilvl w:val="0"/>
          <w:numId w:val="24"/>
        </w:numPr>
        <w:rPr/>
      </w:pPr>
      <w:r>
        <w:rPr/>
        <w:t>potres jačine VII° MCS ljestvice je pogodio Grad Buja;</w:t>
      </w:r>
    </w:p>
    <w:p>
      <w:pPr>
        <w:pStyle w:val="ListParagraph"/>
        <w:numPr>
          <w:ilvl w:val="0"/>
          <w:numId w:val="24"/>
        </w:numPr>
        <w:rPr/>
      </w:pPr>
      <w:r>
        <w:rPr/>
        <w:t>prema Karti potresnih područja Republike Hrvatske za 475 godina, cjelokupno područje Grada Buja nalazi se u području s vršnom akceleracijom od 0,08g,</w:t>
      </w:r>
    </w:p>
    <w:p>
      <w:pPr>
        <w:pStyle w:val="ListParagraph"/>
        <w:numPr>
          <w:ilvl w:val="0"/>
          <w:numId w:val="24"/>
        </w:numPr>
        <w:rPr/>
      </w:pPr>
      <w:r>
        <w:rPr/>
        <w:t>trajanje potresa je 15 sekundi;</w:t>
      </w:r>
    </w:p>
    <w:p>
      <w:pPr>
        <w:pStyle w:val="ListParagraph"/>
        <w:numPr>
          <w:ilvl w:val="0"/>
          <w:numId w:val="24"/>
        </w:numPr>
        <w:rPr/>
      </w:pPr>
      <w:r>
        <w:rPr/>
        <w:t xml:space="preserve">ukupan broj stanovnika na području Grada </w:t>
      </w:r>
      <w:r>
        <w:rPr>
          <w:color w:val="auto"/>
        </w:rPr>
        <w:t>je 4 451</w:t>
      </w:r>
    </w:p>
    <w:p>
      <w:pPr>
        <w:pStyle w:val="ListParagraph"/>
        <w:numPr>
          <w:ilvl w:val="0"/>
          <w:numId w:val="24"/>
        </w:numPr>
        <w:rPr/>
      </w:pPr>
      <w:r>
        <w:rPr/>
        <w:t>ukupan broj stambenih jedinica je 3 126</w:t>
      </w:r>
    </w:p>
    <w:p>
      <w:pPr>
        <w:pStyle w:val="ListParagraph"/>
        <w:numPr>
          <w:ilvl w:val="0"/>
          <w:numId w:val="24"/>
        </w:numPr>
        <w:rPr/>
      </w:pPr>
      <w:r>
        <w:rPr/>
        <w:t>u cilju sagledavanja mogućih šteta korišten je proračun koji određuje štete na objektima po kategorijama gradnje, broj ranjenih i poginulih, količinu građevinskog otpada koji bi nastao kod potresa VII° MCS, površinu zemljišta potrebnu za deponiranje tolike količine otpada, potrebnu mehanizaciju za uklanjanje količine od 20% otpada koliko je u prva dva dana potrebno ukloniti zbog spašavanja zatrpanih osoba;</w:t>
      </w:r>
    </w:p>
    <w:p>
      <w:pPr>
        <w:pStyle w:val="ListParagraph"/>
        <w:numPr>
          <w:ilvl w:val="0"/>
          <w:numId w:val="24"/>
        </w:numPr>
        <w:rPr/>
      </w:pPr>
      <w:r>
        <w:rPr/>
        <w:t>u trenutku potresa se svi stanovnici nalaze u svojim stambenim jedinicama.</w:t>
      </w:r>
    </w:p>
    <w:p>
      <w:pPr>
        <w:pStyle w:val="Normal"/>
        <w:rPr/>
      </w:pPr>
      <w:r>
        <w:rPr/>
      </w:r>
    </w:p>
    <w:p>
      <w:pPr>
        <w:pStyle w:val="Normal"/>
        <w:rPr>
          <w:i/>
          <w:i/>
          <w:u w:val="single"/>
        </w:rPr>
      </w:pPr>
      <w:r>
        <w:rPr>
          <w:i/>
          <w:u w:val="single"/>
        </w:rPr>
        <w:t>Podjela objekata prema kategoriji gradnje:</w:t>
      </w:r>
    </w:p>
    <w:p>
      <w:pPr>
        <w:pStyle w:val="Normal"/>
        <w:spacing w:before="80" w:after="0"/>
        <w:rPr/>
      </w:pPr>
      <w:r>
        <w:rPr/>
        <w:t xml:space="preserve">I – zidane zgrade do 1920. godine - stropne konstrukcije isključivo od drveta </w:t>
      </w:r>
    </w:p>
    <w:p>
      <w:pPr>
        <w:pStyle w:val="Normal"/>
        <w:spacing w:before="80" w:after="0"/>
        <w:rPr/>
      </w:pPr>
      <w:r>
        <w:rPr/>
        <w:t xml:space="preserve">II – zidane zgrade s armirano betonskim serklažima od 1921. do 1945. godine  </w:t>
      </w:r>
    </w:p>
    <w:p>
      <w:pPr>
        <w:pStyle w:val="Normal"/>
        <w:spacing w:before="80" w:after="0"/>
        <w:rPr/>
      </w:pPr>
      <w:r>
        <w:rPr/>
        <w:t xml:space="preserve">III – armirano betonske skeletne zgrade od 1946. do 1964. godine </w:t>
      </w:r>
    </w:p>
    <w:p>
      <w:pPr>
        <w:pStyle w:val="Normal"/>
        <w:spacing w:before="80" w:after="0"/>
        <w:rPr>
          <w:b/>
          <w:b/>
        </w:rPr>
      </w:pPr>
      <w:r>
        <w:rPr/>
        <w:t>IV – sustav armiranobetonskih nosivih zidova od 1965. do 1980.godine</w:t>
      </w:r>
    </w:p>
    <w:p>
      <w:pPr>
        <w:pStyle w:val="Normal"/>
        <w:spacing w:before="80" w:after="0"/>
        <w:rPr/>
      </w:pPr>
      <w:r>
        <w:rPr/>
        <w:t xml:space="preserve">V – skeletne zgrade s armiranobetonskim nosivim zidovima od 1980. do danas </w:t>
      </w:r>
    </w:p>
    <w:p>
      <w:pPr>
        <w:pStyle w:val="Normal"/>
        <w:rPr/>
      </w:pPr>
      <w:r>
        <w:rPr/>
      </w:r>
    </w:p>
    <w:p>
      <w:pPr>
        <w:pStyle w:val="Normal"/>
        <w:spacing w:before="120" w:after="120"/>
        <w:jc w:val="center"/>
        <w:rPr>
          <w:b/>
          <w:b/>
          <w:bCs/>
          <w:i/>
          <w:i/>
          <w:color w:val="54883D"/>
          <w:sz w:val="20"/>
          <w:szCs w:val="18"/>
        </w:rPr>
      </w:pPr>
      <w:r>
        <w:rPr>
          <w:b/>
          <w:bCs/>
          <w:i/>
          <w:color w:val="54883D"/>
          <w:sz w:val="20"/>
          <w:szCs w:val="18"/>
        </w:rPr>
        <w:t>Tablica 27.  Razredi ranjivosti različitih tipova zgrada (EMS-98)</w:t>
      </w:r>
    </w:p>
    <w:tbl>
      <w:tblPr>
        <w:tblStyle w:val="TableGrid"/>
        <w:tblW w:w="9061" w:type="dxa"/>
        <w:jc w:val="center"/>
        <w:tblInd w:w="0" w:type="dxa"/>
        <w:tblCellMar>
          <w:top w:w="0" w:type="dxa"/>
          <w:left w:w="108" w:type="dxa"/>
          <w:bottom w:w="0" w:type="dxa"/>
          <w:right w:w="108" w:type="dxa"/>
        </w:tblCellMar>
        <w:tblLook w:firstRow="1" w:noVBand="1" w:lastRow="0" w:firstColumn="1" w:lastColumn="0" w:noHBand="0" w:val="04a0"/>
      </w:tblPr>
      <w:tblGrid>
        <w:gridCol w:w="4672"/>
        <w:gridCol w:w="710"/>
        <w:gridCol w:w="21"/>
        <w:gridCol w:w="637"/>
        <w:gridCol w:w="96"/>
        <w:gridCol w:w="659"/>
        <w:gridCol w:w="71"/>
        <w:gridCol w:w="684"/>
        <w:gridCol w:w="47"/>
        <w:gridCol w:w="710"/>
        <w:gridCol w:w="21"/>
        <w:gridCol w:w="732"/>
      </w:tblGrid>
      <w:tr>
        <w:trPr>
          <w:tblHeader w:val="true"/>
          <w:trHeight w:val="231" w:hRule="atLeast"/>
        </w:trPr>
        <w:tc>
          <w:tcPr>
            <w:tcW w:w="4672" w:type="dxa"/>
            <w:vMerge w:val="restart"/>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Tip konstrukcije</w:t>
            </w:r>
          </w:p>
        </w:tc>
        <w:tc>
          <w:tcPr>
            <w:tcW w:w="4388" w:type="dxa"/>
            <w:gridSpan w:val="11"/>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Razred ranjivosti</w:t>
            </w:r>
          </w:p>
        </w:tc>
      </w:tr>
      <w:tr>
        <w:trPr>
          <w:tblHeader w:val="true"/>
          <w:trHeight w:val="343" w:hRule="atLeast"/>
        </w:trPr>
        <w:tc>
          <w:tcPr>
            <w:tcW w:w="4672" w:type="dxa"/>
            <w:vMerge w:val="continue"/>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1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A</w:t>
            </w:r>
          </w:p>
        </w:tc>
        <w:tc>
          <w:tcPr>
            <w:tcW w:w="658"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B</w:t>
            </w:r>
          </w:p>
        </w:tc>
        <w:tc>
          <w:tcPr>
            <w:tcW w:w="755"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C</w:t>
            </w:r>
          </w:p>
        </w:tc>
        <w:tc>
          <w:tcPr>
            <w:tcW w:w="755"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D</w:t>
            </w:r>
          </w:p>
        </w:tc>
        <w:tc>
          <w:tcPr>
            <w:tcW w:w="757"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E</w:t>
            </w:r>
          </w:p>
        </w:tc>
        <w:tc>
          <w:tcPr>
            <w:tcW w:w="753" w:type="dxa"/>
            <w:gridSpan w:val="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F</w:t>
            </w:r>
          </w:p>
        </w:tc>
      </w:tr>
      <w:tr>
        <w:trPr/>
        <w:tc>
          <w:tcPr>
            <w:tcW w:w="9060" w:type="dxa"/>
            <w:gridSpan w:val="1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Zidane zgrade</w:t>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Od prirodnog, lomljenog i neobrađenog kamena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Od nepečene opeke</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olor w:val="auto"/>
                <w:sz w:val="20"/>
                <w:szCs w:val="20"/>
              </w:rPr>
            </w:pPr>
            <w:r>
              <w:rPr>
                <w:rFonts w:eastAsia="Calibri"/>
                <w:color w:val="auto"/>
                <w:sz w:val="20"/>
                <w:szCs w:val="20"/>
                <w:lang w:eastAsia="hr-HR"/>
              </w:rPr>
              <mc:AlternateContent>
                <mc:Choice Requires="wps">
                  <w:drawing>
                    <wp:anchor behindDoc="0" distT="0" distB="0" distL="0" distR="0" simplePos="0" locked="0" layoutInCell="1" allowOverlap="1" relativeHeight="57" wp14:anchorId="32FCD4A6">
                      <wp:simplePos x="0" y="0"/>
                      <wp:positionH relativeFrom="column">
                        <wp:posOffset>-118745</wp:posOffset>
                      </wp:positionH>
                      <wp:positionV relativeFrom="paragraph">
                        <wp:posOffset>80645</wp:posOffset>
                      </wp:positionV>
                      <wp:extent cx="285750" cy="130175"/>
                      <wp:effectExtent l="0" t="0" r="20320" b="23495"/>
                      <wp:wrapNone/>
                      <wp:docPr id="102" name="Strelica lijevo-desno 465"/>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type id="shapetype_69" coordsize="21600,21600" o:spt="69" adj="10800,10800" path="m,10800l@2,l@2@5l@3@5l@3,l21600,10800l@3,21600l@3@6l@2@6l@2,21600xe">
                      <v:stroke joinstyle="miter"/>
                      <v:formulas>
                        <v:f eqn="val 10800"/>
                        <v:f eqn="val #1"/>
                        <v:f eqn="val #0"/>
                        <v:f eqn="sum width 0 @2"/>
                        <v:f eqn="prod 1 @1 2"/>
                        <v:f eqn="sum 10800 0 @4"/>
                        <v:f eqn="sum 10800 @4 0"/>
                        <v:f eqn="prod @5 @2 10800"/>
                        <v:f eqn="sum @2 0 @7"/>
                        <v:f eqn="sum @3 @7 0"/>
                      </v:formulas>
                      <v:path gradientshapeok="t" o:connecttype="rect" textboxrect="@8,@5,@9,@6"/>
                      <v:handles>
                        <v:h position="@3,@5"/>
                        <v:h position="@2,0"/>
                      </v:handles>
                    </v:shapetype>
                    <v:shape id="shape_0" ID="Strelica lijevo-desno 465" fillcolor="#54883d" stroked="t" style="position:absolute;margin-left:-9.35pt;margin-top:6.35pt;width:22.4pt;height:10.15pt" wp14:anchorId="32FCD4A6" type="shapetype_69">
                      <w10:wrap type="none"/>
                      <v:fill o:detectmouseclick="t" type="solid" color2="#ab77c2"/>
                      <v:stroke color="#54883d" weight="25560" joinstyle="round" endcap="flat"/>
                    </v:shape>
                  </w:pict>
                </mc:Fallback>
              </mc:AlternateConten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Od grubo obrađenog kamena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Od obrađenog kamena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58" wp14:anchorId="6AA38E91">
                      <wp:simplePos x="0" y="0"/>
                      <wp:positionH relativeFrom="column">
                        <wp:posOffset>198120</wp:posOffset>
                      </wp:positionH>
                      <wp:positionV relativeFrom="paragraph">
                        <wp:posOffset>60325</wp:posOffset>
                      </wp:positionV>
                      <wp:extent cx="285750" cy="130175"/>
                      <wp:effectExtent l="0" t="0" r="20320" b="23495"/>
                      <wp:wrapNone/>
                      <wp:docPr id="103" name="Strelica lijevo-desno 466"/>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66" fillcolor="#54883d" stroked="t" style="position:absolute;margin-left:15.6pt;margin-top:4.75pt;width:22.4pt;height:10.15pt" wp14:anchorId="6AA38E91" type="shapetype_69">
                      <w10:wrap type="none"/>
                      <v:fill o:detectmouseclick="t" type="solid" color2="#ab77c2"/>
                      <v:stroke color="#54883d" weight="25560" joinstyle="round" endcap="flat"/>
                    </v:shape>
                  </w:pict>
                </mc:Fallback>
              </mc:AlternateConten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Ne armirane, od proizvedenih zidnih elemenata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Ne armirane, s armirano-betonskim stropovima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mc:AlternateContent>
                <mc:Choice Requires="wps">
                  <w:drawing>
                    <wp:anchor behindDoc="0" distT="0" distB="0" distL="0" distR="0" simplePos="0" locked="0" layoutInCell="1" allowOverlap="1" relativeHeight="59" wp14:anchorId="05619632">
                      <wp:simplePos x="0" y="0"/>
                      <wp:positionH relativeFrom="column">
                        <wp:posOffset>-198755</wp:posOffset>
                      </wp:positionH>
                      <wp:positionV relativeFrom="paragraph">
                        <wp:posOffset>60325</wp:posOffset>
                      </wp:positionV>
                      <wp:extent cx="285750" cy="130175"/>
                      <wp:effectExtent l="0" t="0" r="20320" b="23495"/>
                      <wp:wrapNone/>
                      <wp:docPr id="104" name="Strelica lijevo-desno 467"/>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67" fillcolor="#54883d" stroked="t" style="position:absolute;margin-left:-15.65pt;margin-top:4.75pt;width:22.4pt;height:10.15pt" wp14:anchorId="05619632" type="shapetype_69">
                      <w10:wrap type="none"/>
                      <v:fill o:detectmouseclick="t" type="solid" color2="#ab77c2"/>
                      <v:stroke color="#54883d" weight="25560" joinstyle="round" endcap="flat"/>
                    </v:shape>
                  </w:pict>
                </mc:Fallback>
              </mc:AlternateContent>
            </w: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Armirane ili s omeđenim zidovima</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0" wp14:anchorId="22DB58B2">
                      <wp:simplePos x="0" y="0"/>
                      <wp:positionH relativeFrom="column">
                        <wp:posOffset>-127635</wp:posOffset>
                      </wp:positionH>
                      <wp:positionV relativeFrom="paragraph">
                        <wp:posOffset>75565</wp:posOffset>
                      </wp:positionV>
                      <wp:extent cx="285750" cy="130175"/>
                      <wp:effectExtent l="0" t="0" r="20320" b="23495"/>
                      <wp:wrapNone/>
                      <wp:docPr id="105" name="Strelica lijevo-desno 468"/>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68" fillcolor="#54883d" stroked="t" style="position:absolute;margin-left:-10.05pt;margin-top:5.95pt;width:22.4pt;height:10.15pt" wp14:anchorId="22DB58B2" type="shapetype_69">
                      <w10:wrap type="none"/>
                      <v:fill o:detectmouseclick="t" type="solid" color2="#ab77c2"/>
                      <v:stroke color="#54883d" weight="25560" joinstyle="round" endcap="flat"/>
                    </v:shape>
                  </w:pict>
                </mc:Fallback>
              </mc:AlternateContent>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9060" w:type="dxa"/>
            <w:gridSpan w:val="1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Armirano-betonske zgrade</w:t>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Okvirne, ne projektirane za potres</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Okvirne, umjerene potresne otpornosti</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mc:AlternateContent>
                <mc:Choice Requires="wps">
                  <w:drawing>
                    <wp:anchor behindDoc="0" distT="0" distB="0" distL="0" distR="0" simplePos="0" locked="0" layoutInCell="1" allowOverlap="1" relativeHeight="61" wp14:anchorId="4B483B47">
                      <wp:simplePos x="0" y="0"/>
                      <wp:positionH relativeFrom="column">
                        <wp:posOffset>284480</wp:posOffset>
                      </wp:positionH>
                      <wp:positionV relativeFrom="paragraph">
                        <wp:posOffset>103505</wp:posOffset>
                      </wp:positionV>
                      <wp:extent cx="285750" cy="130175"/>
                      <wp:effectExtent l="0" t="0" r="20320" b="23495"/>
                      <wp:wrapNone/>
                      <wp:docPr id="106" name="Strelica lijevo-desno 474"/>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4" fillcolor="#54883d" stroked="t" style="position:absolute;margin-left:22.4pt;margin-top:8.15pt;width:22.4pt;height:10.15pt" wp14:anchorId="4B483B47" type="shapetype_69">
                      <w10:wrap type="none"/>
                      <v:fill o:detectmouseclick="t" type="solid" color2="#ab77c2"/>
                      <v:stroke color="#54883d" weight="25560" joinstyle="round" endcap="flat"/>
                    </v:shape>
                  </w:pict>
                </mc:Fallback>
              </mc:AlternateContent>
            </w:r>
            <w:r>
              <w:rPr>
                <w:rFonts w:eastAsia="Calibri" w:cs="Times New Roman" w:ascii="Times New Roman" w:hAnsi="Times New Roman"/>
                <w:color w:val="auto"/>
                <w:sz w:val="20"/>
                <w:szCs w:val="20"/>
                <w:lang w:eastAsia="hr-HR"/>
              </w:rPr>
              <w:t>O</w:t>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Okvirne, velike potresne otpornosti</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mc:AlternateContent>
                <mc:Choice Requires="wps">
                  <w:drawing>
                    <wp:anchor behindDoc="0" distT="0" distB="0" distL="0" distR="0" simplePos="0" locked="0" layoutInCell="1" allowOverlap="1" relativeHeight="62" wp14:anchorId="64D9C501">
                      <wp:simplePos x="0" y="0"/>
                      <wp:positionH relativeFrom="column">
                        <wp:posOffset>302260</wp:posOffset>
                      </wp:positionH>
                      <wp:positionV relativeFrom="paragraph">
                        <wp:posOffset>85725</wp:posOffset>
                      </wp:positionV>
                      <wp:extent cx="285750" cy="130175"/>
                      <wp:effectExtent l="0" t="0" r="20320" b="23495"/>
                      <wp:wrapNone/>
                      <wp:docPr id="107" name="Strelica lijevo-desno 475"/>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5" fillcolor="#54883d" stroked="t" style="position:absolute;margin-left:23.8pt;margin-top:6.75pt;width:22.4pt;height:10.15pt" wp14:anchorId="64D9C501" type="shapetype_69">
                      <w10:wrap type="none"/>
                      <v:fill o:detectmouseclick="t" type="solid" color2="#ab77c2"/>
                      <v:stroke color="#54883d" weight="25560" joinstyle="round" endcap="flat"/>
                    </v:shape>
                  </w:pict>
                </mc:Fallback>
              </mc:AlternateContent>
            </w:r>
            <w:r>
              <w:rPr>
                <w:rFonts w:eastAsia="Calibri" w:cs="Times New Roman" w:ascii="Times New Roman" w:hAnsi="Times New Roman"/>
                <w:color w:val="auto"/>
                <w:sz w:val="20"/>
                <w:szCs w:val="20"/>
                <w:lang w:eastAsia="hr-HR"/>
              </w:rPr>
              <w:t>O</w:t>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S nosivim zidovima, ne projektirane na potres</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3" wp14:anchorId="4DCA0318">
                      <wp:simplePos x="0" y="0"/>
                      <wp:positionH relativeFrom="column">
                        <wp:posOffset>-123825</wp:posOffset>
                      </wp:positionH>
                      <wp:positionV relativeFrom="paragraph">
                        <wp:posOffset>89535</wp:posOffset>
                      </wp:positionV>
                      <wp:extent cx="285750" cy="130175"/>
                      <wp:effectExtent l="0" t="0" r="20320" b="23495"/>
                      <wp:wrapNone/>
                      <wp:docPr id="108" name="Strelica lijevo-desno 476"/>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6" fillcolor="#54883d" stroked="t" style="position:absolute;margin-left:-9.75pt;margin-top:7.05pt;width:22.4pt;height:10.15pt" wp14:anchorId="4DCA0318" type="shapetype_69">
                      <w10:wrap type="none"/>
                      <v:fill o:detectmouseclick="t" type="solid" color2="#ab77c2"/>
                      <v:stroke color="#54883d" weight="25560" joinstyle="round" endcap="flat"/>
                    </v:shape>
                  </w:pict>
                </mc:Fallback>
              </mc:AlternateContent>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S nosivim zidovima, umjerene potresne otpornosti</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4" wp14:anchorId="59675BC1">
                      <wp:simplePos x="0" y="0"/>
                      <wp:positionH relativeFrom="column">
                        <wp:posOffset>-172720</wp:posOffset>
                      </wp:positionH>
                      <wp:positionV relativeFrom="paragraph">
                        <wp:posOffset>85725</wp:posOffset>
                      </wp:positionV>
                      <wp:extent cx="285750" cy="130175"/>
                      <wp:effectExtent l="0" t="0" r="20320" b="23495"/>
                      <wp:wrapNone/>
                      <wp:docPr id="109" name="Strelica lijevo-desno 477"/>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7" fillcolor="#54883d" stroked="t" style="position:absolute;margin-left:-13.6pt;margin-top:6.75pt;width:22.4pt;height:10.15pt" wp14:anchorId="59675BC1" type="shapetype_69">
                      <w10:wrap type="none"/>
                      <v:fill o:detectmouseclick="t" type="solid" color2="#ab77c2"/>
                      <v:stroke color="#54883d" weight="25560" joinstyle="round" endcap="flat"/>
                    </v:shape>
                  </w:pict>
                </mc:Fallback>
              </mc:AlternateContent>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S nosivim zidovima, velike potresne otpornosti</w:t>
            </w:r>
          </w:p>
        </w:tc>
        <w:tc>
          <w:tcPr>
            <w:tcW w:w="710"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65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57"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5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5" wp14:anchorId="1230A378">
                      <wp:simplePos x="0" y="0"/>
                      <wp:positionH relativeFrom="column">
                        <wp:posOffset>-146050</wp:posOffset>
                      </wp:positionH>
                      <wp:positionV relativeFrom="paragraph">
                        <wp:posOffset>92710</wp:posOffset>
                      </wp:positionV>
                      <wp:extent cx="285750" cy="130175"/>
                      <wp:effectExtent l="0" t="0" r="20320" b="23495"/>
                      <wp:wrapNone/>
                      <wp:docPr id="110" name="Strelica lijevo-desno 478"/>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8" fillcolor="#54883d" stroked="t" style="position:absolute;margin-left:-11.5pt;margin-top:7.3pt;width:22.4pt;height:10.15pt" wp14:anchorId="1230A378" type="shapetype_69">
                      <w10:wrap type="none"/>
                      <v:fill o:detectmouseclick="t" type="solid" color2="#ab77c2"/>
                      <v:stroke color="#54883d" weight="25560" joinstyle="round" endcap="flat"/>
                    </v:shape>
                  </w:pict>
                </mc:Fallback>
              </mc:AlternateContent>
            </w:r>
          </w:p>
        </w:tc>
      </w:tr>
      <w:tr>
        <w:trPr/>
        <w:tc>
          <w:tcPr>
            <w:tcW w:w="9060" w:type="dxa"/>
            <w:gridSpan w:val="1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Čelične zgrade</w:t>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Čelične zgrade</w:t>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0"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3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6" wp14:anchorId="544DE8D3">
                      <wp:simplePos x="0" y="0"/>
                      <wp:positionH relativeFrom="column">
                        <wp:posOffset>-138430</wp:posOffset>
                      </wp:positionH>
                      <wp:positionV relativeFrom="paragraph">
                        <wp:posOffset>70485</wp:posOffset>
                      </wp:positionV>
                      <wp:extent cx="285750" cy="130175"/>
                      <wp:effectExtent l="0" t="0" r="20320" b="23495"/>
                      <wp:wrapNone/>
                      <wp:docPr id="111" name="Strelica lijevo-desno 479"/>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479" fillcolor="#54883d" stroked="t" style="position:absolute;margin-left:-10.9pt;margin-top:5.55pt;width:22.4pt;height:10.15pt" wp14:anchorId="544DE8D3" type="shapetype_69">
                      <w10:wrap type="none"/>
                      <v:fill o:detectmouseclick="t" type="solid" color2="#ab77c2"/>
                      <v:stroke color="#54883d" weight="25560" joinstyle="round" endcap="flat"/>
                    </v:shape>
                  </w:pict>
                </mc:Fallback>
              </mc:AlternateContent>
            </w:r>
          </w:p>
        </w:tc>
      </w:tr>
      <w:tr>
        <w:trPr/>
        <w:tc>
          <w:tcPr>
            <w:tcW w:w="9060" w:type="dxa"/>
            <w:gridSpan w:val="12"/>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Drvene zgrade</w:t>
            </w:r>
          </w:p>
        </w:tc>
      </w:tr>
      <w:tr>
        <w:trPr/>
        <w:tc>
          <w:tcPr>
            <w:tcW w:w="4672" w:type="dxa"/>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Drvene zgrade</w:t>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0"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color w:val="auto"/>
                <w:sz w:val="20"/>
                <w:szCs w:val="20"/>
                <w:lang w:eastAsia="hr-HR"/>
              </w:rPr>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before="80" w:after="80"/>
              <w:jc w:val="left"/>
              <w:rPr>
                <w:rFonts w:eastAsia="Calibri" w:cs="Times New Roman"/>
                <w:color w:val="auto"/>
                <w:sz w:val="20"/>
                <w:szCs w:val="20"/>
              </w:rPr>
            </w:pPr>
            <w:r>
              <w:rPr>
                <w:rFonts w:eastAsia="Calibri" w:cs="Times New Roman" w:ascii="Times New Roman" w:hAnsi="Times New Roman"/>
                <w:color w:val="auto"/>
                <w:sz w:val="20"/>
                <w:szCs w:val="20"/>
                <w:lang w:eastAsia="hr-HR"/>
              </w:rPr>
              <w:t>O</w:t>
            </w:r>
          </w:p>
        </w:tc>
        <w:tc>
          <w:tcPr>
            <w:tcW w:w="73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color w:val="auto"/>
                <w:sz w:val="20"/>
                <w:szCs w:val="20"/>
                <w:lang w:eastAsia="hr-HR"/>
              </w:rPr>
              <mc:AlternateContent>
                <mc:Choice Requires="wps">
                  <w:drawing>
                    <wp:anchor behindDoc="0" distT="0" distB="0" distL="0" distR="0" simplePos="0" locked="0" layoutInCell="1" allowOverlap="1" relativeHeight="67" wp14:anchorId="6516CA94">
                      <wp:simplePos x="0" y="0"/>
                      <wp:positionH relativeFrom="column">
                        <wp:posOffset>-137795</wp:posOffset>
                      </wp:positionH>
                      <wp:positionV relativeFrom="paragraph">
                        <wp:posOffset>79375</wp:posOffset>
                      </wp:positionV>
                      <wp:extent cx="285750" cy="130175"/>
                      <wp:effectExtent l="0" t="0" r="20320" b="23495"/>
                      <wp:wrapNone/>
                      <wp:docPr id="112" name="Strelica lijevo-desno 225"/>
                      <a:graphic xmlns:a="http://schemas.openxmlformats.org/drawingml/2006/main">
                        <a:graphicData uri="http://schemas.microsoft.com/office/word/2010/wordprocessingShape">
                          <wps:wsp>
                            <wps:cNvSpPr/>
                            <wps:spPr>
                              <a:xfrm>
                                <a:off x="0" y="0"/>
                                <a:ext cx="285120" cy="129600"/>
                              </a:xfrm>
                              <a:prstGeom prst="leftRightArrow">
                                <a:avLst>
                                  <a:gd name="adj1" fmla="val 50000"/>
                                  <a:gd name="adj2" fmla="val 50000"/>
                                </a:avLst>
                              </a:prstGeom>
                              <a:solidFill>
                                <a:srgbClr val="54883d"/>
                              </a:solidFill>
                              <a:ln w="25560">
                                <a:solidFill>
                                  <a:srgbClr val="54883d"/>
                                </a:solidFill>
                                <a:round/>
                              </a:ln>
                            </wps:spPr>
                            <wps:style>
                              <a:lnRef idx="0"/>
                              <a:fillRef idx="0"/>
                              <a:effectRef idx="0"/>
                              <a:fontRef idx="minor"/>
                            </wps:style>
                            <wps:bodyPr/>
                          </wps:wsp>
                        </a:graphicData>
                      </a:graphic>
                    </wp:anchor>
                  </w:drawing>
                </mc:Choice>
                <mc:Fallback>
                  <w:pict>
                    <v:shape id="shape_0" ID="Strelica lijevo-desno 225" fillcolor="#54883d" stroked="t" style="position:absolute;margin-left:-10.85pt;margin-top:6.25pt;width:22.4pt;height:10.15pt" wp14:anchorId="6516CA94" type="shapetype_69">
                      <w10:wrap type="none"/>
                      <v:fill o:detectmouseclick="t" type="solid" color2="#ab77c2"/>
                      <v:stroke color="#54883d" weight="25560" joinstyle="round" endcap="flat"/>
                    </v:shape>
                  </w:pict>
                </mc:Fallback>
              </mc:AlternateContent>
            </w:r>
          </w:p>
        </w:tc>
        <w:tc>
          <w:tcPr>
            <w:tcW w:w="732"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80"/>
              <w:jc w:val="left"/>
              <w:rPr>
                <w:rFonts w:eastAsia="Calibri" w:cs="Times New Roman"/>
                <w:color w:val="auto"/>
                <w:sz w:val="20"/>
                <w:szCs w:val="20"/>
              </w:rPr>
            </w:pPr>
            <w:r>
              <w:rPr>
                <w:rFonts w:eastAsia="Calibri" w:cs="Times New Roman"/>
                <w:color w:val="auto"/>
                <w:sz w:val="20"/>
                <w:szCs w:val="20"/>
                <w:lang w:eastAsia="hr-HR"/>
              </w:rPr>
            </w:r>
          </w:p>
        </w:tc>
      </w:tr>
    </w:tbl>
    <w:p>
      <w:pPr>
        <w:pStyle w:val="Normal"/>
        <w:jc w:val="center"/>
        <w:rPr>
          <w:i/>
          <w:i/>
          <w:color w:val="54883D"/>
          <w:sz w:val="20"/>
          <w:szCs w:val="20"/>
        </w:rPr>
      </w:pPr>
      <w:r>
        <w:rPr>
          <w:i/>
          <w:color w:val="54883D"/>
          <w:sz w:val="20"/>
          <w:szCs w:val="20"/>
        </w:rPr>
        <w:t>Izvor: European Macroseismic Scale 1998, GFZ Potsdam, Germany 1998.</w:t>
      </w:r>
    </w:p>
    <w:p>
      <w:pPr>
        <w:pStyle w:val="Normal"/>
        <w:rPr>
          <w:highlight w:val="yellow"/>
        </w:rPr>
      </w:pPr>
      <w:r>
        <w:rPr>
          <w:highlight w:val="yellow"/>
        </w:rPr>
      </w:r>
    </w:p>
    <w:p>
      <w:pPr>
        <w:pStyle w:val="Normal"/>
        <w:rPr>
          <w:szCs w:val="22"/>
        </w:rPr>
      </w:pPr>
      <w:r>
        <w:rPr/>
        <w:t xml:space="preserve">Dakle, </w:t>
      </w:r>
      <w:r>
        <w:rPr>
          <w:szCs w:val="22"/>
        </w:rPr>
        <w:t>koriste se sljedeće aproksimacije za raspodjelu objekata po kategorijama gradnje:</w:t>
      </w:r>
    </w:p>
    <w:p>
      <w:pPr>
        <w:pStyle w:val="ListParagraph"/>
        <w:numPr>
          <w:ilvl w:val="0"/>
          <w:numId w:val="25"/>
        </w:numPr>
        <w:rPr/>
      </w:pPr>
      <w:r>
        <w:rPr/>
        <w:t>20% zidane zgrade Tip I (zgrade zidane do 1940. godine)</w:t>
      </w:r>
    </w:p>
    <w:p>
      <w:pPr>
        <w:pStyle w:val="ListParagraph"/>
        <w:numPr>
          <w:ilvl w:val="0"/>
          <w:numId w:val="25"/>
        </w:numPr>
        <w:rPr/>
      </w:pPr>
      <w:r>
        <w:rPr/>
        <w:t>15% zidane zgrade s armirano betonskim serklažima Tip II (od 1945-tih godina do 1960-tih godina)</w:t>
      </w:r>
    </w:p>
    <w:p>
      <w:pPr>
        <w:pStyle w:val="ListParagraph"/>
        <w:numPr>
          <w:ilvl w:val="0"/>
          <w:numId w:val="25"/>
        </w:numPr>
        <w:rPr/>
      </w:pPr>
      <w:r>
        <w:rPr/>
        <w:t>35% armiranobetonske skeletne zgrade Tip III (od 1960-tih godina do danas)</w:t>
      </w:r>
    </w:p>
    <w:p>
      <w:pPr>
        <w:pStyle w:val="ListParagraph"/>
        <w:numPr>
          <w:ilvl w:val="0"/>
          <w:numId w:val="25"/>
        </w:numPr>
        <w:rPr/>
      </w:pPr>
      <w:r>
        <w:rPr/>
        <w:t>20% zgrade sa sustavom armiranobetonskih nosivih zidova Tip IV(od 1960-tih godina do danas)</w:t>
      </w:r>
    </w:p>
    <w:p>
      <w:pPr>
        <w:pStyle w:val="ListParagraph"/>
        <w:numPr>
          <w:ilvl w:val="0"/>
          <w:numId w:val="25"/>
        </w:numPr>
        <w:rPr/>
      </w:pPr>
      <w:r>
        <w:rPr/>
        <w:t>10% skeletne zgrade s armiranobetonskim nosivim zidovima Tip V (od 1960-tih godina do danas)</w:t>
      </w:r>
    </w:p>
    <w:p>
      <w:pPr>
        <w:pStyle w:val="Normal"/>
        <w:rPr>
          <w:szCs w:val="22"/>
        </w:rPr>
      </w:pPr>
      <w:r>
        <w:rPr>
          <w:szCs w:val="22"/>
        </w:rPr>
      </w:r>
    </w:p>
    <w:p>
      <w:pPr>
        <w:pStyle w:val="Normal"/>
        <w:rPr>
          <w:szCs w:val="22"/>
        </w:rPr>
      </w:pPr>
      <w:r>
        <w:rPr>
          <w:szCs w:val="22"/>
        </w:rPr>
        <w:t>Kod proračuna materijalne štete, odnosno broja oštećenih objekata uzima se ukupan broj stanova (3.126 stambenih jedinica).</w:t>
      </w:r>
    </w:p>
    <w:p>
      <w:pPr>
        <w:pStyle w:val="Normal"/>
        <w:spacing w:before="120" w:after="120"/>
        <w:rPr>
          <w:i/>
          <w:i/>
          <w:iCs/>
          <w:color w:val="54883D"/>
          <w:u w:val="single"/>
        </w:rPr>
      </w:pPr>
      <w:r>
        <w:rPr>
          <w:i/>
          <w:iCs/>
          <w:color w:val="54883D"/>
          <w:u w:val="single"/>
        </w:rPr>
        <w:t>Procjena broja oštećenja objekata</w:t>
      </w:r>
    </w:p>
    <w:tbl>
      <w:tblPr>
        <w:tblStyle w:val="TableGrid"/>
        <w:tblW w:w="9543" w:type="dxa"/>
        <w:jc w:val="left"/>
        <w:tblInd w:w="0" w:type="dxa"/>
        <w:tblCellMar>
          <w:top w:w="0" w:type="dxa"/>
          <w:left w:w="108" w:type="dxa"/>
          <w:bottom w:w="0" w:type="dxa"/>
          <w:right w:w="108" w:type="dxa"/>
        </w:tblCellMar>
        <w:tblLook w:firstRow="1" w:noVBand="1" w:lastRow="0" w:firstColumn="1" w:lastColumn="0" w:noHBand="0" w:val="04a0"/>
      </w:tblPr>
      <w:tblGrid>
        <w:gridCol w:w="1257"/>
        <w:gridCol w:w="1544"/>
        <w:gridCol w:w="1124"/>
        <w:gridCol w:w="1125"/>
        <w:gridCol w:w="1123"/>
        <w:gridCol w:w="1123"/>
        <w:gridCol w:w="1122"/>
        <w:gridCol w:w="1123"/>
      </w:tblGrid>
      <w:tr>
        <w:trPr>
          <w:trHeight w:val="204" w:hRule="atLeast"/>
        </w:trPr>
        <w:tc>
          <w:tcPr>
            <w:tcW w:w="1257"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Tip gradnje</w:t>
            </w:r>
          </w:p>
        </w:tc>
        <w:tc>
          <w:tcPr>
            <w:tcW w:w="154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Ukupno stanova u Gradu Buje</w:t>
            </w:r>
          </w:p>
        </w:tc>
        <w:tc>
          <w:tcPr>
            <w:tcW w:w="6740" w:type="dxa"/>
            <w:gridSpan w:val="6"/>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OŠTEĆENJA</w:t>
            </w:r>
          </w:p>
        </w:tc>
      </w:tr>
      <w:tr>
        <w:trPr>
          <w:trHeight w:val="160" w:hRule="atLeast"/>
        </w:trPr>
        <w:tc>
          <w:tcPr>
            <w:tcW w:w="1257"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154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112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sz w:val="20"/>
                <w:szCs w:val="20"/>
                <w:lang w:eastAsia="hr-HR"/>
              </w:rPr>
              <w:t>Nema oštećenja</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I.</w:t>
            </w:r>
          </w:p>
        </w:tc>
        <w:tc>
          <w:tcPr>
            <w:tcW w:w="1123"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II.</w:t>
            </w:r>
          </w:p>
        </w:tc>
        <w:tc>
          <w:tcPr>
            <w:tcW w:w="1123"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III.</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0"/>
              <w:jc w:val="center"/>
              <w:rPr>
                <w:b/>
                <w:b/>
                <w:color w:val="auto"/>
                <w:sz w:val="20"/>
                <w:szCs w:val="20"/>
              </w:rPr>
            </w:pPr>
            <w:r>
              <w:rPr>
                <w:rFonts w:eastAsia="Times New Roman" w:cs="Times New Roman" w:ascii="Times New Roman" w:hAnsi="Times New Roman"/>
                <w:b/>
                <w:color w:val="auto"/>
                <w:sz w:val="20"/>
                <w:szCs w:val="20"/>
                <w:lang w:eastAsia="hr-HR"/>
              </w:rPr>
              <w:t>IV.</w:t>
            </w:r>
          </w:p>
        </w:tc>
        <w:tc>
          <w:tcPr>
            <w:tcW w:w="1123"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V.</w:t>
            </w:r>
          </w:p>
        </w:tc>
      </w:tr>
      <w:tr>
        <w:trPr>
          <w:trHeight w:val="776" w:hRule="atLeast"/>
        </w:trPr>
        <w:tc>
          <w:tcPr>
            <w:tcW w:w="1257"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154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112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szCs w:val="20"/>
              </w:rPr>
            </w:pPr>
            <w:r>
              <w:rPr>
                <w:sz w:val="20"/>
                <w:szCs w:val="20"/>
                <w:lang w:eastAsia="hr-HR"/>
              </w:rPr>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Neznatno do blago oštećenje</w:t>
            </w:r>
          </w:p>
        </w:tc>
        <w:tc>
          <w:tcPr>
            <w:tcW w:w="1123"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Umjereno oštećenje</w:t>
            </w:r>
          </w:p>
        </w:tc>
        <w:tc>
          <w:tcPr>
            <w:tcW w:w="1123"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Značajno do teško oštećenje</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0"/>
              <w:jc w:val="center"/>
              <w:rPr>
                <w:color w:val="auto"/>
                <w:sz w:val="20"/>
                <w:szCs w:val="20"/>
              </w:rPr>
            </w:pPr>
            <w:r>
              <w:rPr>
                <w:rFonts w:eastAsia="Times New Roman" w:cs="Times New Roman" w:ascii="Times New Roman" w:hAnsi="Times New Roman"/>
                <w:color w:val="auto"/>
                <w:sz w:val="20"/>
                <w:szCs w:val="20"/>
                <w:lang w:eastAsia="hr-HR"/>
              </w:rPr>
              <w:t>Vrlo teško oštećenje</w:t>
            </w:r>
          </w:p>
        </w:tc>
        <w:tc>
          <w:tcPr>
            <w:tcW w:w="1123"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Rušenje</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A</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625</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125</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375</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auto"/>
                <w:sz w:val="20"/>
                <w:szCs w:val="20"/>
                <w:lang w:eastAsia="hr-HR"/>
              </w:rPr>
              <w:t>125</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B</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469</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94</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281</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94</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auto"/>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C</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1094</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875</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219</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0</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625</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500</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125</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E</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313</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sz w:val="20"/>
                <w:szCs w:val="20"/>
                <w:lang w:eastAsia="hr-HR"/>
              </w:rPr>
              <w:t>313</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F</w:t>
            </w:r>
          </w:p>
        </w:tc>
        <w:tc>
          <w:tcPr>
            <w:tcW w:w="15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color w:val="auto"/>
                <w:sz w:val="20"/>
                <w:szCs w:val="20"/>
              </w:rPr>
            </w:pPr>
            <w:r>
              <w:rPr>
                <w:rFonts w:eastAsia="Times New Roman" w:cs="Times New Roman" w:ascii="Times New Roman" w:hAnsi="Times New Roman"/>
                <w:color w:val="000000"/>
                <w:sz w:val="20"/>
                <w:szCs w:val="20"/>
                <w:lang w:eastAsia="hr-HR"/>
              </w:rPr>
              <w:t>0</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sz w:val="20"/>
                <w:szCs w:val="20"/>
              </w:rPr>
            </w:pPr>
            <w:r>
              <w:rPr>
                <w:rFonts w:eastAsia="Times New Roman" w:cs="Times New Roman" w:ascii="Times New Roman" w:hAnsi="Times New Roman"/>
                <w:color w:val="000000"/>
                <w:sz w:val="20"/>
                <w:szCs w:val="20"/>
                <w:lang w:eastAsia="hr-HR"/>
              </w:rPr>
              <w:t>0</w:t>
            </w:r>
          </w:p>
        </w:tc>
      </w:tr>
      <w:tr>
        <w:trPr>
          <w:trHeight w:val="309" w:hRule="atLeast"/>
        </w:trPr>
        <w:tc>
          <w:tcPr>
            <w:tcW w:w="1257"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UKUPNO:</w:t>
            </w:r>
          </w:p>
        </w:tc>
        <w:tc>
          <w:tcPr>
            <w:tcW w:w="1544" w:type="dxa"/>
            <w:tcBorders>
              <w:top w:val="single" w:sz="4" w:space="0" w:color="54883D"/>
              <w:left w:val="single" w:sz="4" w:space="0" w:color="54883D"/>
              <w:bottom w:val="single" w:sz="4" w:space="0" w:color="54883D"/>
              <w:right w:val="single" w:sz="4" w:space="0" w:color="54883D"/>
            </w:tcBorders>
            <w:vAlign w:val="bottom"/>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3.126</w:t>
            </w:r>
          </w:p>
        </w:tc>
        <w:tc>
          <w:tcPr>
            <w:tcW w:w="1124"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0"/>
              <w:jc w:val="center"/>
              <w:rPr>
                <w:b/>
                <w:b/>
                <w:color w:val="000000"/>
                <w:sz w:val="20"/>
                <w:szCs w:val="20"/>
              </w:rPr>
            </w:pPr>
            <w:r>
              <w:rPr>
                <w:rFonts w:eastAsia="Times New Roman" w:cs="Times New Roman" w:ascii="Times New Roman" w:hAnsi="Times New Roman"/>
                <w:b/>
                <w:color w:val="000000"/>
                <w:sz w:val="20"/>
                <w:szCs w:val="20"/>
                <w:lang w:eastAsia="hr-HR"/>
              </w:rPr>
              <w:t>813</w:t>
            </w:r>
          </w:p>
        </w:tc>
        <w:tc>
          <w:tcPr>
            <w:tcW w:w="1125"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bottom"/>
          </w:tcPr>
          <w:p>
            <w:pPr>
              <w:pStyle w:val="Normal"/>
              <w:spacing w:lineRule="auto" w:line="240" w:before="80" w:after="0"/>
              <w:jc w:val="center"/>
              <w:rPr>
                <w:b/>
                <w:b/>
                <w:color w:val="000000"/>
                <w:sz w:val="20"/>
                <w:szCs w:val="20"/>
              </w:rPr>
            </w:pPr>
            <w:r>
              <w:rPr>
                <w:rFonts w:eastAsia="Times New Roman" w:cs="Times New Roman" w:ascii="Times New Roman" w:hAnsi="Times New Roman"/>
                <w:b/>
                <w:color w:val="000000"/>
                <w:sz w:val="20"/>
                <w:szCs w:val="20"/>
                <w:lang w:eastAsia="hr-HR"/>
              </w:rPr>
              <w:t>1094</w:t>
            </w:r>
          </w:p>
        </w:tc>
        <w:tc>
          <w:tcPr>
            <w:tcW w:w="112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b/>
                <w:b/>
                <w:color w:val="000000"/>
                <w:sz w:val="20"/>
                <w:szCs w:val="20"/>
              </w:rPr>
            </w:pPr>
            <w:r>
              <w:rPr>
                <w:rFonts w:eastAsia="Times New Roman" w:cs="Times New Roman" w:ascii="Times New Roman" w:hAnsi="Times New Roman"/>
                <w:b/>
                <w:color w:val="000000"/>
                <w:sz w:val="20"/>
                <w:szCs w:val="20"/>
                <w:lang w:eastAsia="hr-HR"/>
              </w:rPr>
              <w:t>625</w:t>
            </w:r>
          </w:p>
        </w:tc>
        <w:tc>
          <w:tcPr>
            <w:tcW w:w="112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b/>
                <w:b/>
                <w:color w:val="000000"/>
                <w:sz w:val="20"/>
                <w:szCs w:val="20"/>
              </w:rPr>
            </w:pPr>
            <w:r>
              <w:rPr>
                <w:rFonts w:eastAsia="Times New Roman" w:cs="Times New Roman" w:ascii="Times New Roman" w:hAnsi="Times New Roman"/>
                <w:b/>
                <w:color w:val="000000"/>
                <w:sz w:val="20"/>
                <w:szCs w:val="20"/>
                <w:lang w:eastAsia="hr-HR"/>
              </w:rPr>
              <w:t>469</w:t>
            </w:r>
          </w:p>
        </w:tc>
        <w:tc>
          <w:tcPr>
            <w:tcW w:w="1122" w:type="dxa"/>
            <w:tcBorders>
              <w:top w:val="single" w:sz="4" w:space="0" w:color="54883D"/>
              <w:left w:val="single" w:sz="4" w:space="0" w:color="54883D"/>
              <w:bottom w:val="single" w:sz="4" w:space="0" w:color="54883D"/>
              <w:right w:val="single" w:sz="4" w:space="0" w:color="54883D"/>
            </w:tcBorders>
            <w:shd w:color="auto" w:fill="FFC000" w:val="clear"/>
            <w:vAlign w:val="bottom"/>
          </w:tcPr>
          <w:p>
            <w:pPr>
              <w:pStyle w:val="Normal"/>
              <w:spacing w:lineRule="auto" w:line="240" w:before="80" w:after="0"/>
              <w:jc w:val="center"/>
              <w:rPr>
                <w:b/>
                <w:b/>
                <w:color w:val="auto"/>
                <w:sz w:val="20"/>
                <w:szCs w:val="20"/>
              </w:rPr>
            </w:pPr>
            <w:r>
              <w:rPr>
                <w:rFonts w:eastAsia="Times New Roman" w:cs="Times New Roman" w:ascii="Times New Roman" w:hAnsi="Times New Roman"/>
                <w:b/>
                <w:color w:val="auto"/>
                <w:sz w:val="20"/>
                <w:szCs w:val="20"/>
                <w:lang w:eastAsia="hr-HR"/>
              </w:rPr>
              <w:t>125</w:t>
            </w:r>
          </w:p>
        </w:tc>
        <w:tc>
          <w:tcPr>
            <w:tcW w:w="112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b/>
                <w:b/>
                <w:color w:val="000000"/>
                <w:sz w:val="20"/>
                <w:szCs w:val="20"/>
              </w:rPr>
            </w:pPr>
            <w:r>
              <w:rPr>
                <w:rFonts w:eastAsia="Times New Roman" w:cs="Times New Roman" w:ascii="Times New Roman" w:hAnsi="Times New Roman"/>
                <w:b/>
                <w:color w:val="000000"/>
                <w:sz w:val="20"/>
                <w:szCs w:val="20"/>
                <w:lang w:eastAsia="hr-HR"/>
              </w:rPr>
              <w:t>0</w:t>
            </w:r>
          </w:p>
        </w:tc>
      </w:tr>
    </w:tbl>
    <w:p>
      <w:pPr>
        <w:pStyle w:val="Normal"/>
        <w:rPr/>
      </w:pPr>
      <w:r>
        <w:rPr/>
      </w:r>
    </w:p>
    <w:p>
      <w:pPr>
        <w:pStyle w:val="Normal"/>
        <w:spacing w:lineRule="auto" w:line="360"/>
        <w:rPr>
          <w:b/>
          <w:b/>
          <w:szCs w:val="22"/>
        </w:rPr>
      </w:pPr>
      <w:r>
        <w:rPr>
          <w:b/>
          <w:szCs w:val="22"/>
        </w:rPr>
        <w:t xml:space="preserve">Objekti tipa A: </w:t>
      </w:r>
    </w:p>
    <w:p>
      <w:pPr>
        <w:pStyle w:val="Normal"/>
        <w:numPr>
          <w:ilvl w:val="0"/>
          <w:numId w:val="45"/>
        </w:numPr>
        <w:spacing w:before="120" w:after="120"/>
        <w:rPr>
          <w:bCs/>
          <w:color w:val="000000"/>
          <w:szCs w:val="22"/>
          <w:lang w:eastAsia="hr-HR"/>
        </w:rPr>
      </w:pPr>
      <w:r>
        <w:rPr>
          <w:bCs/>
          <w:color w:val="000000"/>
          <w:szCs w:val="22"/>
          <w:lang w:eastAsia="hr-HR"/>
        </w:rPr>
        <w:t>0 objekata pretrpjet će teška oštećenja</w:t>
      </w:r>
    </w:p>
    <w:p>
      <w:pPr>
        <w:pStyle w:val="Normal"/>
        <w:numPr>
          <w:ilvl w:val="0"/>
          <w:numId w:val="45"/>
        </w:numPr>
        <w:spacing w:before="120" w:after="120"/>
        <w:rPr>
          <w:bCs/>
          <w:color w:val="000000"/>
          <w:szCs w:val="22"/>
          <w:lang w:eastAsia="hr-HR"/>
        </w:rPr>
      </w:pPr>
      <w:r>
        <w:rPr>
          <w:bCs/>
          <w:color w:val="000000"/>
          <w:szCs w:val="22"/>
          <w:lang w:eastAsia="hr-HR"/>
        </w:rPr>
        <w:t>125 objekata pretrpjet će vrlo teško oštećenje</w:t>
      </w:r>
    </w:p>
    <w:p>
      <w:pPr>
        <w:pStyle w:val="Normal"/>
        <w:numPr>
          <w:ilvl w:val="0"/>
          <w:numId w:val="45"/>
        </w:numPr>
        <w:spacing w:before="120" w:after="120"/>
        <w:rPr>
          <w:bCs/>
          <w:color w:val="000000"/>
          <w:szCs w:val="22"/>
          <w:lang w:eastAsia="hr-HR"/>
        </w:rPr>
      </w:pPr>
      <w:r>
        <w:rPr>
          <w:bCs/>
          <w:color w:val="000000"/>
          <w:szCs w:val="22"/>
          <w:lang w:eastAsia="hr-HR"/>
        </w:rPr>
        <w:t>375 objekata pretrpjet će rušenje</w:t>
      </w:r>
    </w:p>
    <w:p>
      <w:pPr>
        <w:pStyle w:val="Normal"/>
        <w:spacing w:lineRule="auto" w:line="360"/>
        <w:rPr>
          <w:b/>
          <w:b/>
          <w:szCs w:val="22"/>
        </w:rPr>
      </w:pPr>
      <w:r>
        <w:rPr>
          <w:b/>
          <w:szCs w:val="22"/>
        </w:rPr>
        <w:t>Objekti tipa B:</w:t>
      </w:r>
    </w:p>
    <w:p>
      <w:pPr>
        <w:pStyle w:val="Normal"/>
        <w:numPr>
          <w:ilvl w:val="0"/>
          <w:numId w:val="46"/>
        </w:numPr>
        <w:spacing w:before="120" w:after="120"/>
        <w:rPr>
          <w:bCs/>
          <w:color w:val="000000"/>
          <w:szCs w:val="22"/>
          <w:lang w:eastAsia="hr-HR"/>
        </w:rPr>
      </w:pPr>
      <w:r>
        <w:rPr>
          <w:bCs/>
          <w:color w:val="000000"/>
          <w:szCs w:val="22"/>
          <w:lang w:eastAsia="hr-HR"/>
        </w:rPr>
        <w:t>281 objekta pretrpjet će umjerena oštećenja</w:t>
      </w:r>
    </w:p>
    <w:p>
      <w:pPr>
        <w:pStyle w:val="Normal"/>
        <w:numPr>
          <w:ilvl w:val="0"/>
          <w:numId w:val="46"/>
        </w:numPr>
        <w:spacing w:before="120" w:after="120"/>
        <w:rPr>
          <w:bCs/>
          <w:color w:val="000000"/>
          <w:szCs w:val="22"/>
          <w:lang w:eastAsia="hr-HR"/>
        </w:rPr>
      </w:pPr>
      <w:r>
        <w:rPr>
          <w:bCs/>
          <w:color w:val="000000"/>
          <w:szCs w:val="22"/>
          <w:lang w:eastAsia="hr-HR"/>
        </w:rPr>
        <w:t>94 objekata pretrpjet će značajna do teška oštećenja</w:t>
      </w:r>
    </w:p>
    <w:p>
      <w:pPr>
        <w:pStyle w:val="Normal"/>
        <w:numPr>
          <w:ilvl w:val="0"/>
          <w:numId w:val="46"/>
        </w:numPr>
        <w:spacing w:before="120" w:after="120"/>
        <w:rPr>
          <w:bCs/>
          <w:color w:val="000000"/>
          <w:szCs w:val="22"/>
          <w:lang w:eastAsia="hr-HR"/>
        </w:rPr>
      </w:pPr>
      <w:r>
        <w:rPr>
          <w:bCs/>
          <w:color w:val="000000"/>
          <w:szCs w:val="22"/>
          <w:lang w:eastAsia="hr-HR"/>
        </w:rPr>
        <w:t>0 objekata pretrpjet će vrlo teško oštećenje</w:t>
      </w:r>
    </w:p>
    <w:p>
      <w:pPr>
        <w:pStyle w:val="Normal"/>
        <w:spacing w:lineRule="auto" w:line="360"/>
        <w:rPr>
          <w:b/>
          <w:b/>
        </w:rPr>
      </w:pPr>
      <w:r>
        <w:rPr>
          <w:b/>
        </w:rPr>
        <w:t>Objekti tip C:</w:t>
      </w:r>
    </w:p>
    <w:p>
      <w:pPr>
        <w:pStyle w:val="Normal"/>
        <w:numPr>
          <w:ilvl w:val="0"/>
          <w:numId w:val="47"/>
        </w:numPr>
        <w:spacing w:before="120" w:after="120"/>
        <w:rPr>
          <w:bCs/>
          <w:color w:val="000000"/>
          <w:szCs w:val="22"/>
          <w:lang w:eastAsia="hr-HR"/>
        </w:rPr>
      </w:pPr>
      <w:r>
        <w:rPr>
          <w:bCs/>
          <w:color w:val="000000"/>
          <w:szCs w:val="22"/>
          <w:lang w:eastAsia="hr-HR"/>
        </w:rPr>
        <w:t>875 objekata pretrpjet će blaga oštećenja</w:t>
      </w:r>
    </w:p>
    <w:p>
      <w:pPr>
        <w:pStyle w:val="Normal"/>
        <w:numPr>
          <w:ilvl w:val="0"/>
          <w:numId w:val="47"/>
        </w:numPr>
        <w:spacing w:before="120" w:after="120"/>
        <w:rPr>
          <w:bCs/>
          <w:color w:val="000000"/>
          <w:szCs w:val="22"/>
          <w:lang w:eastAsia="hr-HR"/>
        </w:rPr>
      </w:pPr>
      <w:r>
        <w:rPr>
          <w:bCs/>
          <w:color w:val="000000"/>
          <w:szCs w:val="22"/>
          <w:lang w:eastAsia="hr-HR"/>
        </w:rPr>
        <w:t>219 objekta pretrpjet će umjerena oštećenja</w:t>
      </w:r>
    </w:p>
    <w:p>
      <w:pPr>
        <w:pStyle w:val="Normal"/>
        <w:numPr>
          <w:ilvl w:val="0"/>
          <w:numId w:val="47"/>
        </w:numPr>
        <w:spacing w:before="120" w:after="120"/>
        <w:rPr>
          <w:bCs/>
          <w:color w:val="000000"/>
          <w:szCs w:val="22"/>
          <w:lang w:eastAsia="hr-HR"/>
        </w:rPr>
      </w:pPr>
      <w:r>
        <w:rPr>
          <w:bCs/>
          <w:color w:val="000000"/>
          <w:szCs w:val="22"/>
          <w:lang w:eastAsia="hr-HR"/>
        </w:rPr>
        <w:t>0 objekta pretrpjet će teško oštećenje</w:t>
      </w:r>
    </w:p>
    <w:p>
      <w:pPr>
        <w:pStyle w:val="Normal"/>
        <w:spacing w:lineRule="auto" w:line="360"/>
        <w:rPr>
          <w:b/>
          <w:b/>
        </w:rPr>
      </w:pPr>
      <w:r>
        <w:rPr>
          <w:b/>
        </w:rPr>
        <w:t>Objekti tipa D:</w:t>
      </w:r>
    </w:p>
    <w:p>
      <w:pPr>
        <w:pStyle w:val="Normal"/>
        <w:numPr>
          <w:ilvl w:val="0"/>
          <w:numId w:val="48"/>
        </w:numPr>
        <w:spacing w:before="120" w:after="120"/>
        <w:rPr>
          <w:bCs/>
          <w:color w:val="000000"/>
          <w:szCs w:val="22"/>
          <w:lang w:eastAsia="hr-HR"/>
        </w:rPr>
      </w:pPr>
      <w:r>
        <w:rPr>
          <w:bCs/>
          <w:color w:val="000000"/>
          <w:szCs w:val="22"/>
          <w:lang w:eastAsia="hr-HR"/>
        </w:rPr>
        <w:t>125 objekata pretrpjet će blaga oštećenja</w:t>
      </w:r>
    </w:p>
    <w:p>
      <w:pPr>
        <w:pStyle w:val="Normal"/>
        <w:numPr>
          <w:ilvl w:val="0"/>
          <w:numId w:val="48"/>
        </w:numPr>
        <w:spacing w:before="120" w:after="120"/>
        <w:rPr>
          <w:bCs/>
          <w:color w:val="000000"/>
          <w:szCs w:val="22"/>
          <w:lang w:eastAsia="hr-HR"/>
        </w:rPr>
      </w:pPr>
      <w:r>
        <w:rPr>
          <w:bCs/>
          <w:color w:val="000000"/>
          <w:szCs w:val="22"/>
          <w:lang w:eastAsia="hr-HR"/>
        </w:rPr>
        <w:t>0 objekata pretrpjet će umjerena oštećenja</w:t>
      </w:r>
    </w:p>
    <w:p>
      <w:pPr>
        <w:pStyle w:val="Normal"/>
        <w:rPr>
          <w:rStyle w:val="IntenseEmphasis"/>
          <w:i w:val="false"/>
          <w:i w:val="false"/>
          <w:color w:val="54883D"/>
        </w:rPr>
      </w:pPr>
      <w:r>
        <w:rPr>
          <w:i w:val="false"/>
          <w:color w:val="54883D"/>
        </w:rPr>
      </w:r>
    </w:p>
    <w:p>
      <w:pPr>
        <w:pStyle w:val="Normal"/>
        <w:rPr>
          <w:rStyle w:val="IntenseEmphasis"/>
          <w:color w:val="54883D"/>
        </w:rPr>
      </w:pPr>
      <w:r>
        <w:rPr>
          <w:rStyle w:val="IntenseEmphasis"/>
          <w:color w:val="54883D"/>
        </w:rPr>
        <w:t>Prognoza broja žrtava</w:t>
      </w:r>
    </w:p>
    <w:p>
      <w:pPr>
        <w:pStyle w:val="Normal"/>
        <w:rPr/>
      </w:pPr>
      <w:r>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pPr>
        <w:pStyle w:val="Normal"/>
        <w:rPr/>
      </w:pPr>
      <w:r>
        <w:rPr/>
        <w:t xml:space="preserve">(1) (BPSZ) = A </w:t>
      </w:r>
      <w:r>
        <w:rPr/>
      </w:r>
      <m:oMath xmlns:m="http://schemas.openxmlformats.org/officeDocument/2006/math"/>
      <w:r>
        <w:rPr/>
      </w:r>
      <m:oMath xmlns:m="http://schemas.openxmlformats.org/officeDocument/2006/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1</m:t>
            </m:r>
          </m:sub>
          <m:sup>
            <m:r>
              <w:rPr>
                <w:rFonts w:ascii="Cambria Math" w:hAnsi="Cambria Math"/>
              </w:rPr>
              <m:t xml:space="preserve">n</m:t>
            </m:r>
          </m:sup>
          <m:e>
            <m:r>
              <w:rPr>
                <w:rFonts w:ascii="Cambria Math" w:hAnsi="Cambria Math"/>
              </w:rPr>
              <m:t xml:space="preserve">B</m:t>
            </m:r>
          </m:e>
        </m:nary>
      </m:oMath>
      <w:r>
        <w:fldChar w:fldCharType="begin"/>
      </w:r>
      <w:r>
        <w:rPr/>
        <w:instrText>QUOTE</w:instrText>
      </w:r>
      <w:r>
        <w:rPr/>
      </w:r>
      <w:r>
        <w:rPr/>
        <w:drawing>
          <wp:inline distT="0" distB="0" distL="0" distR="0">
            <wp:extent cx="304800" cy="428625"/>
            <wp:effectExtent l="0" t="0" r="0" b="0"/>
            <wp:docPr id="113" name="Slik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1" descr=""/>
                    <pic:cNvPicPr>
                      <a:picLocks noChangeAspect="1" noChangeArrowheads="1"/>
                    </pic:cNvPicPr>
                  </pic:nvPicPr>
                  <pic:blipFill>
                    <a:blip r:embed="rId104"/>
                    <a:stretch>
                      <a:fillRect/>
                    </a:stretch>
                  </pic:blipFill>
                  <pic:spPr bwMode="auto">
                    <a:xfrm>
                      <a:off x="0" y="0"/>
                      <a:ext cx="304800" cy="428625"/>
                    </a:xfrm>
                    <a:prstGeom prst="rect">
                      <a:avLst/>
                    </a:prstGeom>
                  </pic:spPr>
                </pic:pic>
              </a:graphicData>
            </a:graphic>
          </wp:inline>
        </w:drawing>
      </w:r>
      <w:r>
        <w:rPr/>
        <w:fldChar w:fldCharType="separate"/>
      </w:r>
      <w:r>
        <w:rPr/>
      </w:r>
      <w:r>
        <w:rPr/>
        <w:drawing>
          <wp:inline distT="0" distB="0" distL="0" distR="0">
            <wp:extent cx="304800" cy="428625"/>
            <wp:effectExtent l="0" t="0" r="0" b="0"/>
            <wp:docPr id="114" name="Slik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lika2" descr=""/>
                    <pic:cNvPicPr>
                      <a:picLocks noChangeAspect="1" noChangeArrowheads="1"/>
                    </pic:cNvPicPr>
                  </pic:nvPicPr>
                  <pic:blipFill>
                    <a:blip r:embed="rId105"/>
                    <a:stretch>
                      <a:fillRect/>
                    </a:stretch>
                  </pic:blipFill>
                  <pic:spPr bwMode="auto">
                    <a:xfrm>
                      <a:off x="0" y="0"/>
                      <a:ext cx="304800" cy="428625"/>
                    </a:xfrm>
                    <a:prstGeom prst="rect">
                      <a:avLst/>
                    </a:prstGeom>
                  </pic:spPr>
                </pic:pic>
              </a:graphicData>
            </a:graphic>
          </wp:inline>
        </w:drawing>
      </w:r>
      <w:r>
        <w:rPr/>
      </w:r>
      <w:r>
        <w:rPr/>
        <w:fldChar w:fldCharType="end"/>
      </w:r>
      <w:r>
        <w:rPr/>
      </w:r>
      <m:oMath xmlns:m="http://schemas.openxmlformats.org/officeDocument/2006/math"/>
      <w:r>
        <w:rPr/>
      </w:r>
      <m:oMath xmlns:m="http://schemas.openxmlformats.org/officeDocument/2006/math">
        <m:nary>
          <m:naryPr>
            <m:chr m:val="∑"/>
          </m:naryPr>
          <m:sub>
            <m:r>
              <w:rPr>
                <w:rFonts w:ascii="Cambria Math" w:hAnsi="Cambria Math"/>
              </w:rPr>
              <m:t xml:space="preserve">j</m:t>
            </m:r>
            <m:r>
              <w:rPr>
                <w:rFonts w:ascii="Cambria Math" w:hAnsi="Cambria Math"/>
              </w:rPr>
              <m:t xml:space="preserve">=</m:t>
            </m:r>
            <m:r>
              <w:rPr>
                <w:rFonts w:ascii="Cambria Math" w:hAnsi="Cambria Math"/>
              </w:rPr>
              <m:t xml:space="preserve">1</m:t>
            </m:r>
          </m:sub>
          <m:sup>
            <m:r>
              <w:rPr>
                <w:rFonts w:ascii="Cambria Math" w:hAnsi="Cambria Math"/>
              </w:rPr>
              <m:t xml:space="preserve">m</m:t>
            </m:r>
          </m:sup>
          <m:e>
            <m:r>
              <m:rPr>
                <m:lit/>
                <m:nor/>
              </m:rPr>
              <w:rPr>
                <w:rFonts w:ascii="Cambria Math" w:hAnsi="Cambria Math"/>
              </w:rPr>
              <m:t xml:space="preserve">CD</m:t>
            </m:r>
          </m:e>
        </m:nary>
      </m:oMath>
      <w:r>
        <w:fldChar w:fldCharType="begin"/>
      </w:r>
      <w:r>
        <w:rPr/>
        <w:instrText>QUOTE</w:instrText>
      </w:r>
      <w:r>
        <w:rPr/>
      </w:r>
      <w:r>
        <w:rPr/>
        <w:drawing>
          <wp:inline distT="0" distB="0" distL="0" distR="0">
            <wp:extent cx="400050" cy="447675"/>
            <wp:effectExtent l="0" t="0" r="0" b="0"/>
            <wp:docPr id="115" name="Picture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9" descr=""/>
                    <pic:cNvPicPr>
                      <a:picLocks noChangeAspect="1" noChangeArrowheads="1"/>
                    </pic:cNvPicPr>
                  </pic:nvPicPr>
                  <pic:blipFill>
                    <a:blip r:embed="rId106"/>
                    <a:stretch>
                      <a:fillRect/>
                    </a:stretch>
                  </pic:blipFill>
                  <pic:spPr bwMode="auto">
                    <a:xfrm>
                      <a:off x="0" y="0"/>
                      <a:ext cx="400050" cy="447675"/>
                    </a:xfrm>
                    <a:prstGeom prst="rect">
                      <a:avLst/>
                    </a:prstGeom>
                  </pic:spPr>
                </pic:pic>
              </a:graphicData>
            </a:graphic>
          </wp:inline>
        </w:drawing>
      </w:r>
      <w:r>
        <w:rPr/>
        <w:fldChar w:fldCharType="separate"/>
      </w:r>
      <w:r>
        <w:rPr/>
      </w:r>
      <w:r>
        <w:rPr/>
        <w:drawing>
          <wp:inline distT="0" distB="0" distL="0" distR="0">
            <wp:extent cx="400050" cy="447675"/>
            <wp:effectExtent l="0" t="0" r="0" b="0"/>
            <wp:docPr id="116" name="Slik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lika3" descr=""/>
                    <pic:cNvPicPr>
                      <a:picLocks noChangeAspect="1" noChangeArrowheads="1"/>
                    </pic:cNvPicPr>
                  </pic:nvPicPr>
                  <pic:blipFill>
                    <a:blip r:embed="rId107"/>
                    <a:stretch>
                      <a:fillRect/>
                    </a:stretch>
                  </pic:blipFill>
                  <pic:spPr bwMode="auto">
                    <a:xfrm>
                      <a:off x="0" y="0"/>
                      <a:ext cx="400050" cy="447675"/>
                    </a:xfrm>
                    <a:prstGeom prst="rect">
                      <a:avLst/>
                    </a:prstGeom>
                  </pic:spPr>
                </pic:pic>
              </a:graphicData>
            </a:graphic>
          </wp:inline>
        </w:drawing>
      </w:r>
      <w:r>
        <w:rPr/>
      </w:r>
      <w:r>
        <w:rPr/>
        <w:fldChar w:fldCharType="end"/>
      </w:r>
    </w:p>
    <w:p>
      <w:pPr>
        <w:pStyle w:val="Normal"/>
        <w:rPr/>
      </w:pPr>
      <w:r>
        <w:rPr>
          <w:position w:val="-30"/>
        </w:rPr>
        <w:t xml:space="preserve">(2) (BDZ) = A </w:t>
      </w:r>
      <w:r>
        <w:rPr/>
      </w:r>
      <m:oMath xmlns:m="http://schemas.openxmlformats.org/officeDocument/2006/math"/>
      <w:r>
        <w:fldChar w:fldCharType="begin"/>
      </w:r>
      <w:r>
        <w:rPr/>
        <w:instrText>QUOTE</w:instrText>
      </w:r>
      <w:r>
        <w:rPr/>
      </w:r>
      <w:r>
        <w:rPr/>
        <w:drawing>
          <wp:inline distT="0" distB="0" distL="0" distR="0">
            <wp:extent cx="304800" cy="428625"/>
            <wp:effectExtent l="0" t="0" r="0" b="0"/>
            <wp:docPr id="117" name="Picture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85" descr=""/>
                    <pic:cNvPicPr>
                      <a:picLocks noChangeAspect="1" noChangeArrowheads="1"/>
                    </pic:cNvPicPr>
                  </pic:nvPicPr>
                  <pic:blipFill>
                    <a:blip r:embed="rId108"/>
                    <a:stretch>
                      <a:fillRect/>
                    </a:stretch>
                  </pic:blipFill>
                  <pic:spPr bwMode="auto">
                    <a:xfrm>
                      <a:off x="0" y="0"/>
                      <a:ext cx="304800" cy="428625"/>
                    </a:xfrm>
                    <a:prstGeom prst="rect">
                      <a:avLst/>
                    </a:prstGeom>
                  </pic:spPr>
                </pic:pic>
              </a:graphicData>
            </a:graphic>
          </wp:inline>
        </w:drawing>
      </w:r>
      <w:r>
        <w:rPr/>
        <w:fldChar w:fldCharType="separate"/>
      </w:r>
      <w:r>
        <w:rPr/>
      </w:r>
      <w:r>
        <w:rPr/>
        <w:drawing>
          <wp:inline distT="0" distB="0" distL="0" distR="0">
            <wp:extent cx="304800" cy="428625"/>
            <wp:effectExtent l="0" t="0" r="0" b="0"/>
            <wp:docPr id="118" name="Picture 9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925" descr=""/>
                    <pic:cNvPicPr>
                      <a:picLocks noChangeAspect="1" noChangeArrowheads="1"/>
                    </pic:cNvPicPr>
                  </pic:nvPicPr>
                  <pic:blipFill>
                    <a:blip r:embed="rId109"/>
                    <a:stretch>
                      <a:fillRect/>
                    </a:stretch>
                  </pic:blipFill>
                  <pic:spPr bwMode="auto">
                    <a:xfrm>
                      <a:off x="0" y="0"/>
                      <a:ext cx="304800" cy="428625"/>
                    </a:xfrm>
                    <a:prstGeom prst="rect">
                      <a:avLst/>
                    </a:prstGeom>
                  </pic:spPr>
                </pic:pic>
              </a:graphicData>
            </a:graphic>
          </wp:inline>
        </w:drawing>
      </w:r>
      <w:r>
        <w:rPr/>
      </w:r>
      <w:r>
        <w:rPr/>
        <w:fldChar w:fldCharType="end"/>
      </w:r>
      <w:r>
        <w:fldChar w:fldCharType="begin"/>
      </w:r>
      <w:r>
        <w:rPr/>
        <w:instrText>QUOTE</w:instrText>
      </w:r>
      <w:r>
        <w:rPr/>
      </w:r>
      <w:r>
        <w:rPr/>
        <w:drawing>
          <wp:inline distT="0" distB="0" distL="0" distR="0">
            <wp:extent cx="523875" cy="447675"/>
            <wp:effectExtent l="0" t="0" r="0" b="0"/>
            <wp:docPr id="119" name="Picture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7" descr=""/>
                    <pic:cNvPicPr>
                      <a:picLocks noChangeAspect="1" noChangeArrowheads="1"/>
                    </pic:cNvPicPr>
                  </pic:nvPicPr>
                  <pic:blipFill>
                    <a:blip r:embed="rId110"/>
                    <a:stretch>
                      <a:fillRect/>
                    </a:stretch>
                  </pic:blipFill>
                  <pic:spPr bwMode="auto">
                    <a:xfrm>
                      <a:off x="0" y="0"/>
                      <a:ext cx="523875" cy="447675"/>
                    </a:xfrm>
                    <a:prstGeom prst="rect">
                      <a:avLst/>
                    </a:prstGeom>
                  </pic:spPr>
                </pic:pic>
              </a:graphicData>
            </a:graphic>
          </wp:inline>
        </w:drawing>
      </w:r>
      <w:r>
        <w:rPr/>
        <w:fldChar w:fldCharType="separate"/>
      </w:r>
      <w:r>
        <w:rPr/>
      </w:r>
      <w:r>
        <w:rPr/>
        <w:drawing>
          <wp:inline distT="0" distB="0" distL="0" distR="0">
            <wp:extent cx="523875" cy="447675"/>
            <wp:effectExtent l="0" t="0" r="0" b="0"/>
            <wp:docPr id="120" name="Slik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Slika5" descr=""/>
                    <pic:cNvPicPr>
                      <a:picLocks noChangeAspect="1" noChangeArrowheads="1"/>
                    </pic:cNvPicPr>
                  </pic:nvPicPr>
                  <pic:blipFill>
                    <a:blip r:embed="rId111"/>
                    <a:stretch>
                      <a:fillRect/>
                    </a:stretch>
                  </pic:blipFill>
                  <pic:spPr bwMode="auto">
                    <a:xfrm>
                      <a:off x="0" y="0"/>
                      <a:ext cx="523875" cy="447675"/>
                    </a:xfrm>
                    <a:prstGeom prst="rect">
                      <a:avLst/>
                    </a:prstGeom>
                  </pic:spPr>
                </pic:pic>
              </a:graphicData>
            </a:graphic>
          </wp:inline>
        </w:drawing>
      </w:r>
      <w:r>
        <w:rPr/>
      </w:r>
      <w:r>
        <w:rPr/>
        <w:fldChar w:fldCharType="end"/>
      </w:r>
      <w:r>
        <w:rPr/>
      </w:r>
      <m:oMath xmlns:m="http://schemas.openxmlformats.org/officeDocument/2006/math">
        <m:nary>
          <m:naryPr>
            <m:chr m:val="∑"/>
          </m:naryPr>
          <m:sub>
            <m:r>
              <w:rPr>
                <w:rFonts w:ascii="Cambria Math" w:hAnsi="Cambria Math"/>
              </w:rPr>
              <m:t xml:space="preserve">i</m:t>
            </m:r>
            <m:r>
              <w:rPr>
                <w:rFonts w:ascii="Cambria Math" w:hAnsi="Cambria Math"/>
              </w:rPr>
              <m:t xml:space="preserve">=</m:t>
            </m:r>
            <m:r>
              <w:rPr>
                <w:rFonts w:ascii="Cambria Math" w:hAnsi="Cambria Math"/>
              </w:rPr>
              <m:t xml:space="preserve">1</m:t>
            </m:r>
          </m:sub>
          <m:sup>
            <m:r>
              <w:rPr>
                <w:rFonts w:ascii="Cambria Math" w:hAnsi="Cambria Math"/>
              </w:rPr>
              <m:t xml:space="preserve">n</m:t>
            </m:r>
          </m:sup>
          <m:e>
            <m:r>
              <w:rPr>
                <w:rFonts w:ascii="Cambria Math" w:hAnsi="Cambria Math"/>
              </w:rPr>
              <m:t xml:space="preserve">B</m:t>
            </m:r>
          </m:e>
        </m:nary>
      </m:oMath>
      <w:r>
        <w:rPr/>
      </w:r>
      <m:oMath xmlns:m="http://schemas.openxmlformats.org/officeDocument/2006/math"/>
      <w:r>
        <w:rPr/>
      </w:r>
      <m:oMath xmlns:m="http://schemas.openxmlformats.org/officeDocument/2006/math">
        <m:nary>
          <m:naryPr>
            <m:chr m:val="∑"/>
          </m:naryPr>
          <m:sub>
            <m:r>
              <w:rPr>
                <w:rFonts w:ascii="Cambria Math" w:hAnsi="Cambria Math"/>
              </w:rPr>
              <m:t xml:space="preserve">j</m:t>
            </m:r>
            <m:r>
              <w:rPr>
                <w:rFonts w:ascii="Cambria Math" w:hAnsi="Cambria Math"/>
              </w:rPr>
              <m:t xml:space="preserve">=</m:t>
            </m:r>
            <m:r>
              <w:rPr>
                <w:rFonts w:ascii="Cambria Math" w:hAnsi="Cambria Math"/>
              </w:rPr>
              <m:t xml:space="preserve">1</m:t>
            </m:r>
          </m:sub>
          <m:sup>
            <m:r>
              <w:rPr>
                <w:rFonts w:ascii="Cambria Math" w:hAnsi="Cambria Math"/>
              </w:rPr>
              <m:t xml:space="preserve">m</m:t>
            </m:r>
          </m:sup>
          <m:e>
            <m:r>
              <m:rPr>
                <m:lit/>
                <m:nor/>
              </m:rPr>
              <w:rPr>
                <w:rFonts w:ascii="Cambria Math" w:hAnsi="Cambria Math"/>
              </w:rPr>
              <m:t xml:space="preserve">CE</m:t>
            </m:r>
          </m:e>
        </m:nary>
      </m:oMath>
    </w:p>
    <w:p>
      <w:pPr>
        <w:pStyle w:val="Normal"/>
        <w:rPr/>
      </w:pPr>
      <w:r>
        <w:rPr/>
        <w:t>gdje je:</w:t>
      </w:r>
    </w:p>
    <w:p>
      <w:pPr>
        <w:pStyle w:val="ListParagraph"/>
        <w:numPr>
          <w:ilvl w:val="0"/>
          <w:numId w:val="26"/>
        </w:numPr>
        <w:rPr/>
      </w:pPr>
      <w:r>
        <w:rPr/>
        <w:t>BPSZ - broj plitko i srednje zatrpanih osoba,</w:t>
      </w:r>
    </w:p>
    <w:p>
      <w:pPr>
        <w:pStyle w:val="ListParagraph"/>
        <w:numPr>
          <w:ilvl w:val="0"/>
          <w:numId w:val="26"/>
        </w:numPr>
        <w:rPr/>
      </w:pPr>
      <w:r>
        <w:rPr/>
        <w:t>BDZ - broj duboko zatrpanih osoba,</w:t>
      </w:r>
    </w:p>
    <w:p>
      <w:pPr>
        <w:pStyle w:val="ListParagraph"/>
        <w:numPr>
          <w:ilvl w:val="0"/>
          <w:numId w:val="26"/>
        </w:numPr>
        <w:rPr/>
      </w:pPr>
      <w:r>
        <w:rPr/>
        <w:t>A - ukupan broj osoba koje žive na nekom području,</w:t>
      </w:r>
    </w:p>
    <w:p>
      <w:pPr>
        <w:pStyle w:val="ListParagraph"/>
        <w:numPr>
          <w:ilvl w:val="0"/>
          <w:numId w:val="26"/>
        </w:numPr>
        <w:rPr/>
      </w:pPr>
      <w:r>
        <w:rPr/>
        <w:t>B - postotak zastupljenosti zgrada određenog konstruktivnog sustava u ukupnom broj stambenih zgrada određene gradske zone,</w:t>
      </w:r>
    </w:p>
    <w:p>
      <w:pPr>
        <w:pStyle w:val="ListParagraph"/>
        <w:numPr>
          <w:ilvl w:val="0"/>
          <w:numId w:val="26"/>
        </w:numPr>
        <w:rPr/>
      </w:pPr>
      <w:r>
        <w:rPr/>
        <w:t xml:space="preserve">C - postotak zastupljenosti zgrada određenog konstruktivnog sistema prema stupnjevima oštećenja za određeni intenzitet procesa u donosu prema ukupnom broju zgrada tog sustava, </w:t>
      </w:r>
    </w:p>
    <w:p>
      <w:pPr>
        <w:pStyle w:val="ListParagraph"/>
        <w:numPr>
          <w:ilvl w:val="0"/>
          <w:numId w:val="26"/>
        </w:numPr>
        <w:rPr/>
      </w:pPr>
      <w:r>
        <w:rPr/>
        <w:t>D - postotak plitko i srednje zatrpanih za j-to oštećenje u i-tom konstruktivnom sustavu,</w:t>
      </w:r>
    </w:p>
    <w:p>
      <w:pPr>
        <w:pStyle w:val="ListParagraph"/>
        <w:numPr>
          <w:ilvl w:val="0"/>
          <w:numId w:val="26"/>
        </w:numPr>
        <w:rPr/>
      </w:pPr>
      <w:r>
        <w:rPr/>
        <w:t>E - postotak duboko zatrpanih za j-to oštećenje u i-tom konstruktivnom sustavu.</w:t>
      </w:r>
    </w:p>
    <w:p>
      <w:pPr>
        <w:pStyle w:val="Caption"/>
        <w:rPr/>
      </w:pPr>
      <w:r>
        <w:rPr/>
      </w:r>
      <w:bookmarkStart w:id="220" w:name="_Toc406573015"/>
      <w:bookmarkStart w:id="221" w:name="_Toc406573015"/>
      <w:bookmarkEnd w:id="221"/>
    </w:p>
    <w:p>
      <w:pPr>
        <w:pStyle w:val="Normal"/>
        <w:rPr>
          <w:i/>
          <w:i/>
          <w:iCs/>
          <w:color w:val="54883D"/>
          <w:u w:val="single"/>
        </w:rPr>
      </w:pPr>
      <w:r>
        <w:rPr>
          <w:i/>
          <w:iCs/>
          <w:color w:val="54883D"/>
          <w:u w:val="single"/>
        </w:rPr>
        <w:t>Procjena broja stradalih stanovnika</w:t>
      </w:r>
    </w:p>
    <w:tbl>
      <w:tblPr>
        <w:tblStyle w:val="TableGrid"/>
        <w:tblW w:w="7372" w:type="dxa"/>
        <w:jc w:val="center"/>
        <w:tblInd w:w="0" w:type="dxa"/>
        <w:tblCellMar>
          <w:top w:w="0" w:type="dxa"/>
          <w:left w:w="108" w:type="dxa"/>
          <w:bottom w:w="0" w:type="dxa"/>
          <w:right w:w="108" w:type="dxa"/>
        </w:tblCellMar>
        <w:tblLook w:firstRow="1" w:noVBand="1" w:lastRow="0" w:firstColumn="1" w:lastColumn="0" w:noHBand="0" w:val="04a0"/>
      </w:tblPr>
      <w:tblGrid>
        <w:gridCol w:w="2404"/>
        <w:gridCol w:w="713"/>
        <w:gridCol w:w="710"/>
        <w:gridCol w:w="709"/>
        <w:gridCol w:w="709"/>
        <w:gridCol w:w="710"/>
        <w:gridCol w:w="1416"/>
      </w:tblGrid>
      <w:tr>
        <w:trPr>
          <w:trHeight w:val="197" w:hRule="atLeast"/>
        </w:trPr>
        <w:tc>
          <w:tcPr>
            <w:tcW w:w="240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jc w:val="center"/>
              <w:rPr>
                <w:b/>
                <w:b/>
                <w:sz w:val="20"/>
                <w:szCs w:val="20"/>
              </w:rPr>
            </w:pPr>
            <w:r>
              <w:rPr>
                <w:rFonts w:eastAsia="Times New Roman" w:cs="Times New Roman" w:ascii="Times New Roman" w:hAnsi="Times New Roman"/>
                <w:b/>
                <w:sz w:val="20"/>
                <w:szCs w:val="20"/>
                <w:lang w:eastAsia="hr-HR"/>
              </w:rPr>
              <w:t>POSLJEDICE</w:t>
            </w:r>
          </w:p>
        </w:tc>
        <w:tc>
          <w:tcPr>
            <w:tcW w:w="3551" w:type="dxa"/>
            <w:gridSpan w:val="5"/>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ind w:right="-493" w:hanging="0"/>
              <w:jc w:val="center"/>
              <w:rPr>
                <w:b/>
                <w:b/>
                <w:iCs/>
                <w:color w:val="54883D"/>
                <w:sz w:val="20"/>
                <w:szCs w:val="20"/>
              </w:rPr>
            </w:pPr>
            <w:r>
              <w:rPr>
                <w:rFonts w:eastAsia="Times New Roman" w:cs="Times New Roman" w:ascii="Times New Roman" w:hAnsi="Times New Roman"/>
                <w:b/>
                <w:iCs/>
                <w:color w:val="auto"/>
                <w:sz w:val="20"/>
                <w:szCs w:val="20"/>
                <w:lang w:eastAsia="hr-HR"/>
              </w:rPr>
              <w:t>OŠTEĆENJA</w:t>
            </w:r>
          </w:p>
        </w:tc>
        <w:tc>
          <w:tcPr>
            <w:tcW w:w="141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BROJ</w:t>
            </w:r>
          </w:p>
          <w:p>
            <w:pPr>
              <w:pStyle w:val="Normal"/>
              <w:spacing w:lineRule="auto" w:line="240" w:before="80" w:after="160"/>
              <w:jc w:val="center"/>
              <w:rPr>
                <w:iCs/>
                <w:color w:val="auto"/>
                <w:sz w:val="20"/>
                <w:szCs w:val="20"/>
              </w:rPr>
            </w:pPr>
            <w:r>
              <w:rPr>
                <w:rFonts w:eastAsia="Times New Roman" w:cs="Times New Roman" w:ascii="Times New Roman" w:hAnsi="Times New Roman"/>
                <w:b/>
                <w:iCs/>
                <w:color w:val="auto"/>
                <w:sz w:val="20"/>
                <w:szCs w:val="20"/>
                <w:lang w:eastAsia="hr-HR"/>
              </w:rPr>
              <w:t>ŽRTAVA</w:t>
            </w:r>
          </w:p>
        </w:tc>
      </w:tr>
      <w:tr>
        <w:trPr>
          <w:trHeight w:val="196" w:hRule="atLeast"/>
        </w:trPr>
        <w:tc>
          <w:tcPr>
            <w:tcW w:w="240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160"/>
              <w:jc w:val="center"/>
              <w:rPr>
                <w:sz w:val="20"/>
                <w:szCs w:val="20"/>
              </w:rPr>
            </w:pPr>
            <w:r>
              <w:rPr>
                <w:sz w:val="20"/>
                <w:szCs w:val="20"/>
                <w:lang w:eastAsia="hr-HR"/>
              </w:rPr>
            </w:r>
          </w:p>
        </w:tc>
        <w:tc>
          <w:tcPr>
            <w:tcW w:w="713" w:type="dxa"/>
            <w:tcBorders>
              <w:top w:val="single" w:sz="4" w:space="0" w:color="54883D"/>
              <w:left w:val="single" w:sz="4" w:space="0" w:color="54883D"/>
              <w:bottom w:val="single" w:sz="4" w:space="0" w:color="54883D"/>
              <w:right w:val="single" w:sz="4" w:space="0" w:color="54883D"/>
            </w:tcBorders>
            <w:shd w:color="auto" w:fill="DAEEF3" w:themeFill="accent5" w:themeFillTint="33" w:val="clear"/>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I.</w:t>
            </w:r>
          </w:p>
        </w:tc>
        <w:tc>
          <w:tcPr>
            <w:tcW w:w="71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II.</w:t>
            </w:r>
          </w:p>
        </w:tc>
        <w:tc>
          <w:tcPr>
            <w:tcW w:w="709"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III.</w:t>
            </w:r>
          </w:p>
        </w:tc>
        <w:tc>
          <w:tcPr>
            <w:tcW w:w="709"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IV.</w:t>
            </w:r>
          </w:p>
        </w:tc>
        <w:tc>
          <w:tcPr>
            <w:tcW w:w="71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160"/>
              <w:jc w:val="center"/>
              <w:rPr>
                <w:b/>
                <w:b/>
                <w:iCs/>
                <w:color w:val="auto"/>
                <w:sz w:val="20"/>
                <w:szCs w:val="20"/>
              </w:rPr>
            </w:pPr>
            <w:r>
              <w:rPr>
                <w:rFonts w:eastAsia="Times New Roman" w:cs="Times New Roman" w:ascii="Times New Roman" w:hAnsi="Times New Roman"/>
                <w:b/>
                <w:iCs/>
                <w:color w:val="auto"/>
                <w:sz w:val="20"/>
                <w:szCs w:val="20"/>
                <w:lang w:eastAsia="hr-HR"/>
              </w:rPr>
              <w:t>V.</w:t>
            </w:r>
          </w:p>
        </w:tc>
        <w:tc>
          <w:tcPr>
            <w:tcW w:w="1416" w:type="dxa"/>
            <w:vMerge w:val="continue"/>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80" w:after="160"/>
              <w:jc w:val="center"/>
              <w:rPr>
                <w:sz w:val="20"/>
                <w:szCs w:val="20"/>
              </w:rPr>
            </w:pPr>
            <w:r>
              <w:rPr>
                <w:sz w:val="20"/>
                <w:szCs w:val="20"/>
                <w:lang w:eastAsia="hr-HR"/>
              </w:rPr>
            </w:r>
          </w:p>
        </w:tc>
      </w:tr>
      <w:tr>
        <w:trPr>
          <w:trHeight w:val="432" w:hRule="atLeast"/>
        </w:trPr>
        <w:tc>
          <w:tcPr>
            <w:tcW w:w="2404" w:type="dxa"/>
            <w:tcBorders>
              <w:top w:val="single" w:sz="4" w:space="0" w:color="54883D"/>
              <w:left w:val="single" w:sz="4" w:space="0" w:color="54883D"/>
              <w:bottom w:val="single" w:sz="4" w:space="0" w:color="54883D"/>
              <w:right w:val="single" w:sz="4" w:space="0" w:color="54883D"/>
            </w:tcBorders>
            <w:shd w:color="000000" w:fill="DCE6F1" w:val="clear"/>
            <w:vAlign w:val="center"/>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Bez ozljeda</w:t>
            </w:r>
          </w:p>
        </w:tc>
        <w:tc>
          <w:tcPr>
            <w:tcW w:w="713"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2715</w:t>
            </w:r>
          </w:p>
        </w:tc>
        <w:tc>
          <w:tcPr>
            <w:tcW w:w="710"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846</w:t>
            </w:r>
          </w:p>
        </w:tc>
        <w:tc>
          <w:tcPr>
            <w:tcW w:w="709"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561</w:t>
            </w:r>
          </w:p>
        </w:tc>
        <w:tc>
          <w:tcPr>
            <w:tcW w:w="709"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114</w:t>
            </w:r>
          </w:p>
        </w:tc>
        <w:tc>
          <w:tcPr>
            <w:tcW w:w="710"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1416" w:type="dxa"/>
            <w:tcBorders>
              <w:top w:val="single" w:sz="4" w:space="0" w:color="54883D"/>
              <w:left w:val="single" w:sz="4" w:space="0" w:color="54883D"/>
              <w:bottom w:val="single" w:sz="4" w:space="0" w:color="54883D"/>
              <w:right w:val="single" w:sz="4" w:space="0" w:color="54883D"/>
            </w:tcBorders>
            <w:shd w:color="000000" w:fill="DCE6F1" w:val="clear"/>
            <w:vAlign w:val="bottom"/>
          </w:tcPr>
          <w:p>
            <w:pPr>
              <w:pStyle w:val="Normal"/>
              <w:spacing w:lineRule="auto" w:line="240" w:before="80" w:after="0"/>
              <w:jc w:val="center"/>
              <w:rPr>
                <w:b/>
                <w:b/>
                <w:iCs/>
                <w:color w:val="auto"/>
                <w:sz w:val="20"/>
                <w:szCs w:val="20"/>
              </w:rPr>
            </w:pPr>
            <w:r>
              <w:rPr>
                <w:rFonts w:eastAsia="Times New Roman" w:cs="Times New Roman" w:ascii="Times New Roman" w:hAnsi="Times New Roman"/>
                <w:b/>
                <w:iCs/>
                <w:color w:val="auto"/>
                <w:sz w:val="20"/>
                <w:szCs w:val="20"/>
                <w:lang w:eastAsia="hr-HR"/>
              </w:rPr>
              <w:t>4236</w:t>
            </w:r>
          </w:p>
        </w:tc>
      </w:tr>
      <w:tr>
        <w:trPr>
          <w:trHeight w:val="432" w:hRule="atLeast"/>
        </w:trPr>
        <w:tc>
          <w:tcPr>
            <w:tcW w:w="2404" w:type="dxa"/>
            <w:tcBorders>
              <w:top w:val="single" w:sz="4" w:space="0" w:color="54883D"/>
              <w:left w:val="single" w:sz="4" w:space="0" w:color="54883D"/>
              <w:bottom w:val="single" w:sz="4" w:space="0" w:color="54883D"/>
              <w:right w:val="single" w:sz="4" w:space="0" w:color="54883D"/>
            </w:tcBorders>
            <w:shd w:color="000000" w:fill="92D050" w:val="clear"/>
            <w:vAlign w:val="center"/>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Lake ozlijede</w:t>
            </w:r>
          </w:p>
        </w:tc>
        <w:tc>
          <w:tcPr>
            <w:tcW w:w="713"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0</w:t>
            </w:r>
          </w:p>
        </w:tc>
        <w:tc>
          <w:tcPr>
            <w:tcW w:w="710"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27</w:t>
            </w:r>
          </w:p>
        </w:tc>
        <w:tc>
          <w:tcPr>
            <w:tcW w:w="709"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80</w:t>
            </w:r>
          </w:p>
        </w:tc>
        <w:tc>
          <w:tcPr>
            <w:tcW w:w="709"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34</w:t>
            </w:r>
          </w:p>
        </w:tc>
        <w:tc>
          <w:tcPr>
            <w:tcW w:w="710"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1416" w:type="dxa"/>
            <w:tcBorders>
              <w:top w:val="single" w:sz="4" w:space="0" w:color="54883D"/>
              <w:left w:val="single" w:sz="4" w:space="0" w:color="54883D"/>
              <w:bottom w:val="single" w:sz="4" w:space="0" w:color="54883D"/>
              <w:right w:val="single" w:sz="4" w:space="0" w:color="54883D"/>
            </w:tcBorders>
            <w:shd w:color="000000" w:fill="92D050" w:val="clear"/>
            <w:vAlign w:val="bottom"/>
          </w:tcPr>
          <w:p>
            <w:pPr>
              <w:pStyle w:val="Normal"/>
              <w:spacing w:lineRule="auto" w:line="240" w:before="80" w:after="0"/>
              <w:jc w:val="center"/>
              <w:rPr>
                <w:b/>
                <w:b/>
                <w:iCs/>
                <w:color w:val="auto"/>
                <w:sz w:val="20"/>
                <w:szCs w:val="20"/>
              </w:rPr>
            </w:pPr>
            <w:r>
              <w:rPr>
                <w:rFonts w:eastAsia="Times New Roman" w:cs="Times New Roman" w:ascii="Times New Roman" w:hAnsi="Times New Roman"/>
                <w:b/>
                <w:iCs/>
                <w:color w:val="auto"/>
                <w:sz w:val="20"/>
                <w:szCs w:val="20"/>
                <w:lang w:eastAsia="hr-HR"/>
              </w:rPr>
              <w:t>141</w:t>
            </w:r>
          </w:p>
        </w:tc>
      </w:tr>
      <w:tr>
        <w:trPr>
          <w:trHeight w:val="527" w:hRule="atLeast"/>
        </w:trPr>
        <w:tc>
          <w:tcPr>
            <w:tcW w:w="2404" w:type="dxa"/>
            <w:tcBorders>
              <w:top w:val="single" w:sz="4" w:space="0" w:color="54883D"/>
              <w:left w:val="single" w:sz="4" w:space="0" w:color="54883D"/>
              <w:bottom w:val="single" w:sz="4" w:space="0" w:color="54883D"/>
              <w:right w:val="single" w:sz="4" w:space="0" w:color="54883D"/>
            </w:tcBorders>
            <w:shd w:color="000000" w:fill="FFFF00" w:val="clear"/>
            <w:vAlign w:val="center"/>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Liječenje kod liječnika</w:t>
            </w:r>
          </w:p>
        </w:tc>
        <w:tc>
          <w:tcPr>
            <w:tcW w:w="713"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0</w:t>
            </w:r>
          </w:p>
        </w:tc>
        <w:tc>
          <w:tcPr>
            <w:tcW w:w="710"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18</w:t>
            </w:r>
          </w:p>
        </w:tc>
        <w:tc>
          <w:tcPr>
            <w:tcW w:w="709"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27</w:t>
            </w:r>
          </w:p>
        </w:tc>
        <w:tc>
          <w:tcPr>
            <w:tcW w:w="709"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4</w:t>
            </w:r>
          </w:p>
        </w:tc>
        <w:tc>
          <w:tcPr>
            <w:tcW w:w="710"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1416" w:type="dxa"/>
            <w:tcBorders>
              <w:top w:val="single" w:sz="4" w:space="0" w:color="54883D"/>
              <w:left w:val="single" w:sz="4" w:space="0" w:color="54883D"/>
              <w:bottom w:val="single" w:sz="4" w:space="0" w:color="54883D"/>
              <w:right w:val="single" w:sz="4" w:space="0" w:color="54883D"/>
            </w:tcBorders>
            <w:shd w:color="000000" w:fill="FFFF00" w:val="clear"/>
            <w:vAlign w:val="bottom"/>
          </w:tcPr>
          <w:p>
            <w:pPr>
              <w:pStyle w:val="Normal"/>
              <w:spacing w:lineRule="auto" w:line="240" w:before="80" w:after="0"/>
              <w:jc w:val="center"/>
              <w:rPr>
                <w:b/>
                <w:b/>
                <w:iCs/>
                <w:color w:val="auto"/>
                <w:sz w:val="20"/>
                <w:szCs w:val="20"/>
              </w:rPr>
            </w:pPr>
            <w:r>
              <w:rPr>
                <w:rFonts w:eastAsia="Times New Roman" w:cs="Times New Roman" w:ascii="Times New Roman" w:hAnsi="Times New Roman"/>
                <w:b/>
                <w:iCs/>
                <w:color w:val="auto"/>
                <w:sz w:val="20"/>
                <w:szCs w:val="20"/>
                <w:lang w:eastAsia="hr-HR"/>
              </w:rPr>
              <w:t>48</w:t>
            </w:r>
          </w:p>
        </w:tc>
      </w:tr>
      <w:tr>
        <w:trPr>
          <w:trHeight w:val="444" w:hRule="atLeast"/>
        </w:trPr>
        <w:tc>
          <w:tcPr>
            <w:tcW w:w="2404" w:type="dxa"/>
            <w:tcBorders>
              <w:top w:val="single" w:sz="4" w:space="0" w:color="54883D"/>
              <w:left w:val="single" w:sz="4" w:space="0" w:color="54883D"/>
              <w:bottom w:val="single" w:sz="4" w:space="0" w:color="54883D"/>
              <w:right w:val="single" w:sz="4" w:space="0" w:color="54883D"/>
            </w:tcBorders>
            <w:shd w:color="000000" w:fill="F79646" w:val="clear"/>
            <w:vAlign w:val="center"/>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Hospitalizacija</w:t>
            </w:r>
          </w:p>
        </w:tc>
        <w:tc>
          <w:tcPr>
            <w:tcW w:w="713"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0</w:t>
            </w:r>
          </w:p>
        </w:tc>
        <w:tc>
          <w:tcPr>
            <w:tcW w:w="710"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709"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709"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11</w:t>
            </w:r>
          </w:p>
        </w:tc>
        <w:tc>
          <w:tcPr>
            <w:tcW w:w="710"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1416" w:type="dxa"/>
            <w:tcBorders>
              <w:top w:val="single" w:sz="4" w:space="0" w:color="54883D"/>
              <w:left w:val="single" w:sz="4" w:space="0" w:color="54883D"/>
              <w:bottom w:val="single" w:sz="4" w:space="0" w:color="54883D"/>
              <w:right w:val="single" w:sz="4" w:space="0" w:color="54883D"/>
            </w:tcBorders>
            <w:shd w:color="000000" w:fill="F79646" w:val="clear"/>
            <w:vAlign w:val="bottom"/>
          </w:tcPr>
          <w:p>
            <w:pPr>
              <w:pStyle w:val="Normal"/>
              <w:spacing w:lineRule="auto" w:line="240" w:before="80" w:after="0"/>
              <w:jc w:val="center"/>
              <w:rPr>
                <w:b/>
                <w:b/>
                <w:iCs/>
                <w:color w:val="auto"/>
                <w:sz w:val="20"/>
                <w:szCs w:val="20"/>
              </w:rPr>
            </w:pPr>
            <w:r>
              <w:rPr>
                <w:rFonts w:eastAsia="Times New Roman" w:cs="Times New Roman" w:ascii="Times New Roman" w:hAnsi="Times New Roman"/>
                <w:b/>
                <w:iCs/>
                <w:color w:val="auto"/>
                <w:sz w:val="20"/>
                <w:szCs w:val="20"/>
                <w:lang w:eastAsia="hr-HR"/>
              </w:rPr>
              <w:t>11</w:t>
            </w:r>
          </w:p>
        </w:tc>
      </w:tr>
      <w:tr>
        <w:trPr>
          <w:trHeight w:val="432" w:hRule="atLeast"/>
        </w:trPr>
        <w:tc>
          <w:tcPr>
            <w:tcW w:w="2404" w:type="dxa"/>
            <w:tcBorders>
              <w:top w:val="single" w:sz="4" w:space="0" w:color="54883D"/>
              <w:left w:val="single" w:sz="4" w:space="0" w:color="54883D"/>
              <w:bottom w:val="single" w:sz="4" w:space="0" w:color="54883D"/>
              <w:right w:val="single" w:sz="4" w:space="0" w:color="54883D"/>
            </w:tcBorders>
            <w:shd w:color="000000" w:fill="FF0000" w:val="clear"/>
            <w:vAlign w:val="center"/>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Smrt</w:t>
            </w:r>
          </w:p>
        </w:tc>
        <w:tc>
          <w:tcPr>
            <w:tcW w:w="713"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i/>
                <w:i/>
                <w:iCs/>
                <w:color w:val="54883D"/>
                <w:sz w:val="20"/>
                <w:szCs w:val="20"/>
              </w:rPr>
            </w:pPr>
            <w:r>
              <w:rPr>
                <w:rFonts w:eastAsia="Times New Roman" w:cs="Times New Roman" w:ascii="Times New Roman" w:hAnsi="Times New Roman"/>
                <w:color w:val="000000"/>
                <w:sz w:val="20"/>
                <w:szCs w:val="20"/>
                <w:lang w:eastAsia="hr-HR"/>
              </w:rPr>
              <w:t>0</w:t>
            </w:r>
          </w:p>
        </w:tc>
        <w:tc>
          <w:tcPr>
            <w:tcW w:w="710"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709"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709"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16</w:t>
            </w:r>
          </w:p>
        </w:tc>
        <w:tc>
          <w:tcPr>
            <w:tcW w:w="710"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iCs/>
                <w:color w:val="auto"/>
                <w:sz w:val="20"/>
                <w:szCs w:val="20"/>
              </w:rPr>
            </w:pPr>
            <w:r>
              <w:rPr>
                <w:rFonts w:eastAsia="Times New Roman" w:cs="Times New Roman" w:ascii="Times New Roman" w:hAnsi="Times New Roman"/>
                <w:iCs/>
                <w:color w:val="auto"/>
                <w:sz w:val="20"/>
                <w:szCs w:val="20"/>
                <w:lang w:eastAsia="hr-HR"/>
              </w:rPr>
              <w:t>0</w:t>
            </w:r>
          </w:p>
        </w:tc>
        <w:tc>
          <w:tcPr>
            <w:tcW w:w="1416" w:type="dxa"/>
            <w:tcBorders>
              <w:top w:val="single" w:sz="4" w:space="0" w:color="54883D"/>
              <w:left w:val="single" w:sz="4" w:space="0" w:color="54883D"/>
              <w:bottom w:val="single" w:sz="4" w:space="0" w:color="54883D"/>
              <w:right w:val="single" w:sz="4" w:space="0" w:color="54883D"/>
            </w:tcBorders>
            <w:shd w:color="000000" w:fill="FF0000" w:val="clear"/>
            <w:vAlign w:val="bottom"/>
          </w:tcPr>
          <w:p>
            <w:pPr>
              <w:pStyle w:val="Normal"/>
              <w:spacing w:lineRule="auto" w:line="240" w:before="80" w:after="0"/>
              <w:jc w:val="center"/>
              <w:rPr>
                <w:b/>
                <w:b/>
                <w:iCs/>
                <w:color w:val="auto"/>
                <w:sz w:val="20"/>
                <w:szCs w:val="20"/>
              </w:rPr>
            </w:pPr>
            <w:r>
              <w:rPr>
                <w:rFonts w:eastAsia="Times New Roman" w:cs="Times New Roman" w:ascii="Times New Roman" w:hAnsi="Times New Roman"/>
                <w:b/>
                <w:iCs/>
                <w:color w:val="auto"/>
                <w:sz w:val="20"/>
                <w:szCs w:val="20"/>
                <w:lang w:eastAsia="hr-HR"/>
              </w:rPr>
              <w:t>16</w:t>
            </w:r>
          </w:p>
        </w:tc>
      </w:tr>
    </w:tbl>
    <w:p>
      <w:pPr>
        <w:pStyle w:val="Normal"/>
        <w:rPr/>
      </w:pPr>
      <w:r>
        <w:rPr/>
      </w:r>
    </w:p>
    <w:p>
      <w:pPr>
        <w:pStyle w:val="Normal"/>
        <w:spacing w:before="120" w:after="120"/>
        <w:rPr/>
      </w:pPr>
      <w:r>
        <w:rPr/>
        <w:t>Procjena stupnja oštećenja objekata i broja stanovnika u njima omogućuje procjenjivanje broja ozlijeđenih i poginulih stanovnika. Veći stupanj oštećenja građevine upućuje i na veći rizik od ozljeđivanja, pa se pri pojavi potresa od VII° prema ljestvici EMS-98 očekuju sljedeće posljedice na stanovnike Grada:</w:t>
      </w:r>
    </w:p>
    <w:p>
      <w:pPr>
        <w:pStyle w:val="Normal"/>
        <w:numPr>
          <w:ilvl w:val="0"/>
          <w:numId w:val="49"/>
        </w:numPr>
        <w:spacing w:before="120" w:after="120"/>
        <w:rPr>
          <w:bCs/>
          <w:color w:val="000000"/>
          <w:szCs w:val="22"/>
          <w:lang w:eastAsia="hr-HR"/>
        </w:rPr>
      </w:pPr>
      <w:r>
        <w:rPr>
          <w:bCs/>
          <w:color w:val="000000"/>
          <w:szCs w:val="22"/>
          <w:lang w:eastAsia="hr-HR"/>
        </w:rPr>
        <w:t>4.236osoba neće pretrpjeti nikakve ozljede,</w:t>
      </w:r>
    </w:p>
    <w:p>
      <w:pPr>
        <w:pStyle w:val="Normal"/>
        <w:numPr>
          <w:ilvl w:val="0"/>
          <w:numId w:val="49"/>
        </w:numPr>
        <w:spacing w:before="120" w:after="120"/>
        <w:rPr>
          <w:bCs/>
          <w:color w:val="000000"/>
          <w:szCs w:val="22"/>
          <w:lang w:eastAsia="hr-HR"/>
        </w:rPr>
      </w:pPr>
      <w:r>
        <w:rPr>
          <w:bCs/>
          <w:color w:val="000000"/>
          <w:szCs w:val="22"/>
          <w:lang w:eastAsia="hr-HR"/>
        </w:rPr>
        <w:t>141 osoba zadobiti će lake ozljede,</w:t>
      </w:r>
    </w:p>
    <w:p>
      <w:pPr>
        <w:pStyle w:val="Normal"/>
        <w:numPr>
          <w:ilvl w:val="0"/>
          <w:numId w:val="49"/>
        </w:numPr>
        <w:spacing w:before="120" w:after="120"/>
        <w:rPr>
          <w:bCs/>
          <w:color w:val="000000"/>
          <w:szCs w:val="22"/>
          <w:lang w:eastAsia="hr-HR"/>
        </w:rPr>
      </w:pPr>
      <w:r>
        <w:rPr>
          <w:bCs/>
          <w:color w:val="000000"/>
          <w:szCs w:val="22"/>
          <w:lang w:eastAsia="hr-HR"/>
        </w:rPr>
        <w:t>48 osoba zadobiti će ozljede koje mogu sanirati liječnici opće medicine ili hitna pomoć,</w:t>
      </w:r>
    </w:p>
    <w:p>
      <w:pPr>
        <w:pStyle w:val="Normal"/>
        <w:numPr>
          <w:ilvl w:val="0"/>
          <w:numId w:val="49"/>
        </w:numPr>
        <w:spacing w:before="120" w:after="120"/>
        <w:rPr>
          <w:bCs/>
          <w:color w:val="000000"/>
          <w:szCs w:val="22"/>
          <w:lang w:eastAsia="hr-HR"/>
        </w:rPr>
      </w:pPr>
      <w:r>
        <w:rPr>
          <w:bCs/>
          <w:color w:val="000000"/>
          <w:szCs w:val="22"/>
          <w:lang w:eastAsia="hr-HR"/>
        </w:rPr>
        <w:t>11 osoba zadobiti će teške ozljede koje će zahtijevati bolničko liječenje,</w:t>
      </w:r>
    </w:p>
    <w:p>
      <w:pPr>
        <w:pStyle w:val="Normal"/>
        <w:numPr>
          <w:ilvl w:val="0"/>
          <w:numId w:val="49"/>
        </w:numPr>
        <w:spacing w:before="120" w:after="120"/>
        <w:rPr>
          <w:bCs/>
          <w:color w:val="000000"/>
          <w:szCs w:val="22"/>
          <w:lang w:eastAsia="hr-HR"/>
        </w:rPr>
      </w:pPr>
      <w:r>
        <w:rPr>
          <w:bCs/>
          <w:color w:val="000000"/>
          <w:szCs w:val="22"/>
          <w:lang w:eastAsia="hr-HR"/>
        </w:rPr>
        <w:t>16 osoba smrtno će stradati.</w:t>
      </w:r>
    </w:p>
    <w:p>
      <w:pPr>
        <w:pStyle w:val="Normal"/>
        <w:rPr>
          <w:highlight w:val="yellow"/>
        </w:rPr>
      </w:pPr>
      <w:r>
        <w:rPr>
          <w:highlight w:val="yellow"/>
        </w:rPr>
      </w:r>
    </w:p>
    <w:p>
      <w:pPr>
        <w:pStyle w:val="Normal"/>
        <w:rPr>
          <w:rStyle w:val="IntenseEmphasis"/>
          <w:b/>
          <w:b/>
          <w:i w:val="false"/>
          <w:i w:val="false"/>
          <w:color w:val="auto"/>
          <w:u w:val="single"/>
        </w:rPr>
      </w:pPr>
      <w:r>
        <w:rPr>
          <w:rStyle w:val="IntenseEmphasis"/>
          <w:b/>
          <w:i w:val="false"/>
          <w:color w:val="auto"/>
          <w:u w:val="single"/>
        </w:rPr>
        <w:t>Posljedice</w:t>
      </w:r>
    </w:p>
    <w:p>
      <w:pPr>
        <w:pStyle w:val="Normal"/>
        <w:rPr>
          <w:i/>
          <w:i/>
          <w:color w:val="54883D"/>
        </w:rPr>
      </w:pPr>
      <w:r>
        <w:rPr>
          <w:i/>
          <w:color w:val="54883D"/>
        </w:rPr>
        <w:t>Život i zdravlje ljudi</w:t>
      </w:r>
    </w:p>
    <w:p>
      <w:pPr>
        <w:pStyle w:val="Normal"/>
        <w:spacing w:before="120" w:after="120"/>
        <w:rPr/>
      </w:pPr>
      <w:r>
        <w:rPr/>
        <w:t xml:space="preserve">Na području Grada Buje sukladno statističkom praćenju te seizmološkim procjenama i proračunima, razmatra se mogućim potres do VIIº po EMS-98 ljestvici. Ovi </w:t>
      </w:r>
      <w:r>
        <w:rPr>
          <w:szCs w:val="22"/>
        </w:rPr>
        <w:t>primarni kao i sekundarni učinci potresa imali bi sljedeće posljedice:</w:t>
      </w:r>
    </w:p>
    <w:p>
      <w:pPr>
        <w:pStyle w:val="Normal"/>
        <w:numPr>
          <w:ilvl w:val="0"/>
          <w:numId w:val="49"/>
        </w:numPr>
        <w:spacing w:before="120" w:after="120"/>
        <w:rPr>
          <w:bCs/>
          <w:color w:val="000000"/>
          <w:szCs w:val="22"/>
          <w:lang w:eastAsia="hr-HR"/>
        </w:rPr>
      </w:pPr>
      <w:r>
        <w:rPr>
          <w:bCs/>
          <w:color w:val="000000"/>
          <w:szCs w:val="22"/>
          <w:lang w:eastAsia="hr-HR"/>
        </w:rPr>
        <w:t>4.236 osoba neće pretrpjeti nikakve ozljede,</w:t>
      </w:r>
    </w:p>
    <w:p>
      <w:pPr>
        <w:pStyle w:val="Normal"/>
        <w:numPr>
          <w:ilvl w:val="0"/>
          <w:numId w:val="49"/>
        </w:numPr>
        <w:spacing w:before="120" w:after="120"/>
        <w:rPr>
          <w:bCs/>
          <w:color w:val="000000"/>
          <w:szCs w:val="22"/>
          <w:lang w:eastAsia="hr-HR"/>
        </w:rPr>
      </w:pPr>
      <w:r>
        <w:rPr>
          <w:bCs/>
          <w:color w:val="000000"/>
          <w:szCs w:val="22"/>
          <w:lang w:eastAsia="hr-HR"/>
        </w:rPr>
        <w:t>141 osoba zadobit će lake ozljede,</w:t>
      </w:r>
    </w:p>
    <w:p>
      <w:pPr>
        <w:pStyle w:val="Normal"/>
        <w:numPr>
          <w:ilvl w:val="0"/>
          <w:numId w:val="49"/>
        </w:numPr>
        <w:spacing w:before="120" w:after="120"/>
        <w:rPr>
          <w:bCs/>
          <w:color w:val="000000"/>
          <w:szCs w:val="22"/>
          <w:lang w:eastAsia="hr-HR"/>
        </w:rPr>
      </w:pPr>
      <w:r>
        <w:rPr>
          <w:bCs/>
          <w:color w:val="000000"/>
          <w:szCs w:val="22"/>
          <w:lang w:eastAsia="hr-HR"/>
        </w:rPr>
        <w:t>48 osoba zadobiti će ozljede koje mogu sanirati liječnici opće medicine ili hitna pomoć,</w:t>
      </w:r>
    </w:p>
    <w:p>
      <w:pPr>
        <w:pStyle w:val="Normal"/>
        <w:numPr>
          <w:ilvl w:val="0"/>
          <w:numId w:val="49"/>
        </w:numPr>
        <w:spacing w:before="120" w:after="120"/>
        <w:rPr>
          <w:bCs/>
          <w:color w:val="000000"/>
          <w:szCs w:val="22"/>
          <w:lang w:eastAsia="hr-HR"/>
        </w:rPr>
      </w:pPr>
      <w:r>
        <w:rPr>
          <w:bCs/>
          <w:color w:val="000000"/>
          <w:szCs w:val="22"/>
          <w:lang w:eastAsia="hr-HR"/>
        </w:rPr>
        <w:t>11 osoba zadobiti će teške ozljede koje će zahtijevati bolničko liječenje,</w:t>
      </w:r>
    </w:p>
    <w:p>
      <w:pPr>
        <w:pStyle w:val="Normal"/>
        <w:numPr>
          <w:ilvl w:val="0"/>
          <w:numId w:val="49"/>
        </w:numPr>
        <w:spacing w:before="120" w:after="120"/>
        <w:rPr>
          <w:bCs/>
          <w:color w:val="000000"/>
          <w:szCs w:val="22"/>
          <w:lang w:eastAsia="hr-HR"/>
        </w:rPr>
      </w:pPr>
      <w:r>
        <w:rPr>
          <w:bCs/>
          <w:color w:val="000000"/>
          <w:szCs w:val="22"/>
          <w:lang w:eastAsia="hr-HR"/>
        </w:rPr>
        <w:t>16 osoba smrtno će stradati.</w:t>
      </w:r>
    </w:p>
    <w:p>
      <w:pPr>
        <w:pStyle w:val="Normal"/>
        <w:spacing w:before="120" w:after="120"/>
        <w:rPr/>
      </w:pPr>
      <w:r>
        <w:rPr/>
        <w:t>Osim osoba kojima bi stambeni objekti bili u potpunosti srušeni, potrebno bi bilo zbrinuti sve obitelji kojima bi njihovi stambeni objekti bili toliko oštećeni da nisu sigurni za korištenje. Možemo pretpostaviti da bi bilo potrebno evakuirati 846 osobe. Kod potresa u pravilu nastaju veće štete što je područje gušće naseljeno. U otklanjanje posljedica nužno će se morati uključiti šira društvena zajednica, a oporavak može biti dugotrajan. S obzirom na uključene podatke, odabiru se katastrofalne posljedice.</w:t>
      </w:r>
    </w:p>
    <w:p>
      <w:pPr>
        <w:pStyle w:val="Normal"/>
        <w:rPr>
          <w:color w:val="54883D"/>
        </w:rPr>
      </w:pPr>
      <w:r>
        <w:rPr>
          <w:color w:val="54883D"/>
        </w:rPr>
      </w:r>
    </w:p>
    <w:p>
      <w:pPr>
        <w:pStyle w:val="Caption"/>
        <w:rPr/>
      </w:pPr>
      <w:r>
        <w:rPr/>
        <w:t xml:space="preserve">Tablica </w:t>
      </w:r>
      <w:r>
        <w:rPr/>
        <w:fldChar w:fldCharType="begin"/>
      </w:r>
      <w:r>
        <w:rPr/>
        <w:instrText> SEQ Tabela \* ARABIC </w:instrText>
      </w:r>
      <w:r>
        <w:rPr/>
        <w:fldChar w:fldCharType="separate"/>
      </w:r>
      <w:r>
        <w:rPr/>
        <w:t>34</w:t>
      </w:r>
      <w:r>
        <w:rPr/>
        <w:fldChar w:fldCharType="end"/>
      </w:r>
      <w:r>
        <w:rPr/>
        <w:t>. Vrijednost kriterija za posljedice na život i zdravlje ljudi po kategorijama - potres</w:t>
      </w:r>
    </w:p>
    <w:tbl>
      <w:tblPr>
        <w:tblStyle w:val="ivopisnatablicareetke6-isticanje312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79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45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BROJ UGROŽENIH OSOBA %</w:t>
            </w:r>
          </w:p>
        </w:tc>
        <w:tc>
          <w:tcPr>
            <w:tcW w:w="216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bl>
    <w:p>
      <w:pPr>
        <w:pStyle w:val="Normal"/>
        <w:rPr>
          <w:highlight w:val="yellow"/>
        </w:rPr>
      </w:pPr>
      <w:r>
        <w:rPr>
          <w:highlight w:val="yellow"/>
        </w:rPr>
      </w:r>
    </w:p>
    <w:p>
      <w:pPr>
        <w:pStyle w:val="Normal"/>
        <w:rPr>
          <w:i/>
          <w:i/>
          <w:color w:val="54883D"/>
        </w:rPr>
      </w:pPr>
      <w:r>
        <w:rPr>
          <w:i/>
          <w:color w:val="54883D"/>
        </w:rPr>
        <w:t>Gospodarstvo</w:t>
      </w:r>
    </w:p>
    <w:p>
      <w:pPr>
        <w:pStyle w:val="Normal"/>
        <w:rPr/>
      </w:pPr>
      <w:r>
        <w:rPr>
          <w:color w:val="auto"/>
        </w:rPr>
        <w:t>Prevladavaju uglavnom obiteljske kuće od kojih je manji postotak starijih godišta izgradnje i slabije otpornosti  s obzirom na korišteni građevinski materijal i način gradnje</w:t>
      </w:r>
      <w:r>
        <w:rPr>
          <w:color w:val="FF0000"/>
        </w:rPr>
        <w:t xml:space="preserve">. </w:t>
      </w:r>
    </w:p>
    <w:p>
      <w:pPr>
        <w:pStyle w:val="Normal"/>
        <w:rPr/>
      </w:pPr>
      <w:r>
        <w:rPr/>
        <w:t>Očekivani, mogući potresi intenziteta od VIIº po MCS ljestvici izazvali bi sljedeće učinke:</w:t>
      </w:r>
    </w:p>
    <w:p>
      <w:pPr>
        <w:pStyle w:val="ListParagraph"/>
        <w:numPr>
          <w:ilvl w:val="0"/>
          <w:numId w:val="27"/>
        </w:numPr>
        <w:rPr/>
      </w:pPr>
      <w:r>
        <w:rPr/>
        <w:t>nema oštećenja na 813 objekata</w:t>
      </w:r>
    </w:p>
    <w:p>
      <w:pPr>
        <w:pStyle w:val="ListParagraph"/>
        <w:numPr>
          <w:ilvl w:val="0"/>
          <w:numId w:val="27"/>
        </w:numPr>
        <w:rPr/>
      </w:pPr>
      <w:r>
        <w:rPr/>
        <w:t>neznatno i umjereno oštećenje na 1 719 objekta,</w:t>
      </w:r>
    </w:p>
    <w:p>
      <w:pPr>
        <w:pStyle w:val="ListParagraph"/>
        <w:numPr>
          <w:ilvl w:val="0"/>
          <w:numId w:val="27"/>
        </w:numPr>
        <w:rPr/>
      </w:pPr>
      <w:r>
        <w:rPr/>
        <w:t>jako oštećenje na 594 objekta,</w:t>
      </w:r>
    </w:p>
    <w:p>
      <w:pPr>
        <w:pStyle w:val="ListParagraph"/>
        <w:numPr>
          <w:ilvl w:val="0"/>
          <w:numId w:val="27"/>
        </w:numPr>
        <w:rPr/>
      </w:pPr>
      <w:r>
        <w:rPr/>
        <w:t>totalno oštećenje i rušenje na 0 objekta.</w:t>
      </w:r>
    </w:p>
    <w:p>
      <w:pPr>
        <w:pStyle w:val="Normal"/>
        <w:rPr/>
      </w:pPr>
      <w:r>
        <w:rPr/>
      </w:r>
    </w:p>
    <w:p>
      <w:pPr>
        <w:pStyle w:val="Normal"/>
        <w:rPr/>
      </w:pPr>
      <w:r>
        <w:rPr/>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pPr>
        <w:pStyle w:val="Normal"/>
        <w:rPr>
          <w:color w:val="auto"/>
        </w:rPr>
      </w:pPr>
      <w:r>
        <w:rPr>
          <w:color w:val="auto"/>
        </w:rPr>
        <w:t xml:space="preserve">U slučaju potresa intenziteta VIº - VIIº po MCS ljestvici, što je u realnoj procjeni moguće, došlo bi do teških oštećenja kamenih kuća, dok bi za ostale objekte u starim dijelovima Grada moglo doći do umjerenih oštećenja. Može biti ugroženo oko 5% stanovnika i to uglavnom zbog nastanka panike u zatvorenim prostorima. U slučaju nastanka potresa od VIIº MCS (mala vjerojatnost) moguća su razorna oštećenja s rušenjem dijelova zgrade, dimnjaka, nastanak odrona, klizišta kao i pukotina na cestama. </w:t>
      </w:r>
    </w:p>
    <w:p>
      <w:pPr>
        <w:pStyle w:val="Normal"/>
        <w:rPr>
          <w:color w:val="auto"/>
        </w:rPr>
      </w:pPr>
      <w:r>
        <w:rPr>
          <w:color w:val="auto"/>
        </w:rPr>
      </w:r>
    </w:p>
    <w:p>
      <w:pPr>
        <w:pStyle w:val="Normal"/>
        <w:rPr>
          <w:i/>
          <w:i/>
          <w:color w:val="54883D"/>
        </w:rPr>
      </w:pPr>
      <w:r>
        <w:rPr>
          <w:i/>
          <w:color w:val="54883D"/>
        </w:rPr>
      </w:r>
    </w:p>
    <w:p>
      <w:pPr>
        <w:pStyle w:val="Normal"/>
        <w:rPr>
          <w:i/>
          <w:i/>
          <w:color w:val="54883D"/>
        </w:rPr>
      </w:pPr>
      <w:r>
        <w:rPr>
          <w:i/>
          <w:color w:val="54883D"/>
        </w:rPr>
      </w:r>
    </w:p>
    <w:p>
      <w:pPr>
        <w:pStyle w:val="Normal"/>
        <w:rPr>
          <w:i/>
          <w:i/>
          <w:color w:val="54883D"/>
        </w:rPr>
      </w:pPr>
      <w:r>
        <w:rPr>
          <w:i/>
          <w:color w:val="54883D"/>
        </w:rPr>
        <w:t>Procjena količine građevinskog otpada</w:t>
      </w:r>
    </w:p>
    <w:p>
      <w:pPr>
        <w:pStyle w:val="Normal"/>
        <w:rPr/>
      </w:pPr>
      <w:r>
        <w:rPr/>
        <w:t>Gore navedenim proračunom građevinskih šteta potrebno je odrediti količinu građevinskog otpada koji će nastati prilikom totalnog rušenja objekata. Količina ovog otpada važna je da bi se dimenzioniralo i odredilo područje gdje će taj građevinski otpad biti privremeno pohranjen. Otpad će se proračunati metodom koju upotrebljava US Army Corps of Engineers (USACE)</w:t>
      </w:r>
      <w:r>
        <w:rPr>
          <w:rStyle w:val="Sidrofusnote"/>
          <w:vertAlign w:val="superscript"/>
        </w:rPr>
        <w:footnoteReference w:id="3"/>
      </w:r>
      <w:r>
        <w:rPr>
          <w:vertAlign w:val="superscript"/>
        </w:rPr>
        <w:t>.</w:t>
      </w:r>
    </w:p>
    <w:p>
      <w:pPr>
        <w:pStyle w:val="Normal"/>
        <w:rPr/>
      </w:pPr>
      <w:r>
        <w:rPr/>
        <w:t xml:space="preserve">Gore navedenim proračunom utvrđeno je da će u Gradu Buje doći do potpunog rušenja i totalnog oštećenja kod 0 objekata. Kako su to uglavnom jednokatni (dvokatni) objekti, količina otpada se proračunava: </w:t>
      </w:r>
    </w:p>
    <w:p>
      <w:pPr>
        <w:pStyle w:val="Normal"/>
        <w:rPr/>
      </w:pPr>
      <w:r>
        <w:rPr/>
        <w:t>Jedan dvokatni objekt prosječnih gabarita: 6 m (dužina)* 6 m (širina) * 6 m (visina)</w:t>
      </w:r>
    </w:p>
    <w:p>
      <w:pPr>
        <w:pStyle w:val="Normal"/>
        <w:rPr/>
      </w:pPr>
      <w:r>
        <w:rPr/>
        <w:t>ima: (D * Š * V) * 0,33 = ___ m</w:t>
      </w:r>
      <w:r>
        <w:rPr>
          <w:vertAlign w:val="superscript"/>
        </w:rPr>
        <w:t>3</w:t>
      </w:r>
      <w:r>
        <w:rPr/>
        <w:t xml:space="preserve"> građevinskog otpada,</w:t>
      </w:r>
    </w:p>
    <w:p>
      <w:pPr>
        <w:pStyle w:val="Normal"/>
        <w:rPr/>
      </w:pPr>
      <w:r>
        <w:rPr/>
        <w:t>pa prema izračunu proizlazi da jedan objekt ima:</w:t>
      </w:r>
    </w:p>
    <w:p>
      <w:pPr>
        <w:pStyle w:val="Normal"/>
        <w:rPr/>
      </w:pPr>
      <w:r>
        <w:rPr/>
        <w:t>(6 * 6 * 6 ) * 0,33 = 216 * 0,33 = 71,28 m</w:t>
      </w:r>
      <w:r>
        <w:rPr>
          <w:vertAlign w:val="superscript"/>
        </w:rPr>
        <w:t>3</w:t>
      </w:r>
      <w:r>
        <w:rPr/>
        <w:t xml:space="preserve"> otpada.</w:t>
      </w:r>
    </w:p>
    <w:p>
      <w:pPr>
        <w:pStyle w:val="Normal"/>
        <w:rPr/>
      </w:pPr>
      <w:r>
        <w:rPr/>
        <w:t>U slučaju potresa uslijed kojeg bi nastala veća količina građevinskog otpada isti bi se odlagao na lokaciju koja je utvrđena Prostornim planom Grada.</w:t>
      </w:r>
    </w:p>
    <w:p>
      <w:pPr>
        <w:pStyle w:val="Caption"/>
        <w:rPr/>
      </w:pPr>
      <w:r>
        <w:rPr/>
        <w:t xml:space="preserve">Tablica </w:t>
      </w:r>
      <w:r>
        <w:rPr/>
        <w:fldChar w:fldCharType="begin"/>
      </w:r>
      <w:r>
        <w:rPr/>
        <w:instrText> SEQ Tabela \* ARABIC </w:instrText>
      </w:r>
      <w:r>
        <w:rPr/>
        <w:fldChar w:fldCharType="separate"/>
      </w:r>
      <w:r>
        <w:rPr/>
        <w:t>35</w:t>
      </w:r>
      <w:r>
        <w:rPr/>
        <w:fldChar w:fldCharType="end"/>
      </w:r>
      <w:r>
        <w:rPr/>
        <w:t>. Približni jedinični troškovi izgradnje raznih objekata</w:t>
      </w:r>
    </w:p>
    <w:tbl>
      <w:tblPr>
        <w:tblStyle w:val="TableGrid"/>
        <w:tblW w:w="5000" w:type="pct"/>
        <w:jc w:val="center"/>
        <w:tblInd w:w="0" w:type="dxa"/>
        <w:tblCellMar>
          <w:top w:w="0" w:type="dxa"/>
          <w:left w:w="108" w:type="dxa"/>
          <w:bottom w:w="0" w:type="dxa"/>
          <w:right w:w="108" w:type="dxa"/>
        </w:tblCellMar>
        <w:tblLook w:firstRow="1" w:noVBand="1" w:lastRow="0" w:firstColumn="1" w:lastColumn="0" w:noHBand="0" w:val="04a0"/>
      </w:tblPr>
      <w:tblGrid>
        <w:gridCol w:w="7286"/>
        <w:gridCol w:w="1783"/>
      </w:tblGrid>
      <w:tr>
        <w:trPr/>
        <w:tc>
          <w:tcPr>
            <w:tcW w:w="728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160"/>
              <w:rPr>
                <w:b/>
                <w:b/>
                <w:sz w:val="20"/>
              </w:rPr>
            </w:pPr>
            <w:r>
              <w:rPr>
                <w:rFonts w:eastAsia="Times New Roman" w:cs="Times New Roman" w:ascii="Times New Roman" w:hAnsi="Times New Roman"/>
                <w:b/>
                <w:sz w:val="20"/>
                <w:szCs w:val="24"/>
                <w:lang w:eastAsia="hr-HR"/>
              </w:rPr>
              <w:t xml:space="preserve">Opis </w:t>
            </w:r>
          </w:p>
        </w:tc>
        <w:tc>
          <w:tcPr>
            <w:tcW w:w="178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160"/>
              <w:rPr>
                <w:b/>
                <w:b/>
                <w:sz w:val="20"/>
              </w:rPr>
            </w:pPr>
            <w:r>
              <w:rPr>
                <w:rFonts w:eastAsia="Times New Roman" w:cs="Times New Roman" w:ascii="Times New Roman" w:hAnsi="Times New Roman"/>
                <w:b/>
                <w:sz w:val="20"/>
                <w:szCs w:val="24"/>
                <w:lang w:eastAsia="hr-HR"/>
              </w:rPr>
              <w:t>Cijena (€/m2 )</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Jednostavne poljoprivredne građevine, pomoćne građevine i slično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28,4</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Spremišta (rezervoari) vode, trgovačka skladišta, štale i slično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49,5</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Tornjevi, vodotornjevi, ostala spremišta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78,4</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Uredi, trgovine, poljoprivredne građevine do visine jednog kata, jednostavna industrijska postrojenja i slično.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146,4</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Stambene zgrade do četiri kata, lokalne sportske građevine, parkirališta na kat, poslovne građevine i slično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175,8</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Stambene i poslovne građevine, složenije poljoprivredne i industrijske građevine, građevine javnih institucija, domovi zdravlja, hoteli niže kategorije i slično</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200,5</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Privatne kuće, uredske zgrade, veliki trgovački centri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226,3</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Trgovački centri i hoteli viših kategorija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250,0</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Bolnice, knjižnice i kulturne građevine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300,5</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Radio i TV postaje, obrazovne institucije, trgovački centri s dodatnim sadržajima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372,6</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Kongresni centri, zračne luke,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451,6</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 xml:space="preserve">Kliničko-bolnički centri, hoteli najviših kategorija </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513,3</w:t>
            </w:r>
          </w:p>
        </w:tc>
      </w:tr>
      <w:tr>
        <w:trPr/>
        <w:tc>
          <w:tcPr>
            <w:tcW w:w="7286"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Kazališta, operne i koncertne dvorane</w:t>
            </w:r>
          </w:p>
        </w:tc>
        <w:tc>
          <w:tcPr>
            <w:tcW w:w="1783"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160"/>
              <w:rPr>
                <w:sz w:val="20"/>
              </w:rPr>
            </w:pPr>
            <w:r>
              <w:rPr>
                <w:rFonts w:eastAsia="Times New Roman" w:cs="Times New Roman" w:ascii="Times New Roman" w:hAnsi="Times New Roman"/>
                <w:sz w:val="20"/>
                <w:szCs w:val="24"/>
                <w:lang w:eastAsia="hr-HR"/>
              </w:rPr>
              <w:t>615,3</w:t>
            </w:r>
          </w:p>
        </w:tc>
      </w:tr>
    </w:tbl>
    <w:p>
      <w:pPr>
        <w:pStyle w:val="Normal"/>
        <w:rPr>
          <w:i/>
          <w:i/>
          <w:color w:val="54883D"/>
          <w:sz w:val="20"/>
        </w:rPr>
      </w:pPr>
      <w:r>
        <w:rPr>
          <w:i/>
          <w:color w:val="54883D"/>
          <w:sz w:val="20"/>
        </w:rPr>
        <w:t>Bal I.E., Crowley H., Pinho R. (2010.) Displacement - Based Earthquake Loss Assessment: Method Development and Application to Turkish Building Stock, Research Report Rose 2010/02, IUSS Press, Pavia, Italy</w:t>
      </w:r>
    </w:p>
    <w:p>
      <w:pPr>
        <w:pStyle w:val="Normal"/>
        <w:rPr/>
      </w:pPr>
      <w:r>
        <w:rPr/>
        <w:t>Za izračun troškova štete na stambenom fondu, korišteni su podaci iz tablice 49. Ukupne štete samo na stambenom fondu iznosile bi:</w:t>
      </w:r>
    </w:p>
    <w:p>
      <w:pPr>
        <w:pStyle w:val="ListParagraph"/>
        <w:numPr>
          <w:ilvl w:val="0"/>
          <w:numId w:val="28"/>
        </w:numPr>
        <w:rPr/>
      </w:pPr>
      <w:r>
        <w:rPr/>
        <w:t>za 594 građevina koje se moraju potpuno obnavljati uz pretpostavku da imaju pravo obnove na prosječno 50 m</w:t>
      </w:r>
      <w:r>
        <w:rPr>
          <w:vertAlign w:val="superscript"/>
        </w:rPr>
        <w:t>2</w:t>
      </w:r>
      <w:r>
        <w:rPr/>
        <w:t xml:space="preserve"> po obitelji –  594 × 175,8 €/m</w:t>
      </w:r>
      <w:r>
        <w:rPr>
          <w:vertAlign w:val="superscript"/>
        </w:rPr>
        <w:t>2</w:t>
      </w:r>
      <w:r>
        <w:rPr/>
        <w:t>× 50 m</w:t>
      </w:r>
      <w:r>
        <w:rPr>
          <w:vertAlign w:val="superscript"/>
        </w:rPr>
        <w:t>2</w:t>
      </w:r>
      <w:r>
        <w:rPr/>
        <w:t xml:space="preserve"> = 5 221.260,00 €</w:t>
      </w:r>
    </w:p>
    <w:p>
      <w:pPr>
        <w:pStyle w:val="ListParagraph"/>
        <w:numPr>
          <w:ilvl w:val="0"/>
          <w:numId w:val="28"/>
        </w:numPr>
        <w:rPr/>
      </w:pPr>
      <w:r>
        <w:rPr/>
        <w:t>za 625 građevina koje se mogu popraviti uz prosječno pravo nužnog popravka (nužni smještaj) od 50 m</w:t>
      </w:r>
      <w:r>
        <w:rPr>
          <w:vertAlign w:val="superscript"/>
        </w:rPr>
        <w:t>2</w:t>
      </w:r>
      <w:r>
        <w:rPr/>
        <w:t xml:space="preserve"> i cijenu od 15% obnove kuće ukupna šteta je 824.062,50 €</w:t>
      </w:r>
    </w:p>
    <w:p>
      <w:pPr>
        <w:pStyle w:val="ListParagraph"/>
        <w:numPr>
          <w:ilvl w:val="0"/>
          <w:numId w:val="28"/>
        </w:numPr>
        <w:rPr/>
      </w:pPr>
      <w:r>
        <w:rPr/>
        <w:t>za najmanje popravke 1 094 kuće uz isto pravo popravka od 50 m</w:t>
      </w:r>
      <w:r>
        <w:rPr>
          <w:vertAlign w:val="superscript"/>
        </w:rPr>
        <w:t>2</w:t>
      </w:r>
      <w:r>
        <w:rPr/>
        <w:t xml:space="preserve"> po obitelji i 5% ukupne cijene obnove cijele kuće ukupni trošak je 480.813,00 €</w:t>
      </w:r>
    </w:p>
    <w:p>
      <w:pPr>
        <w:pStyle w:val="Caption"/>
        <w:rPr>
          <w:rFonts w:ascii="Calibri" w:hAnsi="Calibri"/>
        </w:rPr>
      </w:pPr>
      <w:r>
        <w:rPr/>
        <w:t xml:space="preserve">Tablica </w:t>
      </w:r>
      <w:r>
        <w:rPr/>
        <w:fldChar w:fldCharType="begin"/>
      </w:r>
      <w:r>
        <w:rPr/>
        <w:instrText> SEQ Tabela \* ARABIC </w:instrText>
      </w:r>
      <w:r>
        <w:rPr/>
        <w:fldChar w:fldCharType="separate"/>
      </w:r>
      <w:r>
        <w:rPr/>
        <w:t>36</w:t>
      </w:r>
      <w:r>
        <w:rPr/>
        <w:fldChar w:fldCharType="end"/>
      </w:r>
      <w:r>
        <w:rPr/>
        <w:t>. Vrijednost kriterija za posljedice na gospodarstvo po kategorijama - potres</w:t>
      </w:r>
    </w:p>
    <w:tbl>
      <w:tblPr>
        <w:tblStyle w:val="ivopisnatablicareetke6-isticanje3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bl>
    <w:p>
      <w:pPr>
        <w:pStyle w:val="Normal"/>
        <w:rPr>
          <w:i/>
          <w:i/>
          <w:color w:val="54883D"/>
        </w:rPr>
      </w:pPr>
      <w:r>
        <w:rPr>
          <w:i/>
          <w:color w:val="54883D"/>
        </w:rPr>
        <w:t>Društvena stabilnost i politika</w:t>
      </w:r>
    </w:p>
    <w:p>
      <w:pPr>
        <w:pStyle w:val="Normal"/>
        <w:rPr/>
      </w:pPr>
      <w:r>
        <w:rPr/>
        <w:t>U Gradu Buje nalaze se osnovne škole, srednje škole, dječji vrtić, dom zdravlja, ljekarne, crkve, dnevni centar za starije i nemoćne, poštanski ured, gradska knjižnica, pučko otvoreno učilište, ugostiteljski objekti te prostori gradske uprave. Budući da se u tim prostorima kreće i boravi veći broj građana u slučaju jačeg potresa, moglo bi biti i stradalih osoba. Veliku pozornost treba dati dječjem vrtiću i škola za odgoj i obrazovanje djece s poteškoćama u razvoju.</w:t>
      </w:r>
    </w:p>
    <w:p>
      <w:pPr>
        <w:pStyle w:val="Normal"/>
        <w:rPr>
          <w:highlight w:val="yellow"/>
        </w:rPr>
      </w:pPr>
      <w:r>
        <w:rPr>
          <w:highlight w:val="yellow"/>
        </w:rPr>
      </w:r>
    </w:p>
    <w:p>
      <w:pPr>
        <w:pStyle w:val="Normal"/>
        <w:spacing w:before="80" w:after="0"/>
        <w:rPr>
          <w:b/>
          <w:b/>
          <w:color w:val="auto"/>
          <w:szCs w:val="20"/>
          <w:u w:val="single"/>
        </w:rPr>
      </w:pPr>
      <w:r>
        <w:rPr>
          <w:b/>
          <w:color w:val="auto"/>
          <w:szCs w:val="20"/>
          <w:u w:val="single"/>
        </w:rPr>
        <w:t>Posljedice na kritičnu infrastrukturu</w:t>
      </w:r>
    </w:p>
    <w:p>
      <w:pPr>
        <w:pStyle w:val="Normal"/>
        <w:spacing w:before="120" w:after="120"/>
        <w:ind w:right="74" w:hanging="0"/>
        <w:rPr>
          <w:rStyle w:val="IntenseEmphasis"/>
          <w:color w:val="54883D"/>
        </w:rPr>
      </w:pPr>
      <w:r>
        <w:rPr>
          <w:rStyle w:val="IntenseEmphasis"/>
          <w:color w:val="54883D"/>
        </w:rPr>
        <w:t xml:space="preserve">Energetika </w:t>
      </w:r>
    </w:p>
    <w:p>
      <w:pPr>
        <w:pStyle w:val="Normal"/>
        <w:spacing w:before="0" w:after="0"/>
        <w:rPr>
          <w:szCs w:val="22"/>
        </w:rPr>
      </w:pPr>
      <w:r>
        <w:rPr>
          <w:szCs w:val="22"/>
        </w:rPr>
        <w:t>Transformatorska stanica, trafostanice kao i dalekovodi mogli bi pretrpjeti vrlo mala oštećenja koja ne bi prouzročila prekid distribucije električne energije stanovništvu i ostalim subjektima.</w:t>
      </w:r>
    </w:p>
    <w:p>
      <w:pPr>
        <w:pStyle w:val="Normal"/>
        <w:spacing w:before="0" w:after="160"/>
        <w:rPr>
          <w:szCs w:val="22"/>
        </w:rPr>
      </w:pPr>
      <w:r>
        <w:rPr>
          <w:szCs w:val="22"/>
        </w:rPr>
        <w:t xml:space="preserve">Ukoliko dođe do potresa intenziteta  7º distribucija električne energije bila bi otežana jer je elektroenergetski sustav   najosjetljiviji dio infrastrukture, a sama električna instalacija posebno je osjetljiva kao jedan od mogućih uzročnika požara. Može doći do prekida napajanja područje Grada za kraće vrijeme električnom energijom iz elektroenergetskog sustava.  </w:t>
      </w:r>
    </w:p>
    <w:p>
      <w:pPr>
        <w:pStyle w:val="Normal"/>
        <w:spacing w:before="120" w:after="120"/>
        <w:ind w:right="74" w:hanging="0"/>
        <w:rPr>
          <w:rStyle w:val="IntenseEmphasis"/>
          <w:color w:val="54883D"/>
        </w:rPr>
      </w:pPr>
      <w:r>
        <w:rPr>
          <w:rStyle w:val="IntenseEmphasis"/>
          <w:color w:val="54883D"/>
        </w:rPr>
        <w:t>Vodno gospodarstvo</w:t>
      </w:r>
    </w:p>
    <w:p>
      <w:pPr>
        <w:pStyle w:val="Normal"/>
        <w:tabs>
          <w:tab w:val="clear" w:pos="708"/>
          <w:tab w:val="left" w:pos="684" w:leader="none"/>
        </w:tabs>
        <w:spacing w:before="80" w:after="0"/>
        <w:rPr>
          <w:szCs w:val="22"/>
        </w:rPr>
      </w:pPr>
      <w:r>
        <w:rPr/>
        <w:t xml:space="preserve">Sustav snabdijevanja pitkom vodom dobro je organiziran te se ne očekuju veći problemi ukoliko bi došlo do potresa, no u slučaju težih oštećenja pumpnih stanica koje se napajaju električnom energijom moglo bi doći do manjih problema u opskrbi pitkom vodom i tada bi se potrošnja vode morala ograničiti. </w:t>
      </w:r>
      <w:r>
        <w:rPr>
          <w:szCs w:val="22"/>
        </w:rPr>
        <w:t xml:space="preserve">Sustav cjevovoda na području Grada Buja – Buie ne bi pretrpio takva oštećenja koja bi mogla dovesti do prekida opskrbe stanovništva pitkom vodom. </w:t>
      </w:r>
    </w:p>
    <w:p>
      <w:pPr>
        <w:pStyle w:val="Normal"/>
        <w:tabs>
          <w:tab w:val="clear" w:pos="708"/>
          <w:tab w:val="left" w:pos="684" w:leader="none"/>
        </w:tabs>
        <w:spacing w:before="0" w:after="0"/>
        <w:rPr>
          <w:szCs w:val="22"/>
        </w:rPr>
      </w:pPr>
      <w:r>
        <w:rPr>
          <w:szCs w:val="22"/>
        </w:rPr>
        <w:t>Potres intenziteta 7º mogao bi otežati opskrbu stanovništva  pitkom vodom obzirom na mogućnost zagađenja podzemnih tokova ili oštećenja pojedinih magistralnih vodovodnih pravaca.</w:t>
      </w:r>
    </w:p>
    <w:p>
      <w:pPr>
        <w:pStyle w:val="Normal"/>
        <w:spacing w:before="120" w:after="120"/>
        <w:ind w:right="74" w:hanging="0"/>
        <w:rPr/>
      </w:pPr>
      <w:r>
        <w:rPr/>
      </w:r>
    </w:p>
    <w:p>
      <w:pPr>
        <w:pStyle w:val="Normal"/>
        <w:spacing w:before="120" w:after="120"/>
        <w:ind w:right="74" w:hanging="0"/>
        <w:rPr>
          <w:rStyle w:val="IntenseEmphasis"/>
          <w:color w:val="54883D"/>
        </w:rPr>
      </w:pPr>
      <w:r>
        <w:rPr>
          <w:rStyle w:val="IntenseEmphasis"/>
          <w:color w:val="54883D"/>
        </w:rPr>
        <w:t>Zdravstvo</w:t>
      </w:r>
    </w:p>
    <w:p>
      <w:pPr>
        <w:pStyle w:val="Normal"/>
        <w:spacing w:before="80" w:after="120"/>
        <w:rPr>
          <w:color w:val="auto"/>
          <w:szCs w:val="22"/>
        </w:rPr>
      </w:pPr>
      <w:r>
        <w:rPr>
          <w:szCs w:val="22"/>
        </w:rPr>
        <w:t xml:space="preserve">U </w:t>
      </w:r>
      <w:r>
        <w:rPr>
          <w:color w:val="auto"/>
          <w:szCs w:val="22"/>
        </w:rPr>
        <w:t>slučaj potresa u 7º MCS zdravstvene  ustanove, odnosno Ispostava Istarskih domova zdravlja u Gradu kao i liječnički timovi privatne prakse bili bi ugroženi i ne bi mogli pružati svoje usluge stanovništvu u potrebnoj mjeri.</w:t>
      </w:r>
    </w:p>
    <w:p>
      <w:pPr>
        <w:pStyle w:val="Normal"/>
        <w:rPr>
          <w:rFonts w:eastAsia="Calibri" w:eastAsiaTheme="minorHAnsi"/>
        </w:rPr>
      </w:pPr>
      <w:r>
        <w:rPr>
          <w:rFonts w:eastAsia="Calibri" w:eastAsiaTheme="minorHAnsi"/>
        </w:rPr>
      </w:r>
    </w:p>
    <w:p>
      <w:pPr>
        <w:pStyle w:val="Normal"/>
        <w:spacing w:before="120" w:after="120"/>
        <w:ind w:right="74" w:hanging="0"/>
        <w:rPr>
          <w:rStyle w:val="IntenseEmphasis"/>
          <w:color w:val="54883D"/>
        </w:rPr>
      </w:pPr>
      <w:r>
        <w:rPr>
          <w:rStyle w:val="IntenseEmphasis"/>
          <w:color w:val="54883D"/>
        </w:rPr>
        <w:t>Prijevoz opasnih tvari</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Kod potresa od 7º po MCS ljestvici neće doći do nekontroliranog ispuštanja opasnih tvari u zrak, vodu i zemlju te do požara/eksplozije.</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 xml:space="preserve">Spremišta opasnih tvari projektirana su za predmetnu seizmičku zonu te samim time otporne na potrese tako da se štetne posljedice svedu na najmanju moguću mjeru. </w:t>
      </w:r>
    </w:p>
    <w:p>
      <w:pPr>
        <w:pStyle w:val="Normal"/>
        <w:rPr>
          <w:rFonts w:eastAsia="Calibri" w:eastAsiaTheme="minorHAnsi"/>
        </w:rPr>
      </w:pPr>
      <w:r>
        <w:rPr>
          <w:rFonts w:eastAsia="Calibri" w:eastAsiaTheme="minorHAnsi"/>
        </w:rPr>
      </w:r>
    </w:p>
    <w:p>
      <w:pPr>
        <w:pStyle w:val="Normal"/>
        <w:rPr>
          <w:rStyle w:val="IntenseEmphasis"/>
          <w:color w:val="54883D"/>
        </w:rPr>
      </w:pPr>
      <w:r>
        <w:rPr>
          <w:rStyle w:val="IntenseEmphasis"/>
          <w:color w:val="54883D"/>
        </w:rPr>
        <w:t>Komunikacijska i informacijska tehnologija</w:t>
      </w:r>
    </w:p>
    <w:p>
      <w:pPr>
        <w:pStyle w:val="Normal"/>
        <w:rPr>
          <w:rFonts w:eastAsia="" w:eastAsiaTheme="minorEastAsia"/>
          <w:lang w:eastAsia="hr-HR"/>
        </w:rPr>
      </w:pPr>
      <w:r>
        <w:rPr>
          <w:rFonts w:eastAsia="" w:eastAsiaTheme="minorEastAsia"/>
          <w:lang w:eastAsia="hr-HR"/>
        </w:rPr>
        <w:t>Telekomunikacijski objekti HT-a, objekti mobilnih operatera, kao i radijski i TV odašiljači mogu pretrpjeti vrlo mala oštećenja,  ali  vjerojatno ne bi došlo do prekida njihova rada, a ukoliko bi i došlo do prekida to bi bilo na kratko vrijeme.</w:t>
      </w:r>
    </w:p>
    <w:p>
      <w:pPr>
        <w:pStyle w:val="Normal"/>
        <w:spacing w:before="120" w:after="120"/>
        <w:ind w:right="74" w:hanging="0"/>
        <w:rPr/>
      </w:pPr>
      <w:r>
        <w:rPr/>
      </w:r>
    </w:p>
    <w:p>
      <w:pPr>
        <w:pStyle w:val="Normal"/>
        <w:spacing w:before="120" w:after="120"/>
        <w:ind w:right="74" w:hanging="0"/>
        <w:rPr>
          <w:rStyle w:val="IntenseEmphasis"/>
          <w:color w:val="54883D"/>
        </w:rPr>
      </w:pPr>
      <w:r>
        <w:rPr>
          <w:rStyle w:val="IntenseEmphasis"/>
          <w:color w:val="54883D"/>
        </w:rPr>
        <w:t>Promet</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 xml:space="preserve">Kod potresa intenziteta 7º MSC može doći do oštećenja cestovnih prometnica kao i do prekida cestovnog prometa. Posebno na cesti Buje – Ponte Porton, zbog mogućeg odrona zemlje i kamenja. Grad Buje - Buie ima razgranatu mrežu prometnica, a samim time i veliki broj alternativnih pravaca na području Grada. </w:t>
      </w:r>
    </w:p>
    <w:p>
      <w:pPr>
        <w:pStyle w:val="Normal"/>
        <w:spacing w:before="120" w:after="120"/>
        <w:ind w:right="74" w:hanging="0"/>
        <w:rPr/>
      </w:pPr>
      <w:r>
        <w:rPr/>
      </w:r>
    </w:p>
    <w:p>
      <w:pPr>
        <w:pStyle w:val="Normal"/>
        <w:spacing w:before="120" w:after="120"/>
        <w:ind w:right="74" w:hanging="0"/>
        <w:rPr>
          <w:rStyle w:val="IntenseEmphasis"/>
          <w:color w:val="54883D"/>
        </w:rPr>
      </w:pPr>
      <w:r>
        <w:rPr>
          <w:rStyle w:val="IntenseEmphasis"/>
          <w:color w:val="54883D"/>
        </w:rPr>
        <w:t>Financije</w:t>
      </w:r>
    </w:p>
    <w:p>
      <w:pPr>
        <w:pStyle w:val="Normal"/>
        <w:rPr>
          <w:rFonts w:eastAsia="" w:eastAsiaTheme="minorEastAsia"/>
          <w:color w:val="auto"/>
          <w:szCs w:val="22"/>
          <w:lang w:eastAsia="hr-HR"/>
        </w:rPr>
      </w:pPr>
      <w:r>
        <w:rPr>
          <w:rFonts w:eastAsia="" w:eastAsiaTheme="minorEastAsia"/>
          <w:color w:val="auto"/>
          <w:szCs w:val="22"/>
          <w:lang w:eastAsia="hr-HR"/>
        </w:rPr>
        <w:t>Objekti financijske infrastrukture mogu pretrpjeti mala oštećenja kod potresa intenziteta 7º MSC, te bi to dovelo do otežanog pružanja usluga korisnicima, a bila bi i povećana opasnost od pljački.</w:t>
      </w:r>
    </w:p>
    <w:p>
      <w:pPr>
        <w:pStyle w:val="Normal"/>
        <w:rPr/>
      </w:pPr>
      <w:r>
        <w:rPr/>
      </w:r>
    </w:p>
    <w:p>
      <w:pPr>
        <w:pStyle w:val="Normal"/>
        <w:spacing w:before="120" w:after="120"/>
        <w:ind w:right="74" w:hanging="0"/>
        <w:rPr>
          <w:rStyle w:val="IntenseEmphasis"/>
          <w:color w:val="54883D"/>
        </w:rPr>
      </w:pPr>
      <w:r>
        <w:rPr>
          <w:rStyle w:val="IntenseEmphasis"/>
          <w:color w:val="54883D"/>
        </w:rPr>
        <w:t>Hrana</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Procjenjuje se da u slučaju nastanka potresa intenziteta 7º MSC na području Grada može doći do poteškoća u opskrbi stanovništva hranom, i malih oštećenja pogona za proizvodnju ili skladištenje hrane.</w:t>
      </w:r>
    </w:p>
    <w:p>
      <w:pPr>
        <w:pStyle w:val="Normal"/>
        <w:rPr/>
      </w:pPr>
      <w:r>
        <w:rPr/>
      </w:r>
    </w:p>
    <w:p>
      <w:pPr>
        <w:pStyle w:val="Normal"/>
        <w:spacing w:before="120" w:after="120"/>
        <w:ind w:right="74" w:hanging="0"/>
        <w:rPr>
          <w:rStyle w:val="IntenseEmphasis"/>
          <w:color w:val="54883D"/>
        </w:rPr>
      </w:pPr>
      <w:r>
        <w:rPr>
          <w:color w:val="54883D"/>
        </w:rPr>
      </w:r>
    </w:p>
    <w:p>
      <w:pPr>
        <w:pStyle w:val="Normal"/>
        <w:spacing w:before="120" w:after="120"/>
        <w:ind w:right="74" w:hanging="0"/>
        <w:rPr>
          <w:rStyle w:val="IntenseEmphasis"/>
          <w:color w:val="54883D"/>
        </w:rPr>
      </w:pPr>
      <w:r>
        <w:rPr>
          <w:color w:val="54883D"/>
        </w:rPr>
      </w:r>
    </w:p>
    <w:p>
      <w:pPr>
        <w:pStyle w:val="Normal"/>
        <w:spacing w:before="120" w:after="120"/>
        <w:ind w:right="74" w:hanging="0"/>
        <w:rPr>
          <w:rStyle w:val="IntenseEmphasis"/>
          <w:color w:val="54883D"/>
        </w:rPr>
      </w:pPr>
      <w:r>
        <w:rPr>
          <w:rStyle w:val="IntenseEmphasis"/>
          <w:color w:val="54883D"/>
        </w:rPr>
        <w:t>Javne službe</w:t>
      </w:r>
    </w:p>
    <w:p>
      <w:pPr>
        <w:pStyle w:val="Normal"/>
        <w:spacing w:before="120" w:after="120"/>
        <w:rPr>
          <w:color w:val="auto"/>
          <w:szCs w:val="22"/>
        </w:rPr>
      </w:pPr>
      <w:r>
        <w:rPr>
          <w:color w:val="auto"/>
          <w:szCs w:val="22"/>
        </w:rPr>
        <w:t xml:space="preserve">U slučaj potresa u 7º MCS moguća su mala i umjerena oštećenja objekata od posebnog značaja što će otežati normalno funkcioniranje zajednice ali samo u kratkom vremenskom periodu. </w:t>
      </w:r>
    </w:p>
    <w:p>
      <w:pPr>
        <w:pStyle w:val="Normal"/>
        <w:spacing w:before="120" w:after="120"/>
        <w:ind w:right="74" w:hanging="0"/>
        <w:rPr>
          <w:rStyle w:val="IntenseEmphasis"/>
          <w:color w:val="54883D"/>
        </w:rPr>
      </w:pPr>
      <w:r>
        <w:rPr>
          <w:rStyle w:val="IntenseEmphasis"/>
          <w:color w:val="54883D"/>
        </w:rPr>
        <w:t>Nacionalni spomenici i vrijednosti</w:t>
      </w:r>
    </w:p>
    <w:p>
      <w:pPr>
        <w:pStyle w:val="Normal"/>
        <w:rPr>
          <w:rFonts w:eastAsia="" w:eastAsiaTheme="minorEastAsia"/>
          <w:color w:val="auto"/>
          <w:szCs w:val="22"/>
          <w:lang w:eastAsia="hr-HR"/>
        </w:rPr>
      </w:pPr>
      <w:r>
        <w:rPr>
          <w:rFonts w:eastAsia="" w:eastAsiaTheme="minorEastAsia"/>
          <w:color w:val="auto"/>
          <w:szCs w:val="22"/>
          <w:lang w:eastAsia="hr-HR"/>
        </w:rPr>
        <w:t>U slučaju navedenog potresa pojedini objekti kao što su sakralni objekti, povijesne građevine i tradicionalne kuće pretrpjela bi određena oštećenja –umjerena do jaka oštećenja, pucanje prozorskih stakala, oštećenja krovišta</w:t>
      </w:r>
    </w:p>
    <w:p>
      <w:pPr>
        <w:pStyle w:val="Normal"/>
        <w:spacing w:before="120" w:after="120"/>
        <w:ind w:right="74" w:hanging="0"/>
        <w:rPr>
          <w:rStyle w:val="IntenseEmphasis"/>
          <w:i w:val="false"/>
          <w:i w:val="false"/>
          <w:color w:val="54883D"/>
        </w:rPr>
      </w:pPr>
      <w:r>
        <w:rPr>
          <w:i w:val="false"/>
          <w:color w:val="54883D"/>
        </w:rPr>
      </w:r>
    </w:p>
    <w:p>
      <w:pPr>
        <w:pStyle w:val="Caption"/>
        <w:rPr/>
      </w:pPr>
      <w:r>
        <w:rPr/>
        <w:t xml:space="preserve">Tablica </w:t>
      </w:r>
      <w:r>
        <w:rPr/>
        <w:fldChar w:fldCharType="begin"/>
      </w:r>
      <w:r>
        <w:rPr/>
        <w:instrText> SEQ Tabela \* ARABIC </w:instrText>
      </w:r>
      <w:r>
        <w:rPr/>
        <w:fldChar w:fldCharType="separate"/>
      </w:r>
      <w:r>
        <w:rPr/>
        <w:t>37</w:t>
      </w:r>
      <w:r>
        <w:rPr/>
        <w:fldChar w:fldCharType="end"/>
      </w:r>
      <w:r>
        <w:rPr/>
        <w:t>. Vrijednost kriterija za posljedice na društvenu stabilnost i politiku - oštećena kritična infrastruktura –potres</w:t>
      </w:r>
    </w:p>
    <w:tbl>
      <w:tblPr>
        <w:tblStyle w:val="ivopisnatablicareetke6-isticanje32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bl>
    <w:p>
      <w:pPr>
        <w:pStyle w:val="Normal"/>
        <w:rPr>
          <w:rFonts w:eastAsia="Calibri" w:eastAsiaTheme="minorHAnsi"/>
          <w:highlight w:val="yellow"/>
        </w:rPr>
      </w:pPr>
      <w:r>
        <w:rPr>
          <w:rFonts w:eastAsia="Calibri" w:eastAsiaTheme="minorHAnsi"/>
          <w:highlight w:val="yellow"/>
        </w:rPr>
      </w:r>
    </w:p>
    <w:p>
      <w:pPr>
        <w:pStyle w:val="Normal"/>
        <w:rPr>
          <w:rFonts w:eastAsia="Calibri" w:eastAsiaTheme="minorHAnsi"/>
          <w:highlight w:val="yellow"/>
        </w:rPr>
      </w:pPr>
      <w:r>
        <w:rPr>
          <w:rFonts w:eastAsia="Calibri" w:eastAsiaTheme="minorHAnsi"/>
          <w:highlight w:val="yellow"/>
        </w:rPr>
      </w:r>
    </w:p>
    <w:p>
      <w:pPr>
        <w:pStyle w:val="Normal"/>
        <w:rPr>
          <w:rFonts w:eastAsia="Calibri" w:eastAsiaTheme="minorHAnsi"/>
          <w:b/>
          <w:b/>
          <w:szCs w:val="22"/>
          <w:u w:val="single"/>
        </w:rPr>
      </w:pPr>
      <w:r>
        <w:rPr>
          <w:rFonts w:eastAsia="Calibri" w:eastAsiaTheme="minorHAnsi"/>
          <w:b/>
          <w:szCs w:val="22"/>
          <w:u w:val="single"/>
        </w:rPr>
        <w:t>Posljedice po građevine javnog društvenog značaja</w:t>
      </w:r>
    </w:p>
    <w:p>
      <w:pPr>
        <w:pStyle w:val="Normal"/>
        <w:rPr>
          <w:rFonts w:eastAsia="Calibri" w:eastAsiaTheme="minorHAnsi"/>
          <w:szCs w:val="22"/>
        </w:rPr>
      </w:pPr>
      <w:r>
        <w:rPr>
          <w:rFonts w:eastAsia="Calibri" w:eastAsiaTheme="minorHAnsi"/>
          <w:szCs w:val="22"/>
        </w:rPr>
        <w:t>Javni i privredni objekti su uglavnom novije izvedbe u kojima se također očekuju samo manja oštećenja, jer su kod njih već primijenjene mjere zaštite od potresa 7° seizmičkog intenziteta. Objekti kritične infrastrukture su novije izvedbe i neće pretrpjeti znatna oštećenja, ali hoće njihove funkcije i to:</w:t>
      </w:r>
    </w:p>
    <w:p>
      <w:pPr>
        <w:pStyle w:val="Normal"/>
        <w:rPr>
          <w:rFonts w:eastAsia="Calibri" w:eastAsiaTheme="minorHAnsi"/>
          <w:szCs w:val="22"/>
        </w:rPr>
      </w:pPr>
      <w:r>
        <w:rPr>
          <w:rFonts w:eastAsia="Calibri" w:eastAsiaTheme="minorHAnsi"/>
          <w:szCs w:val="22"/>
        </w:rPr>
        <w:t>- 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w:t>
      </w:r>
    </w:p>
    <w:p>
      <w:pPr>
        <w:pStyle w:val="Normal"/>
        <w:rPr>
          <w:rFonts w:eastAsia="Calibri" w:eastAsiaTheme="minorHAnsi"/>
          <w:szCs w:val="22"/>
        </w:rPr>
      </w:pPr>
      <w:r>
        <w:rPr>
          <w:rFonts w:eastAsia="Calibri" w:eastAsiaTheme="minorHAnsi"/>
          <w:szCs w:val="22"/>
        </w:rPr>
        <w:t>- opskrba vodom može biti otežana, jer će uslijed snažnih horizontalnih gibanja zidova njihove instalacije biti oštećene kod mnogih kuća, što će dovesti do automatskih ispada vodovodnih mreža tih naselja. Uspostava napajanja će trajati duže vrijeme (dok se ne isključe kuće s neispravnim vodovodom),</w:t>
      </w:r>
    </w:p>
    <w:p>
      <w:pPr>
        <w:pStyle w:val="Normal"/>
        <w:rPr>
          <w:rFonts w:eastAsia="Calibri" w:eastAsiaTheme="minorHAnsi"/>
          <w:szCs w:val="22"/>
        </w:rPr>
      </w:pPr>
      <w:r>
        <w:rPr>
          <w:rFonts w:eastAsia="Calibri" w:eastAsiaTheme="minorHAnsi"/>
          <w:szCs w:val="22"/>
        </w:rPr>
        <w:t>- objekti od javnog društvenog značaja neće biti znatno oštećeni, ali su moguća duga razdoblja njihovog zastoja u obavljanju djelatnosti zbog nestanka struje, vode, plina i telefonskih veza.</w:t>
      </w:r>
    </w:p>
    <w:p>
      <w:pPr>
        <w:pStyle w:val="Normal"/>
        <w:rPr>
          <w:rFonts w:eastAsia="Calibri" w:eastAsiaTheme="minorHAnsi"/>
          <w:szCs w:val="22"/>
        </w:rPr>
      </w:pPr>
      <w:r>
        <w:rPr>
          <w:rFonts w:eastAsia="Calibri" w:eastAsiaTheme="minorHAnsi"/>
          <w:szCs w:val="22"/>
        </w:rPr>
        <w:t>Sukladno ranijem izračunu za broj oštećenih građevina, dobiveno je da će doći do umjerene štete na najvećem broju građevina, dok će kod manjeg broja građevina doći do jakih i totalnih oštećenja te rušenja. Odabrane su katastrofalne posljedice zbog broja javnih ustanova na kojima mogu nastati oštećenja.</w:t>
      </w:r>
    </w:p>
    <w:p>
      <w:pPr>
        <w:pStyle w:val="Caption"/>
        <w:rPr/>
      </w:pPr>
      <w:r>
        <w:rPr/>
        <w:t xml:space="preserve">Tablica </w:t>
      </w:r>
      <w:r>
        <w:rPr/>
        <w:fldChar w:fldCharType="begin"/>
      </w:r>
      <w:r>
        <w:rPr/>
        <w:instrText> SEQ Tabela \* ARABIC </w:instrText>
      </w:r>
      <w:r>
        <w:rPr/>
        <w:fldChar w:fldCharType="separate"/>
      </w:r>
      <w:r>
        <w:rPr/>
        <w:t>38</w:t>
      </w:r>
      <w:r>
        <w:rPr/>
        <w:fldChar w:fldCharType="end"/>
      </w:r>
      <w:r>
        <w:rPr/>
        <w:t>. Vrijednost kriterija za posljedice na društvenu stabilnost i politiku - štete/gubitci na ustanovama/građevinama javnog društvenog značaja - potres</w:t>
      </w:r>
    </w:p>
    <w:tbl>
      <w:tblPr>
        <w:tblStyle w:val="ivopisnatablicareetke6-isticanje32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Caption"/>
        <w:rPr/>
      </w:pPr>
      <w:r>
        <w:rPr/>
      </w:r>
    </w:p>
    <w:p>
      <w:pPr>
        <w:pStyle w:val="Caption"/>
        <w:rPr/>
      </w:pPr>
      <w:r>
        <w:rPr/>
        <w:t xml:space="preserve">Tablica </w:t>
      </w:r>
      <w:r>
        <w:rPr/>
        <w:fldChar w:fldCharType="begin"/>
      </w:r>
      <w:r>
        <w:rPr/>
        <w:instrText> SEQ Tabela \* ARABIC </w:instrText>
      </w:r>
      <w:r>
        <w:rPr/>
        <w:fldChar w:fldCharType="separate"/>
      </w:r>
      <w:r>
        <w:rPr/>
        <w:t>39</w:t>
      </w:r>
      <w:r>
        <w:rPr/>
        <w:fldChar w:fldCharType="end"/>
      </w:r>
      <w:r>
        <w:rPr/>
        <w:t>. Vrijednost kriterija za društvenu stabilnost i politiku - zbirno – potres</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17"/>
        <w:gridCol w:w="2329"/>
        <w:gridCol w:w="3127"/>
        <w:gridCol w:w="1896"/>
      </w:tblGrid>
      <w:tr>
        <w:trPr>
          <w:cnfStyle w:val="100000000000" w:firstRow="1" w:lastRow="0" w:firstColumn="0" w:lastColumn="0" w:oddVBand="0" w:evenVBand="0" w:oddHBand="0"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80" w:after="0"/>
              <w:ind w:left="29" w:hanging="0"/>
              <w:jc w:val="center"/>
              <w:rPr>
                <w:b w:val="false"/>
                <w:b w:val="false"/>
                <w:sz w:val="20"/>
              </w:rPr>
            </w:pPr>
            <w:r>
              <w:rPr>
                <w:b/>
                <w:bCs/>
                <w:color w:val="76923C" w:themeColor="accent3" w:themeShade="bf"/>
                <w:sz w:val="20"/>
              </w:rPr>
              <w:t>KATEGORIJA</w:t>
            </w:r>
          </w:p>
        </w:tc>
        <w:tc>
          <w:tcPr>
            <w:tcW w:w="23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KRITIČNA INFRASTRUKTURA</w:t>
            </w:r>
          </w:p>
        </w:tc>
        <w:tc>
          <w:tcPr>
            <w:tcW w:w="3127"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USTANOVE/GRAĐEVINE JAVNOG DRUŠTVENOG ZNAČAJA</w:t>
            </w:r>
          </w:p>
        </w:tc>
        <w:tc>
          <w:tcPr>
            <w:tcW w:w="18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rPr>
                <w:sz w:val="20"/>
              </w:rPr>
            </w:pPr>
            <w:r>
              <w:rPr>
                <w:b/>
                <w:bCs/>
                <w:color w:val="76923C" w:themeColor="accent3" w:themeShade="bf"/>
                <w:sz w:val="20"/>
              </w:rPr>
              <w:t>1.</w:t>
            </w:r>
          </w:p>
        </w:tc>
        <w:tc>
          <w:tcPr>
            <w:tcW w:w="23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12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8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rPr>
                <w:sz w:val="20"/>
              </w:rPr>
            </w:pPr>
            <w:r>
              <w:rPr>
                <w:b/>
                <w:bCs/>
                <w:color w:val="76923C" w:themeColor="accent3" w:themeShade="bf"/>
                <w:sz w:val="20"/>
              </w:rPr>
              <w:t>2.</w:t>
            </w:r>
          </w:p>
        </w:tc>
        <w:tc>
          <w:tcPr>
            <w:tcW w:w="23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c>
          <w:tcPr>
            <w:tcW w:w="312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c>
          <w:tcPr>
            <w:tcW w:w="18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rPr>
                <w:sz w:val="20"/>
              </w:rPr>
            </w:pPr>
            <w:r>
              <w:rPr>
                <w:b/>
                <w:bCs/>
                <w:color w:val="76923C" w:themeColor="accent3" w:themeShade="bf"/>
                <w:sz w:val="20"/>
              </w:rPr>
              <w:t>3.</w:t>
            </w:r>
          </w:p>
        </w:tc>
        <w:tc>
          <w:tcPr>
            <w:tcW w:w="23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12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8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rPr>
                <w:sz w:val="20"/>
              </w:rPr>
            </w:pPr>
            <w:r>
              <w:rPr>
                <w:b/>
                <w:bCs/>
                <w:color w:val="76923C" w:themeColor="accent3" w:themeShade="bf"/>
                <w:sz w:val="20"/>
              </w:rPr>
              <w:t>4.</w:t>
            </w:r>
          </w:p>
        </w:tc>
        <w:tc>
          <w:tcPr>
            <w:tcW w:w="23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12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8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rPr>
                <w:sz w:val="20"/>
              </w:rPr>
            </w:pPr>
            <w:r>
              <w:rPr>
                <w:b/>
                <w:bCs/>
                <w:color w:val="76923C" w:themeColor="accent3" w:themeShade="bf"/>
                <w:sz w:val="20"/>
              </w:rPr>
              <w:t>5.</w:t>
            </w:r>
          </w:p>
        </w:tc>
        <w:tc>
          <w:tcPr>
            <w:tcW w:w="23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c>
          <w:tcPr>
            <w:tcW w:w="3127"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c>
          <w:tcPr>
            <w:tcW w:w="18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r>
    </w:tbl>
    <w:p>
      <w:pPr>
        <w:pStyle w:val="Normal"/>
        <w:rPr>
          <w:rStyle w:val="IntenseEmphasis"/>
          <w:color w:val="54883D"/>
          <w:highlight w:val="yellow"/>
        </w:rPr>
      </w:pPr>
      <w:r>
        <w:rPr>
          <w:color w:val="54883D"/>
          <w:highlight w:val="yellow"/>
        </w:rPr>
      </w:r>
    </w:p>
    <w:p>
      <w:pPr>
        <w:pStyle w:val="Normal"/>
        <w:rPr>
          <w:rStyle w:val="IntenseEmphasis"/>
          <w:color w:val="54883D"/>
          <w:highlight w:val="yellow"/>
        </w:rPr>
      </w:pPr>
      <w:r>
        <w:rPr>
          <w:color w:val="54883D"/>
          <w:highlight w:val="yellow"/>
        </w:rPr>
      </w:r>
    </w:p>
    <w:p>
      <w:pPr>
        <w:pStyle w:val="Normal"/>
        <w:rPr>
          <w:i/>
          <w:i/>
          <w:iCs/>
          <w:color w:val="54883D"/>
        </w:rPr>
      </w:pPr>
      <w:r>
        <w:rPr>
          <w:rStyle w:val="IntenseEmphasis"/>
          <w:color w:val="54883D"/>
        </w:rPr>
        <w:t>Vjerojatnost događaja</w:t>
      </w:r>
    </w:p>
    <w:p>
      <w:pPr>
        <w:pStyle w:val="Normal"/>
        <w:rPr/>
      </w:pPr>
      <w:r>
        <w:rPr/>
        <w:t xml:space="preserve">Odabir scenarija odgovara potresnom djelovanju prema </w:t>
      </w:r>
      <w:r>
        <w:rPr>
          <w:i/>
          <w:iCs/>
        </w:rPr>
        <w:t xml:space="preserve">Karti potresnih područja </w:t>
      </w:r>
      <w:r>
        <w:rPr/>
        <w:t>s prikazom poredbenih vršnih ubrzanja tla za povratni period od 475 godina.</w:t>
      </w:r>
    </w:p>
    <w:p>
      <w:pPr>
        <w:pStyle w:val="Caption"/>
        <w:rPr/>
      </w:pPr>
      <w:r>
        <w:rPr/>
        <w:t xml:space="preserve">Tablica </w:t>
      </w:r>
      <w:r>
        <w:rPr/>
        <w:fldChar w:fldCharType="begin"/>
      </w:r>
      <w:r>
        <w:rPr/>
        <w:instrText> SEQ Tabela \* ARABIC </w:instrText>
      </w:r>
      <w:r>
        <w:rPr/>
        <w:fldChar w:fldCharType="separate"/>
      </w:r>
      <w:r>
        <w:rPr/>
        <w:t>40</w:t>
      </w:r>
      <w:r>
        <w:rPr/>
        <w:fldChar w:fldCharType="end"/>
      </w:r>
      <w:r>
        <w:rPr/>
        <w:t>. Vjerojatnost/frekvencija - potres</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529"/>
        <w:gridCol w:w="1696"/>
        <w:gridCol w:w="1829"/>
        <w:gridCol w:w="2620"/>
        <w:gridCol w:w="1396"/>
      </w:tblGrid>
      <w:tr>
        <w:trPr>
          <w:trHeight w:val="259" w:hRule="atLeast"/>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76" w:before="80" w:after="0"/>
              <w:jc w:val="center"/>
              <w:rPr>
                <w:b w:val="false"/>
                <w:b w:val="false"/>
                <w:sz w:val="20"/>
                <w:szCs w:val="20"/>
              </w:rPr>
            </w:pPr>
            <w:r>
              <w:rPr>
                <w:b/>
                <w:bCs/>
                <w:color w:val="76923C" w:themeColor="accent3" w:themeShade="bf"/>
                <w:sz w:val="20"/>
                <w:szCs w:val="20"/>
              </w:rPr>
              <w:t>KATEGORIJA</w:t>
            </w:r>
          </w:p>
        </w:tc>
        <w:tc>
          <w:tcPr>
            <w:tcW w:w="7541" w:type="dxa"/>
            <w:gridSpan w:val="4"/>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bCs/>
                <w:color w:val="76923C" w:themeColor="accent3" w:themeShade="bf"/>
                <w:sz w:val="20"/>
                <w:szCs w:val="20"/>
              </w:rPr>
              <w:t>VJEROJATNOST/FREKVENCIJA</w:t>
            </w:r>
          </w:p>
        </w:tc>
      </w:tr>
      <w:tr>
        <w:trPr>
          <w:trHeight w:val="155" w:hRule="atLeast"/>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rPr>
                <w:b w:val="false"/>
                <w:b w:val="false"/>
                <w:sz w:val="20"/>
                <w:szCs w:val="20"/>
              </w:rPr>
            </w:pPr>
            <w:r>
              <w:rPr>
                <w:b w:val="false"/>
                <w:bCs/>
                <w:color w:val="76923C" w:themeColor="accent3" w:themeShade="bf"/>
                <w:sz w:val="20"/>
                <w:szCs w:val="20"/>
              </w:rPr>
            </w:r>
          </w:p>
        </w:tc>
        <w:tc>
          <w:tcPr>
            <w:tcW w:w="16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62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3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259"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rPr>
                <w:b w:val="false"/>
                <w:b w:val="false"/>
                <w:sz w:val="20"/>
                <w:szCs w:val="20"/>
              </w:rPr>
            </w:pPr>
            <w:r>
              <w:rPr>
                <w:b/>
                <w:bCs/>
                <w:color w:val="76923C" w:themeColor="accent3" w:themeShade="bf"/>
                <w:sz w:val="20"/>
                <w:szCs w:val="20"/>
              </w:rPr>
              <w:t>1</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t>x</w:t>
            </w:r>
          </w:p>
        </w:tc>
      </w:tr>
      <w:tr>
        <w:trPr>
          <w:trHeight w:val="259"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rPr>
                <w:b w:val="false"/>
                <w:b w:val="false"/>
                <w:sz w:val="20"/>
                <w:szCs w:val="20"/>
              </w:rPr>
            </w:pPr>
            <w:r>
              <w:rPr>
                <w:b/>
                <w:bCs/>
                <w:color w:val="76923C" w:themeColor="accent3" w:themeShade="bf"/>
                <w:sz w:val="20"/>
                <w:szCs w:val="20"/>
              </w:rPr>
              <w:t>2</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59"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rPr>
                <w:b w:val="false"/>
                <w:b w:val="false"/>
                <w:sz w:val="20"/>
                <w:szCs w:val="20"/>
              </w:rPr>
            </w:pPr>
            <w:r>
              <w:rPr>
                <w:b/>
                <w:bCs/>
                <w:color w:val="76923C" w:themeColor="accent3" w:themeShade="bf"/>
                <w:sz w:val="20"/>
                <w:szCs w:val="20"/>
              </w:rPr>
              <w:t>3</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59"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rPr>
                <w:b w:val="false"/>
                <w:b w:val="false"/>
                <w:sz w:val="20"/>
                <w:szCs w:val="20"/>
              </w:rPr>
            </w:pPr>
            <w:r>
              <w:rPr>
                <w:b/>
                <w:bCs/>
                <w:color w:val="76923C" w:themeColor="accent3" w:themeShade="bf"/>
                <w:sz w:val="20"/>
                <w:szCs w:val="20"/>
              </w:rPr>
              <w:t>4</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75"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rPr>
                <w:b w:val="false"/>
                <w:b w:val="false"/>
                <w:sz w:val="20"/>
                <w:szCs w:val="20"/>
              </w:rPr>
            </w:pPr>
            <w:r>
              <w:rPr>
                <w:b/>
                <w:bCs/>
                <w:color w:val="76923C" w:themeColor="accent3" w:themeShade="bf"/>
                <w:sz w:val="20"/>
                <w:szCs w:val="20"/>
              </w:rPr>
              <w:t>5</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222" w:name="_Toc492284946"/>
      <w:bookmarkStart w:id="223" w:name="_Toc496856102"/>
      <w:bookmarkStart w:id="224" w:name="_Toc99955718"/>
      <w:bookmarkStart w:id="225" w:name="_Toc116990166"/>
      <w:r>
        <w:rPr/>
        <w:t>Podaci, izvori i metode proračuna</w:t>
      </w:r>
      <w:bookmarkEnd w:id="222"/>
      <w:bookmarkEnd w:id="223"/>
      <w:bookmarkEnd w:id="224"/>
      <w:bookmarkEnd w:id="225"/>
    </w:p>
    <w:p>
      <w:pPr>
        <w:pStyle w:val="Normal"/>
        <w:rPr/>
      </w:pPr>
      <w:r>
        <w:rPr/>
        <w:t>Prilikom izračuna zona ugroženosti i procjene rizika korišteni su podaci iz:</w:t>
      </w:r>
    </w:p>
    <w:p>
      <w:pPr>
        <w:pStyle w:val="ListParagraph"/>
        <w:numPr>
          <w:ilvl w:val="0"/>
          <w:numId w:val="6"/>
        </w:numPr>
        <w:rPr/>
      </w:pPr>
      <w:r>
        <w:rPr/>
        <w:t>Procjene ugroženosti stanovništva, materijalnih i kulturnih dobara te okoliša za područje Grada Buja (2015.)</w:t>
      </w:r>
    </w:p>
    <w:p>
      <w:pPr>
        <w:pStyle w:val="ListParagraph"/>
        <w:numPr>
          <w:ilvl w:val="0"/>
          <w:numId w:val="6"/>
        </w:numPr>
        <w:rPr/>
      </w:pPr>
      <w:r>
        <w:rPr/>
        <w:t>Aničić: Civilna zaštita I i II(1992)2</w:t>
      </w:r>
    </w:p>
    <w:p>
      <w:pPr>
        <w:pStyle w:val="ListParagraph"/>
        <w:numPr>
          <w:ilvl w:val="0"/>
          <w:numId w:val="6"/>
        </w:numPr>
        <w:rPr/>
      </w:pPr>
      <w:r>
        <w:rPr/>
        <w:t>Grad Buje</w:t>
      </w:r>
    </w:p>
    <w:p>
      <w:pPr>
        <w:pStyle w:val="ListParagraph"/>
        <w:numPr>
          <w:ilvl w:val="0"/>
          <w:numId w:val="6"/>
        </w:numPr>
        <w:rPr/>
      </w:pPr>
      <w:r>
        <w:rPr/>
        <w:t xml:space="preserve">Procjena rizika od katastrofa za Republiku Hrvatsku </w:t>
      </w:r>
    </w:p>
    <w:p>
      <w:pPr>
        <w:pStyle w:val="ListParagraph"/>
        <w:numPr>
          <w:ilvl w:val="0"/>
          <w:numId w:val="6"/>
        </w:numPr>
        <w:rPr/>
      </w:pPr>
      <w:r>
        <w:rPr/>
        <w:t>Državni zavod za statistiku</w:t>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Normal"/>
        <w:spacing w:lineRule="auto" w:line="259" w:before="0" w:after="160"/>
        <w:ind w:left="360" w:hanging="0"/>
        <w:rPr>
          <w:highlight w:val="yellow"/>
        </w:rPr>
      </w:pPr>
      <w:r>
        <w:rPr>
          <w:highlight w:val="yellow"/>
        </w:rPr>
      </w:r>
    </w:p>
    <w:p>
      <w:pPr>
        <w:pStyle w:val="Stilnaslova3"/>
        <w:numPr>
          <w:ilvl w:val="2"/>
          <w:numId w:val="2"/>
        </w:numPr>
        <w:ind w:left="709" w:hanging="721"/>
        <w:rPr/>
      </w:pPr>
      <w:bookmarkStart w:id="226" w:name="_Toc492284947"/>
      <w:bookmarkStart w:id="227" w:name="_Toc496856103"/>
      <w:bookmarkStart w:id="228" w:name="_Toc99955719"/>
      <w:bookmarkStart w:id="229" w:name="_Toc116990167"/>
      <w:r>
        <w:rPr/>
        <w:t>Matrice rizika</w:t>
      </w:r>
      <w:bookmarkEnd w:id="226"/>
      <w:bookmarkEnd w:id="227"/>
      <w:bookmarkEnd w:id="228"/>
      <w:bookmarkEnd w:id="229"/>
    </w:p>
    <w:p>
      <w:pPr>
        <w:pStyle w:val="Normal"/>
        <w:rPr/>
      </w:pPr>
      <w:r>
        <w:rPr/>
        <w:t>Rizik: Potres</w:t>
      </w:r>
    </w:p>
    <w:p>
      <w:pPr>
        <w:pStyle w:val="Normal"/>
        <w:rPr/>
      </w:pPr>
      <w:r>
        <w:rPr/>
        <w:t>Naziv scenarija: Podrhtavanje tla uzrokovano potresom jačine VII</w:t>
      </w:r>
      <w:r>
        <w:rPr>
          <w:vertAlign w:val="superscript"/>
        </w:rPr>
        <w:t>°</w:t>
      </w:r>
      <w:r>
        <w:rPr/>
        <w:t xml:space="preserve"> MCS ljestvice</w:t>
      </w:r>
    </w:p>
    <w:p>
      <w:pPr>
        <w:pStyle w:val="Normal"/>
        <w:rPr>
          <w:rFonts w:ascii="Courier New" w:hAnsi="Courier New" w:eastAsia="Courier New" w:cs="Courier New"/>
          <w:color w:val="000000"/>
          <w:lang w:eastAsia="hr-HR"/>
        </w:rPr>
      </w:pPr>
      <w:r>
        <w:rPr>
          <w:rFonts w:eastAsia="Courier New" w:cs="Courier New" w:ascii="Courier New" w:hAnsi="Courier New"/>
          <w:color w:val="000000"/>
          <w:lang w:eastAsia="hr-HR"/>
        </w:rPr>
      </w:r>
    </w:p>
    <w:p>
      <w:pPr>
        <w:pStyle w:val="Normal"/>
        <w:rPr/>
      </w:pPr>
      <w:r>
        <w:rPr/>
        <w:drawing>
          <wp:inline distT="0" distB="0" distL="0" distR="0">
            <wp:extent cx="5210175" cy="4443730"/>
            <wp:effectExtent l="0" t="0" r="0" b="0"/>
            <wp:docPr id="122" name="Picture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1" descr=""/>
                    <pic:cNvPicPr>
                      <a:picLocks noChangeAspect="1" noChangeArrowheads="1"/>
                    </pic:cNvPicPr>
                  </pic:nvPicPr>
                  <pic:blipFill>
                    <a:blip r:embed="rId112"/>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23" wp14:anchorId="7D98F897">
                <wp:simplePos x="0" y="0"/>
                <wp:positionH relativeFrom="column">
                  <wp:posOffset>1294130</wp:posOffset>
                </wp:positionH>
                <wp:positionV relativeFrom="paragraph">
                  <wp:posOffset>1238885</wp:posOffset>
                </wp:positionV>
                <wp:extent cx="315595" cy="254000"/>
                <wp:effectExtent l="19050" t="0" r="28575" b="13970"/>
                <wp:wrapNone/>
                <wp:docPr id="121" name="Hexagon 33"/>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3" fillcolor="#4f81bd" stroked="t" style="position:absolute;margin-left:101.9pt;margin-top:97.55pt;width:24.75pt;height:19.9pt" wp14:anchorId="7D98F897" type="shapetype_9">
                <w10:wrap type="none"/>
                <v:fill o:detectmouseclick="t" type="solid" color2="#b07e42"/>
                <v:stroke color="#4f81bd" weight="9360" joinstyle="miter" endcap="flat"/>
              </v:shape>
            </w:pict>
          </mc:Fallback>
        </mc:AlternateContent>
      </w:r>
    </w:p>
    <w:p>
      <w:pPr>
        <w:pStyle w:val="Normal"/>
        <w:jc w:val="center"/>
        <w:rPr>
          <w:b/>
          <w:b/>
          <w:sz w:val="20"/>
        </w:rPr>
      </w:pPr>
      <w:r>
        <w:rPr>
          <w:b/>
          <w:sz w:val="20"/>
        </w:rPr>
        <w:t>Život i zdravlje ljudi</w:t>
        <w:tab/>
        <w:tab/>
        <w:t xml:space="preserve">       Gospodarstvo</w:t>
        <w:tab/>
        <w:t xml:space="preserve">          Društvena stabilnost i politika</w:t>
      </w:r>
    </w:p>
    <w:p>
      <w:pPr>
        <w:pStyle w:val="Normal"/>
        <w:jc w:val="center"/>
        <w:rPr/>
      </w:pPr>
      <w:r>
        <mc:AlternateContent>
          <mc:Choice Requires="wps">
            <w:drawing>
              <wp:anchor behindDoc="0" distT="0" distB="0" distL="0" distR="0" simplePos="0" locked="0" layoutInCell="1" allowOverlap="1" relativeHeight="24" wp14:anchorId="654E84A0">
                <wp:simplePos x="0" y="0"/>
                <wp:positionH relativeFrom="column">
                  <wp:posOffset>494665</wp:posOffset>
                </wp:positionH>
                <wp:positionV relativeFrom="paragraph">
                  <wp:posOffset>272415</wp:posOffset>
                </wp:positionV>
                <wp:extent cx="112395" cy="92075"/>
                <wp:effectExtent l="19050" t="0" r="41275" b="23495"/>
                <wp:wrapNone/>
                <wp:docPr id="123" name="Hexagon 107"/>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107" fillcolor="#4f81bd" stroked="t" style="position:absolute;margin-left:38.95pt;margin-top:21.45pt;width:8.75pt;height:7.15pt" wp14:anchorId="654E84A0"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25" wp14:anchorId="6FB8A0F9">
                <wp:simplePos x="0" y="0"/>
                <wp:positionH relativeFrom="column">
                  <wp:posOffset>2366645</wp:posOffset>
                </wp:positionH>
                <wp:positionV relativeFrom="paragraph">
                  <wp:posOffset>229870</wp:posOffset>
                </wp:positionV>
                <wp:extent cx="112395" cy="92075"/>
                <wp:effectExtent l="19050" t="0" r="41275" b="23495"/>
                <wp:wrapNone/>
                <wp:docPr id="124" name="Hexagon 108"/>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108" fillcolor="#4f81bd" stroked="t" style="position:absolute;margin-left:186.35pt;margin-top:18.1pt;width:8.75pt;height:7.15pt" wp14:anchorId="6FB8A0F9"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26" wp14:anchorId="722716A2">
                <wp:simplePos x="0" y="0"/>
                <wp:positionH relativeFrom="column">
                  <wp:posOffset>4260215</wp:posOffset>
                </wp:positionH>
                <wp:positionV relativeFrom="paragraph">
                  <wp:posOffset>861695</wp:posOffset>
                </wp:positionV>
                <wp:extent cx="112395" cy="92075"/>
                <wp:effectExtent l="19050" t="0" r="41275" b="23495"/>
                <wp:wrapNone/>
                <wp:docPr id="125" name="Hexagon 36"/>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6" fillcolor="#4f81bd" stroked="t" style="position:absolute;margin-left:335.45pt;margin-top:67.85pt;width:8.75pt;height:7.15pt" wp14:anchorId="722716A2"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126" name="Picture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13" descr=""/>
                    <pic:cNvPicPr>
                      <a:picLocks noChangeAspect="1" noChangeArrowheads="1"/>
                    </pic:cNvPicPr>
                  </pic:nvPicPr>
                  <pic:blipFill>
                    <a:blip r:embed="rId113"/>
                    <a:stretch>
                      <a:fillRect/>
                    </a:stretch>
                  </pic:blipFill>
                  <pic:spPr bwMode="auto">
                    <a:xfrm>
                      <a:off x="0" y="0"/>
                      <a:ext cx="1828800" cy="1554480"/>
                    </a:xfrm>
                    <a:prstGeom prst="rect">
                      <a:avLst/>
                    </a:prstGeom>
                  </pic:spPr>
                </pic:pic>
              </a:graphicData>
            </a:graphic>
          </wp:inline>
        </w:drawing>
      </w:r>
      <w:r>
        <w:rPr/>
        <w:drawing>
          <wp:inline distT="0" distB="0" distL="0" distR="0">
            <wp:extent cx="1905000" cy="1619250"/>
            <wp:effectExtent l="0" t="0" r="0" b="0"/>
            <wp:docPr id="127" name="Picture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64" descr=""/>
                    <pic:cNvPicPr>
                      <a:picLocks noChangeAspect="1" noChangeArrowheads="1"/>
                    </pic:cNvPicPr>
                  </pic:nvPicPr>
                  <pic:blipFill>
                    <a:blip r:embed="rId114"/>
                    <a:stretch>
                      <a:fillRect/>
                    </a:stretch>
                  </pic:blipFill>
                  <pic:spPr bwMode="auto">
                    <a:xfrm>
                      <a:off x="0" y="0"/>
                      <a:ext cx="1905000" cy="1619250"/>
                    </a:xfrm>
                    <a:prstGeom prst="rect">
                      <a:avLst/>
                    </a:prstGeom>
                  </pic:spPr>
                </pic:pic>
              </a:graphicData>
            </a:graphic>
          </wp:inline>
        </w:drawing>
      </w:r>
      <w:r>
        <w:rPr/>
        <w:drawing>
          <wp:inline distT="0" distB="0" distL="0" distR="0">
            <wp:extent cx="1906270" cy="1620520"/>
            <wp:effectExtent l="0" t="0" r="0" b="0"/>
            <wp:docPr id="128" name="Picture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65" descr=""/>
                    <pic:cNvPicPr>
                      <a:picLocks noChangeAspect="1" noChangeArrowheads="1"/>
                    </pic:cNvPicPr>
                  </pic:nvPicPr>
                  <pic:blipFill>
                    <a:blip r:embed="rId115"/>
                    <a:stretch>
                      <a:fillRect/>
                    </a:stretch>
                  </pic:blipFill>
                  <pic:spPr bwMode="auto">
                    <a:xfrm>
                      <a:off x="0" y="0"/>
                      <a:ext cx="1906270" cy="1620520"/>
                    </a:xfrm>
                    <a:prstGeom prst="rect">
                      <a:avLst/>
                    </a:prstGeom>
                  </pic:spPr>
                </pic:pic>
              </a:graphicData>
            </a:graphic>
          </wp:inline>
        </w:drawing>
      </w:r>
    </w:p>
    <w:p>
      <w:pPr>
        <w:pStyle w:val="Normal"/>
        <w:jc w:val="center"/>
        <w:rPr/>
      </w:pPr>
      <w:r>
        <w:rPr/>
      </w:r>
    </w:p>
    <w:p>
      <w:pPr>
        <w:pStyle w:val="Normal"/>
        <w:jc w:val="center"/>
        <w:rPr/>
      </w:pPr>
      <w:r>
        <w:rPr/>
      </w:r>
    </w:p>
    <w:p>
      <w:pPr>
        <w:pStyle w:val="Normal"/>
        <w:rPr/>
      </w:pPr>
      <w:r>
        <w:rPr/>
      </w:r>
    </w:p>
    <w:p>
      <w:pPr>
        <w:pStyle w:val="Stilnaslova2"/>
        <w:numPr>
          <w:ilvl w:val="1"/>
          <w:numId w:val="2"/>
        </w:numPr>
        <w:rPr/>
      </w:pPr>
      <w:bookmarkStart w:id="230" w:name="_Toc99955720"/>
      <w:bookmarkStart w:id="231" w:name="_Toc116990168"/>
      <w:bookmarkStart w:id="232" w:name="_Toc496179680"/>
      <w:r>
        <w:rPr/>
        <w:t>Poplava</w:t>
      </w:r>
      <w:bookmarkEnd w:id="230"/>
      <w:bookmarkEnd w:id="231"/>
      <w:bookmarkEnd w:id="232"/>
      <w:r>
        <w:rPr/>
        <w:t xml:space="preserve"> </w:t>
      </w:r>
    </w:p>
    <w:p>
      <w:pPr>
        <w:pStyle w:val="Stilnaslova3"/>
        <w:numPr>
          <w:ilvl w:val="2"/>
          <w:numId w:val="2"/>
        </w:numPr>
        <w:ind w:left="709" w:hanging="721"/>
        <w:rPr/>
      </w:pPr>
      <w:bookmarkStart w:id="233" w:name="_Toc99955721"/>
      <w:bookmarkStart w:id="234" w:name="_Toc116990169"/>
      <w:bookmarkStart w:id="235" w:name="_Toc486323768"/>
      <w:bookmarkStart w:id="236" w:name="_Toc496179681"/>
      <w:r>
        <w:rPr/>
        <w:t>Naziv scenarij</w:t>
      </w:r>
      <w:bookmarkEnd w:id="235"/>
      <w:bookmarkEnd w:id="236"/>
      <w:r>
        <w:rPr/>
        <w:t>a</w:t>
      </w:r>
      <w:bookmarkEnd w:id="233"/>
      <w:bookmarkEnd w:id="234"/>
    </w:p>
    <w:p>
      <w:pPr>
        <w:pStyle w:val="Normal"/>
        <w:rPr>
          <w:lang w:bidi="en-US"/>
        </w:rPr>
      </w:pPr>
      <w:r>
        <w:rPr>
          <w:lang w:bidi="en-US"/>
        </w:rPr>
      </w:r>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szCs w:val="20"/>
              </w:rPr>
              <w:t>Poplava na području Grada Buje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Poplava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color w:val="76923C" w:themeColor="accent3" w:themeShade="bf"/>
                <w:szCs w:val="20"/>
              </w:rPr>
              <w:t>Poplava izazvana izlijevanjem kopnenih vodenih tijela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pPr>
      <w:r>
        <w:rPr/>
      </w:r>
    </w:p>
    <w:p>
      <w:pPr>
        <w:pStyle w:val="Stilnaslova3"/>
        <w:numPr>
          <w:ilvl w:val="2"/>
          <w:numId w:val="2"/>
        </w:numPr>
        <w:ind w:left="709" w:hanging="721"/>
        <w:rPr/>
      </w:pPr>
      <w:bookmarkStart w:id="237" w:name="_Toc492284931"/>
      <w:bookmarkStart w:id="238" w:name="_Toc496179682"/>
      <w:bookmarkStart w:id="239" w:name="_Toc99955722"/>
      <w:bookmarkStart w:id="240" w:name="_Toc116990170"/>
      <w:r>
        <w:rPr/>
        <w:t>Uvod</w:t>
      </w:r>
      <w:bookmarkEnd w:id="237"/>
      <w:bookmarkEnd w:id="238"/>
      <w:bookmarkEnd w:id="239"/>
      <w:bookmarkEnd w:id="240"/>
    </w:p>
    <w:p>
      <w:pPr>
        <w:pStyle w:val="Normal"/>
        <w:rPr>
          <w:color w:val="auto"/>
        </w:rPr>
      </w:pPr>
      <w:r>
        <w:rPr>
          <w:color w:val="auto"/>
        </w:rPr>
        <w:t xml:space="preserve">Obrana od poplava u Republici Hrvatskoj regulirana je kroz zakonsku regulativu prvenstveno kroz Zakon o vodama i Zakon o financiranju vodnoga gospodarstva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pPr>
        <w:pStyle w:val="Normal"/>
        <w:rPr/>
      </w:pPr>
      <w:r>
        <w:rPr/>
        <w:t xml:space="preserve">U cilju prepoznavanja, boljeg i učinkovitijeg upravljanja rizicima od nastanka potencijalnih velikih nesreća i katastrofa te smanjenja i ublažavanja potencijalnih šteta od njihovog nastanka, u nastavku se obrađuje Procjena rizika od poplava izazvanih izlijevanjem kopnenih vodenih tijela. </w:t>
      </w:r>
    </w:p>
    <w:p>
      <w:pPr>
        <w:pStyle w:val="Normal"/>
        <w:rPr/>
      </w:pPr>
      <w:r>
        <w:rPr/>
        <w:t>Poplave su prirodni fenomeni čije se pojave ne mogu izbjeći, ali se poduzimanjem različitih preventivnih građevinskih i negrađevinskih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Sukladno glavnom provedbenom planu obrane od poplava (srpanj, 2015.), područje Grada Buje -Buie nalazi se unutar Branjenog područja 22, područje malih slivova Mirna-Dragonja i Raša-Boljunčica.</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Karakteristike oba slivna područja su: s jedne strane razvijena hidrografska mreža na eocenskom flišu, koji prevladava središnjom Istrom i proteže se geosinklinalom od sjeverozapada prema jugoistoku poluotoka, a s druge strane propusno vapnenačko tlo koje prevladava u antiklinalama na sjeveru i jugu, i u kojemu se nisu mogli formirati izrazitiji površinski tokovi.</w:t>
      </w:r>
    </w:p>
    <w:p>
      <w:pPr>
        <w:pStyle w:val="Normal"/>
        <w:rPr>
          <w:highlight w:val="yellow"/>
        </w:rPr>
      </w:pPr>
      <w:r>
        <w:rPr>
          <w:highlight w:val="yellow"/>
        </w:rPr>
      </w:r>
    </w:p>
    <w:p>
      <w:pPr>
        <w:pStyle w:val="Stilnaslova3"/>
        <w:numPr>
          <w:ilvl w:val="2"/>
          <w:numId w:val="2"/>
        </w:numPr>
        <w:ind w:left="709" w:hanging="721"/>
        <w:rPr/>
      </w:pPr>
      <w:bookmarkStart w:id="241" w:name="_Toc492284932"/>
      <w:bookmarkStart w:id="242" w:name="_Toc496179683"/>
      <w:bookmarkStart w:id="243" w:name="_Toc99955723"/>
      <w:bookmarkStart w:id="244" w:name="_Toc116990171"/>
      <w:r>
        <w:rPr/>
        <w:t>Prikaz utjecaja na kritičnu infrastrukturu</w:t>
      </w:r>
      <w:bookmarkEnd w:id="241"/>
      <w:bookmarkEnd w:id="242"/>
      <w:bookmarkEnd w:id="243"/>
      <w:bookmarkEnd w:id="244"/>
    </w:p>
    <w:tbl>
      <w:tblPr>
        <w:tblStyle w:val="GridTable6Colorful-Accent31"/>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rPr>
            </w:pPr>
            <w:r>
              <w:rPr>
                <w:b/>
                <w:bCs/>
                <w:color w:val="76923C" w:themeColor="accent3" w:themeShade="bf"/>
                <w:sz w:val="20"/>
              </w:rPr>
              <w:t>UTJECAJ</w:t>
            </w:r>
          </w:p>
        </w:tc>
        <w:tc>
          <w:tcPr>
            <w:tcW w:w="82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t>x</w:t>
            </w:r>
          </w:p>
        </w:tc>
        <w:tc>
          <w:tcPr>
            <w:tcW w:w="8296" w:type="dxa"/>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rPr>
            </w:pPr>
            <w:r>
              <w:rPr>
                <w:b/>
                <w:bCs/>
                <w:color w:val="76923C" w:themeColor="accent3" w:themeShade="bf"/>
                <w:sz w:val="20"/>
              </w:rPr>
            </w:r>
          </w:p>
        </w:tc>
        <w:tc>
          <w:tcPr>
            <w:tcW w:w="8296" w:type="dxa"/>
            <w:tcBorders/>
            <w:shd w:color="auto" w:fill="FFFFFF" w:themeFill="background1" w:val="clear"/>
            <w:vAlign w:val="center"/>
          </w:tcPr>
          <w:p>
            <w:pPr>
              <w:pStyle w:val="Normal"/>
              <w:spacing w:lineRule="auto" w:line="240"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lang w:bidi="en-US"/>
        </w:rPr>
      </w:pPr>
      <w:r>
        <w:rPr>
          <w:lang w:bidi="en-US"/>
        </w:rPr>
      </w:r>
    </w:p>
    <w:p>
      <w:pPr>
        <w:pStyle w:val="Stilnaslova3"/>
        <w:numPr>
          <w:ilvl w:val="2"/>
          <w:numId w:val="2"/>
        </w:numPr>
        <w:ind w:left="709" w:hanging="721"/>
        <w:rPr/>
      </w:pPr>
      <w:bookmarkStart w:id="245" w:name="_Toc492284933"/>
      <w:bookmarkStart w:id="246" w:name="_Toc496179684"/>
      <w:bookmarkStart w:id="247" w:name="_Toc99955724"/>
      <w:bookmarkStart w:id="248" w:name="_Toc116990172"/>
      <w:r>
        <w:rPr/>
        <w:t>Kontekst</w:t>
      </w:r>
      <w:bookmarkEnd w:id="245"/>
      <w:bookmarkEnd w:id="246"/>
      <w:bookmarkEnd w:id="247"/>
      <w:bookmarkEnd w:id="248"/>
    </w:p>
    <w:p>
      <w:pPr>
        <w:pStyle w:val="Normal"/>
        <w:spacing w:before="0" w:after="0"/>
        <w:rPr/>
      </w:pPr>
      <w:r>
        <w:rPr/>
        <w:t>Područje Grada Buje -Buie prostire se na sjeverozapadu Istre uz samu granicu sa Republikom Slovenijom. Rijeka Dragonja, čiji tok na sjeveru je u nadležnosti Grada u dužini od 9,6 km.</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Sukladno detaljnom planu obrane od poplave za branjeno područje 22, predmetnim područjem prolazi:</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Dionica E.22.2. - rijeka Dragonja</w:t>
      </w:r>
    </w:p>
    <w:p>
      <w:pPr>
        <w:pStyle w:val="Normal"/>
        <w:spacing w:before="0" w:after="0"/>
        <w:rPr/>
      </w:pPr>
      <w:r>
        <w:rPr/>
      </w:r>
    </w:p>
    <w:p>
      <w:pPr>
        <w:pStyle w:val="Normal"/>
        <w:spacing w:before="0" w:after="0"/>
        <w:rPr/>
      </w:pPr>
      <w:r>
        <w:rPr/>
        <w:t>U težim slučajevima poplave može ugroziti granične prijelaze Kaštel i Plovaniju i to primarno na slovenskoj strani, a u izuzetno ekstremnim slučajevima i hrvatsku stranu.</w:t>
      </w:r>
    </w:p>
    <w:p>
      <w:pPr>
        <w:pStyle w:val="Normal"/>
        <w:spacing w:before="0" w:after="0"/>
        <w:rPr/>
      </w:pPr>
      <w:r>
        <w:rPr/>
        <w:t>Također područjem Grada teče i potok Argilla s izvorištem na lokaciji Škarjevac čiji se tok nadohranjuje Fontanom ispod Momjana i kao takav utječe u Dragonju, koji u slučaju izlijevanja ugrožava prometnicu Kremenje – Oskoruš. Takvo se izlijevanje ne očekuje u većem obimu koje bi moglo izazvati materijalnu štetu i opasnost od poplava dok se održava postojeće melioracijske kanale.</w:t>
      </w:r>
    </w:p>
    <w:p>
      <w:pPr>
        <w:pStyle w:val="Normal"/>
        <w:spacing w:before="0" w:after="0"/>
        <w:rPr/>
      </w:pPr>
      <w:r>
        <w:rPr/>
        <w:t>Na području Gr</w:t>
      </w:r>
      <w:r>
        <w:rPr>
          <w:color w:val="auto"/>
        </w:rPr>
        <w:t xml:space="preserve">ada Buja - Buie opasnost </w:t>
      </w:r>
      <w:r>
        <w:rPr/>
        <w:t>od poplave postoji za naselje Marušići zbog blizine Vale Bazuja koju karakteriziraju jame. Uslijed jakih oborina i nedovoljnog otjecanja vode te punjenja jama postoji opasnost od poplave. Mala opasnost od poplave, ali u vrlo ekstremnim vremenskim prilikama (vrlo dug kišni period) i u slučaju neadekvatnog čišćenja korita, postoji od rijeke Dragonje gdje bi u slučaju poplave stradalo mjesto Škudelin i Bužin. Vodna korita redovito se čiste te uklanja krupni otpad od strane poduzeća vodnog gospodarstva - Hrvatske vode. Iskustva pokazuju da u ekstremnim situacijama veće količine oborina mogu poplaviti područje nogometnog igrališta u Bujama, a uslijed porasta vodostaja gornjeg toka Umaškog potoka može doći do plavljenja djela prometnice D-300 na području Materade.</w:t>
      </w:r>
    </w:p>
    <w:p>
      <w:pPr>
        <w:pStyle w:val="Normal"/>
        <w:rPr/>
      </w:pPr>
      <w:r>
        <w:rPr/>
      </w:r>
    </w:p>
    <w:p>
      <w:pPr>
        <w:pStyle w:val="Normal"/>
        <w:rPr/>
      </w:pPr>
      <w:r>
        <w:rPr/>
        <w:t>Propagacija vodnih valova je takva da ne dopušta stupnjevanje mjera obrane od poplave već je u slučaju opasnosti od plavljenja ili rušenja/oštećenja objekata potrebno odmah prijeći na proglašenje mjera izvanredne obrane od poplave. Upravo iz tih razloga, prognoze o padavinama dobivene od DHMZ-a, a koje su u današnje vrijeme dovoljno pouzdane, bitnije su za proglašenje stanja pripravnosti i poduzimanje propisanih aktivnosti nego opažanja vršene na vodomjerima letvama u mjerodavnim hidrološkim profilima. Budući da lokalne kiše, (pljuskove velikog intenziteta) često i nije moguće predvidjeti, poželjno je na tim slivovima postaviti hidrometeorološke postaje kako bi se moglo pravovremeno reagirati i djelovati sukladno mjerama predviđenim planom.</w:t>
      </w:r>
    </w:p>
    <w:p>
      <w:pPr>
        <w:pStyle w:val="Normal"/>
        <w:rPr/>
      </w:pPr>
      <w:r>
        <w:rPr/>
      </w:r>
    </w:p>
    <w:p>
      <w:pPr>
        <w:pStyle w:val="Normal"/>
        <w:jc w:val="center"/>
        <w:rPr/>
      </w:pPr>
      <w:r>
        <w:rPr/>
        <w:drawing>
          <wp:inline distT="0" distB="0" distL="0" distR="0">
            <wp:extent cx="5337810" cy="4157980"/>
            <wp:effectExtent l="0" t="0" r="0" b="0"/>
            <wp:docPr id="129" name="Picture 9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908" descr=""/>
                    <pic:cNvPicPr>
                      <a:picLocks noChangeAspect="1" noChangeArrowheads="1"/>
                    </pic:cNvPicPr>
                  </pic:nvPicPr>
                  <pic:blipFill>
                    <a:blip r:embed="rId116"/>
                    <a:stretch>
                      <a:fillRect/>
                    </a:stretch>
                  </pic:blipFill>
                  <pic:spPr bwMode="auto">
                    <a:xfrm>
                      <a:off x="0" y="0"/>
                      <a:ext cx="5337810" cy="4157980"/>
                    </a:xfrm>
                    <a:prstGeom prst="rect">
                      <a:avLst/>
                    </a:prstGeom>
                  </pic:spPr>
                </pic:pic>
              </a:graphicData>
            </a:graphic>
          </wp:inline>
        </w:drawing>
      </w:r>
    </w:p>
    <w:p>
      <w:pPr>
        <w:pStyle w:val="Normal"/>
        <w:jc w:val="center"/>
        <w:rPr/>
      </w:pPr>
      <w:r>
        <w:rPr/>
        <w:drawing>
          <wp:inline distT="0" distB="0" distL="0" distR="0">
            <wp:extent cx="5109210" cy="1635760"/>
            <wp:effectExtent l="0" t="0" r="0" b="0"/>
            <wp:docPr id="130" name="Picture 9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909" descr=""/>
                    <pic:cNvPicPr>
                      <a:picLocks noChangeAspect="1" noChangeArrowheads="1"/>
                    </pic:cNvPicPr>
                  </pic:nvPicPr>
                  <pic:blipFill>
                    <a:blip r:embed="rId117"/>
                    <a:stretch>
                      <a:fillRect/>
                    </a:stretch>
                  </pic:blipFill>
                  <pic:spPr bwMode="auto">
                    <a:xfrm>
                      <a:off x="0" y="0"/>
                      <a:ext cx="5109210" cy="1635760"/>
                    </a:xfrm>
                    <a:prstGeom prst="rect">
                      <a:avLst/>
                    </a:prstGeom>
                  </pic:spPr>
                </pic:pic>
              </a:graphicData>
            </a:graphic>
          </wp:inline>
        </w:drawing>
      </w:r>
    </w:p>
    <w:p>
      <w:pPr>
        <w:pStyle w:val="Normal"/>
        <w:tabs>
          <w:tab w:val="clear" w:pos="708"/>
          <w:tab w:val="left" w:pos="684" w:leader="none"/>
        </w:tabs>
        <w:spacing w:before="96" w:after="96"/>
        <w:rPr>
          <w:color w:val="000000"/>
          <w:szCs w:val="22"/>
          <w:lang w:eastAsia="hr-HR"/>
        </w:rPr>
      </w:pPr>
      <w:r>
        <w:rPr>
          <w:color w:val="000000"/>
          <w:szCs w:val="22"/>
          <w:lang w:eastAsia="hr-HR"/>
        </w:rPr>
      </w:r>
    </w:p>
    <w:p>
      <w:pPr>
        <w:pStyle w:val="Normal"/>
        <w:tabs>
          <w:tab w:val="clear" w:pos="708"/>
          <w:tab w:val="left" w:pos="684" w:leader="none"/>
        </w:tabs>
        <w:spacing w:before="96" w:after="96"/>
        <w:rPr>
          <w:color w:val="000000"/>
          <w:szCs w:val="22"/>
          <w:lang w:eastAsia="hr-HR"/>
        </w:rPr>
      </w:pPr>
      <w:r>
        <w:rPr>
          <w:color w:val="000000"/>
          <w:szCs w:val="22"/>
          <w:lang w:eastAsia="hr-HR"/>
        </w:rPr>
      </w:r>
    </w:p>
    <w:p>
      <w:pPr>
        <w:pStyle w:val="Normal"/>
        <w:tabs>
          <w:tab w:val="clear" w:pos="708"/>
          <w:tab w:val="left" w:pos="684" w:leader="none"/>
        </w:tabs>
        <w:spacing w:before="96" w:after="96"/>
        <w:rPr>
          <w:color w:val="000000"/>
          <w:szCs w:val="22"/>
          <w:lang w:eastAsia="hr-HR"/>
        </w:rPr>
      </w:pPr>
      <w:r>
        <w:rPr>
          <w:color w:val="000000"/>
          <w:szCs w:val="22"/>
          <w:lang w:eastAsia="hr-HR"/>
        </w:rPr>
        <w:t xml:space="preserve">Shodno procjeni ugroženosti Hrvatskih voda realno je procijeniti da na području garada Buje – Buie postoji više ugroza od poplava, gdje temeljna ugroza prijeti od strane rijeke Dragonje. Prema navedenom može se očekivati ugroza za 40 stanovnika, 12 kuća i gospodarskih objekata, 55 ha poljoprivrednog zemljišta, 300 m državne ceste te 450 m lokalne ceste i to uglavnom u naseljima Bužin i Škudelin. </w:t>
      </w:r>
      <w:r>
        <w:rPr>
          <w:color w:val="auto"/>
          <w:szCs w:val="22"/>
          <w:lang w:eastAsia="hr-HR"/>
        </w:rPr>
        <w:t>Manja ugroza  postoji i uz rijeku Mirnu (područje naselja Lozari, Drače) gdje može doći do</w:t>
      </w:r>
      <w:r>
        <w:rPr>
          <w:b/>
          <w:color w:val="auto"/>
          <w:szCs w:val="22"/>
          <w:lang w:eastAsia="hr-HR"/>
        </w:rPr>
        <w:t xml:space="preserve"> </w:t>
      </w:r>
      <w:r>
        <w:rPr>
          <w:color w:val="auto"/>
          <w:szCs w:val="22"/>
          <w:lang w:eastAsia="hr-HR"/>
        </w:rPr>
        <w:t>plavljenja manjeg dijela poljoprivrednih površina i povrtlarskih kultura.</w:t>
      </w:r>
    </w:p>
    <w:p>
      <w:pPr>
        <w:pStyle w:val="Normal"/>
        <w:tabs>
          <w:tab w:val="clear" w:pos="708"/>
          <w:tab w:val="left" w:pos="684" w:leader="none"/>
        </w:tabs>
        <w:spacing w:before="96" w:after="96"/>
        <w:rPr>
          <w:color w:val="000000"/>
          <w:szCs w:val="22"/>
          <w:lang w:eastAsia="hr-HR"/>
        </w:rPr>
      </w:pPr>
      <w:r>
        <w:rPr>
          <w:color w:val="000000"/>
          <w:szCs w:val="22"/>
          <w:lang w:eastAsia="hr-HR"/>
        </w:rPr>
        <w:t>U ekstremnim situacijama uslijed ugrožavanja graničnih prijelaza Kaštel i Plovanija može doći do njihovih zatvaranja te prekida prometa.</w:t>
      </w:r>
    </w:p>
    <w:p>
      <w:pPr>
        <w:pStyle w:val="Normal"/>
        <w:rPr/>
      </w:pPr>
      <w:r>
        <w:rPr/>
      </w:r>
    </w:p>
    <w:p>
      <w:pPr>
        <w:pStyle w:val="Stilnaslova3"/>
        <w:numPr>
          <w:ilvl w:val="2"/>
          <w:numId w:val="2"/>
        </w:numPr>
        <w:ind w:left="709" w:hanging="721"/>
        <w:rPr/>
      </w:pPr>
      <w:bookmarkStart w:id="249" w:name="_Toc496179685"/>
      <w:bookmarkStart w:id="250" w:name="_Toc99955725"/>
      <w:bookmarkStart w:id="251" w:name="_Toc116990173"/>
      <w:r>
        <w:rPr/>
        <w:t>Uzrok</w:t>
      </w:r>
      <w:bookmarkEnd w:id="249"/>
      <w:bookmarkEnd w:id="250"/>
      <w:bookmarkEnd w:id="251"/>
    </w:p>
    <w:p>
      <w:pPr>
        <w:pStyle w:val="Normal"/>
        <w:rPr/>
      </w:pPr>
      <w:bookmarkStart w:id="252" w:name="_Hlk506796603"/>
      <w:r>
        <w:rPr/>
        <w:t xml:space="preserve">Opasnost od poplava na području Grada Buje - Buie dolazi od plavljenja rijeke Dragonje. </w:t>
      </w:r>
      <w:bookmarkStart w:id="253" w:name="_Hlk506796624"/>
      <w:bookmarkEnd w:id="252"/>
      <w:r>
        <w:rPr/>
        <w:t>Poplave velikih razmjera mogu se javiti kada ovo područje zahvate obilne i/ili dugotrajne oborine.</w:t>
      </w:r>
      <w:bookmarkEnd w:id="253"/>
      <w:r>
        <w:rPr/>
        <w:t xml:space="preserve"> Ako je tlo u području Grada već zasićeno vodom ranijih kiša, a razina rijeke Dragonje visoka, površinske vode nemaju kuda otjecati prirodnim padom te uzrokuju poplave na područjima uz rijeku Dragonje. </w:t>
      </w:r>
      <w:bookmarkStart w:id="254" w:name="_Hlk506796634"/>
      <w:bookmarkEnd w:id="254"/>
    </w:p>
    <w:p>
      <w:pPr>
        <w:pStyle w:val="Normal"/>
        <w:rPr>
          <w:rFonts w:eastAsia="Calibri" w:eastAsiaTheme="minorHAnsi"/>
        </w:rPr>
      </w:pPr>
      <w:r>
        <w:rPr/>
        <w:t>Sve vodotoke, mahom bujice, karakterizira nagli nailazak vodnih valova (poglavito u uvjetima povećane zasićenosti tla) s kratkim vremenom koncentracije i nemogućnošću provođenja aktivne obrane od poplave.</w:t>
      </w:r>
      <w:r>
        <w:rPr>
          <w:rFonts w:eastAsia="Calibri" w:eastAsiaTheme="minorHAnsi"/>
        </w:rPr>
        <w:t xml:space="preserve"> Na sljedećoj slici prikazane su količine oborina za Hrvatsku za 2017. godinu.</w:t>
      </w:r>
    </w:p>
    <w:p>
      <w:pPr>
        <w:pStyle w:val="Normal"/>
        <w:spacing w:before="120" w:after="0"/>
        <w:ind w:firstLine="709"/>
        <w:jc w:val="center"/>
        <w:rPr>
          <w:b/>
          <w:b/>
          <w:bCs/>
          <w:i/>
          <w:i/>
          <w:color w:val="54883D"/>
          <w:sz w:val="20"/>
          <w:szCs w:val="18"/>
        </w:rPr>
      </w:pPr>
      <w:r>
        <w:rPr/>
        <w:t xml:space="preserve">Slika 14. </w:t>
      </w:r>
      <w:r>
        <w:rPr>
          <w:b/>
          <w:bCs/>
          <w:i/>
          <w:color w:val="54883D"/>
          <w:sz w:val="20"/>
          <w:szCs w:val="18"/>
        </w:rPr>
        <w:t>Godišnje količine oborina, u postocima višegodišnjeg prosjeka za razdoblje 1961.-1990. godine za Hrvatsku za 2017. godinu</w:t>
      </w:r>
    </w:p>
    <w:p>
      <w:pPr>
        <w:pStyle w:val="Normal"/>
        <w:rPr>
          <w:u w:val="single"/>
        </w:rPr>
      </w:pPr>
      <w:r>
        <w:rPr>
          <w:u w:val="single"/>
        </w:rPr>
      </w:r>
    </w:p>
    <w:p>
      <w:pPr>
        <w:pStyle w:val="Normal"/>
        <w:rPr>
          <w:u w:val="single"/>
        </w:rPr>
      </w:pPr>
      <w:r>
        <w:rPr/>
        <w:drawing>
          <wp:inline distT="0" distB="0" distL="0" distR="0">
            <wp:extent cx="4697095" cy="3329940"/>
            <wp:effectExtent l="0" t="0" r="0" b="0"/>
            <wp:docPr id="131" name="Slika 9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Slika 941" descr=""/>
                    <pic:cNvPicPr>
                      <a:picLocks noChangeAspect="1" noChangeArrowheads="1"/>
                    </pic:cNvPicPr>
                  </pic:nvPicPr>
                  <pic:blipFill>
                    <a:blip r:embed="rId118"/>
                    <a:srcRect l="4500" t="0" r="5778" b="0"/>
                    <a:stretch>
                      <a:fillRect/>
                    </a:stretch>
                  </pic:blipFill>
                  <pic:spPr bwMode="auto">
                    <a:xfrm>
                      <a:off x="0" y="0"/>
                      <a:ext cx="4697095" cy="3329940"/>
                    </a:xfrm>
                    <a:prstGeom prst="rect">
                      <a:avLst/>
                    </a:prstGeom>
                  </pic:spPr>
                </pic:pic>
              </a:graphicData>
            </a:graphic>
          </wp:inline>
        </w:drawing>
      </w:r>
    </w:p>
    <w:p>
      <w:pPr>
        <w:pStyle w:val="Normal"/>
        <w:keepNext w:val="true"/>
        <w:spacing w:lineRule="auto" w:line="240" w:before="0" w:after="120"/>
        <w:ind w:left="720" w:hanging="0"/>
        <w:jc w:val="center"/>
        <w:rPr>
          <w:color w:val="auto"/>
          <w:szCs w:val="22"/>
        </w:rPr>
      </w:pPr>
      <w:r>
        <w:rPr>
          <w:bCs/>
          <w:i/>
          <w:color w:val="54883D"/>
          <w:sz w:val="20"/>
          <w:szCs w:val="18"/>
        </w:rPr>
        <w:t>Izvor: Državni hidrometeorološki zavod</w:t>
      </w:r>
    </w:p>
    <w:p>
      <w:pPr>
        <w:pStyle w:val="Normal"/>
        <w:rPr>
          <w:u w:val="single"/>
        </w:rPr>
      </w:pPr>
      <w:r>
        <w:rPr>
          <w:u w:val="single"/>
        </w:rPr>
      </w:r>
    </w:p>
    <w:p>
      <w:pPr>
        <w:pStyle w:val="Normal"/>
        <w:rPr/>
      </w:pPr>
      <w:r>
        <w:rPr/>
        <w:t>Poplava je moguća cijele godine, ali je vjerojatnost za to najveća u listopadu i studenom.</w:t>
      </w:r>
    </w:p>
    <w:p>
      <w:pPr>
        <w:pStyle w:val="Normal"/>
        <w:rPr/>
      </w:pPr>
      <w:r>
        <w:rPr/>
        <w:t>U ekstremnim situacijama uslijed ugrožavanja graničnih prijelaza Kaštel i Plovanija može doći do njihovih zatvaranja te prekida prometa.</w:t>
      </w:r>
    </w:p>
    <w:p>
      <w:pPr>
        <w:pStyle w:val="Normal"/>
        <w:numPr>
          <w:ilvl w:val="0"/>
          <w:numId w:val="0"/>
        </w:numPr>
        <w:ind w:left="0" w:hanging="0"/>
        <w:rPr/>
      </w:pPr>
      <w:r>
        <w:rPr/>
        <w:t>Grad Buje ima nadležnost oble u naselju Kanegra 3,1 km obale mora koje u vrlo rijetkim prilikama, pod utjecajem prekomjerne plime, poplavi dio prometnica i podrumskih prostorija zgrada uz obalu.</w:t>
      </w:r>
    </w:p>
    <w:p>
      <w:pPr>
        <w:pStyle w:val="Normal"/>
        <w:rPr>
          <w:u w:val="single"/>
        </w:rPr>
      </w:pPr>
      <w:r>
        <w:rPr>
          <w:u w:val="single"/>
        </w:rPr>
      </w:r>
    </w:p>
    <w:p>
      <w:pPr>
        <w:pStyle w:val="Normal"/>
        <w:rPr>
          <w:b/>
          <w:b/>
          <w:u w:val="single"/>
        </w:rPr>
      </w:pPr>
      <w:r>
        <w:rPr>
          <w:b/>
          <w:u w:val="single"/>
        </w:rPr>
        <w:t>RAZVOJ DOGAĐAJA KOJI JE PRETHODIO VELIKOJ NESREĆI</w:t>
      </w:r>
    </w:p>
    <w:p>
      <w:pPr>
        <w:pStyle w:val="Normal"/>
        <w:rPr/>
      </w:pPr>
      <w:r>
        <w:rPr/>
        <w:t xml:space="preserve">Događaji koji su prethodili velikoj nesreći su dugotrajne i obilne oborine. </w:t>
      </w:r>
    </w:p>
    <w:p>
      <w:pPr>
        <w:pStyle w:val="Normal"/>
        <w:rPr>
          <w:u w:val="single"/>
        </w:rPr>
      </w:pPr>
      <w:r>
        <w:rPr>
          <w:u w:val="single"/>
        </w:rPr>
      </w:r>
    </w:p>
    <w:p>
      <w:pPr>
        <w:pStyle w:val="Normal"/>
        <w:rPr>
          <w:b/>
          <w:b/>
          <w:u w:val="single"/>
        </w:rPr>
      </w:pPr>
      <w:r>
        <w:rPr>
          <w:b/>
          <w:u w:val="single"/>
        </w:rPr>
        <w:t>OKIDAČ KOJI JE UZROKOVAO VELIKU NESREĆU</w:t>
      </w:r>
    </w:p>
    <w:p>
      <w:pPr>
        <w:pStyle w:val="Normal"/>
        <w:rPr/>
      </w:pPr>
      <w:r>
        <w:rPr/>
        <w:t xml:space="preserve">Okidači nastanka poplave mogu biti dugotrajne oborine manjeg intenziteta ili kratkotrajne oborine velikog intenziteta. Veća je vjerojatnost da će doći do kratkotrajne oborine većeg intenziteta. </w:t>
      </w:r>
    </w:p>
    <w:p>
      <w:pPr>
        <w:pStyle w:val="Normal"/>
        <w:rPr/>
      </w:pPr>
      <w:r>
        <w:rPr/>
      </w:r>
    </w:p>
    <w:p>
      <w:pPr>
        <w:pStyle w:val="Stilnaslova3"/>
        <w:numPr>
          <w:ilvl w:val="2"/>
          <w:numId w:val="2"/>
        </w:numPr>
        <w:ind w:left="709" w:hanging="721"/>
        <w:rPr/>
      </w:pPr>
      <w:bookmarkStart w:id="255" w:name="_Toc492284935"/>
      <w:bookmarkStart w:id="256" w:name="_Toc496179686"/>
      <w:bookmarkStart w:id="257" w:name="_Toc99955726"/>
      <w:bookmarkStart w:id="258" w:name="_Toc116990174"/>
      <w:r>
        <w:rPr/>
        <w:t>Događaj s najgorim mogućim posljedicama</w:t>
      </w:r>
      <w:bookmarkEnd w:id="255"/>
      <w:bookmarkEnd w:id="256"/>
      <w:bookmarkEnd w:id="257"/>
      <w:bookmarkEnd w:id="258"/>
    </w:p>
    <w:p>
      <w:pPr>
        <w:pStyle w:val="Normal"/>
        <w:spacing w:before="120" w:after="120"/>
        <w:rPr/>
      </w:pPr>
      <w:r>
        <w:rPr/>
        <w:t>Događaj s najgorim mogućim posljedicama pretpostavlja velike količine oborina u kratkom vremenskom periodu. Dolazi do plavljenja podrumskih prostorija u obalnom dijelu Naselja Kanegra, te stambenih jedinica, poljoprivrednih površina i prometnica u poplavnom području rijeke Dragonje.</w:t>
      </w:r>
    </w:p>
    <w:p>
      <w:pPr>
        <w:pStyle w:val="Normal"/>
        <w:rPr>
          <w:rStyle w:val="IntenseEmphasis"/>
          <w:color w:val="54883D"/>
        </w:rPr>
      </w:pPr>
      <w:r>
        <w:rPr>
          <w:color w:val="54883D"/>
        </w:rPr>
      </w:r>
    </w:p>
    <w:p>
      <w:pPr>
        <w:pStyle w:val="Normal"/>
        <w:rPr>
          <w:rStyle w:val="IntenseEmphasis"/>
          <w:b/>
          <w:b/>
          <w:i w:val="false"/>
          <w:i w:val="false"/>
          <w:color w:val="000000" w:themeColor="text1"/>
          <w:u w:val="single"/>
        </w:rPr>
      </w:pPr>
      <w:r>
        <w:rPr>
          <w:rStyle w:val="IntenseEmphasis"/>
          <w:b/>
          <w:i w:val="false"/>
          <w:color w:val="000000" w:themeColor="text1"/>
          <w:u w:val="single"/>
        </w:rPr>
        <w:t>Posljedice</w:t>
      </w:r>
    </w:p>
    <w:p>
      <w:pPr>
        <w:pStyle w:val="Normal"/>
        <w:rPr>
          <w:i/>
          <w:i/>
          <w:color w:val="40883D"/>
        </w:rPr>
      </w:pPr>
      <w:r>
        <w:rPr>
          <w:i/>
          <w:color w:val="40883D"/>
        </w:rPr>
        <w:t>Život i zdravlje ljudi</w:t>
      </w:r>
    </w:p>
    <w:p>
      <w:pPr>
        <w:pStyle w:val="Normal"/>
        <w:rPr/>
      </w:pPr>
      <w:r>
        <w:rPr/>
        <w:t>Ne očekuju se posljedice na život i zdravlje ljudi budući da su poplave uobičajene u kasnu jesen i proljeće.</w:t>
      </w:r>
    </w:p>
    <w:p>
      <w:pPr>
        <w:pStyle w:val="Caption"/>
        <w:rPr/>
      </w:pPr>
      <w:r>
        <w:rPr/>
        <w:t xml:space="preserve">Tablica </w:t>
      </w:r>
      <w:r>
        <w:rPr/>
        <w:fldChar w:fldCharType="begin"/>
      </w:r>
      <w:r>
        <w:rPr/>
        <w:instrText> SEQ Tabela \* ARABIC </w:instrText>
      </w:r>
      <w:r>
        <w:rPr/>
        <w:fldChar w:fldCharType="separate"/>
      </w:r>
      <w:r>
        <w:rPr/>
        <w:t>41</w:t>
      </w:r>
      <w:r>
        <w:rPr/>
        <w:fldChar w:fldCharType="end"/>
      </w:r>
      <w:r>
        <w:rPr/>
        <w:t>. Vrijednost kriterija za posljedice na život i zdravlje ljudi po kategorijama - poplava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792"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45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000000" w:themeColor="accent3" w:themeShade="bf"/>
                <w:sz w:val="20"/>
                <w:szCs w:val="20"/>
              </w:rPr>
              <w:t>BROJ UGROŽENIH OSOBA %</w:t>
            </w:r>
          </w:p>
        </w:tc>
        <w:tc>
          <w:tcPr>
            <w:tcW w:w="2160"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&lt; 0,001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00000" w:themeColor="accent3" w:themeShade="bf"/>
                <w:sz w:val="20"/>
              </w:rPr>
              <w:t>0,001 - 0,0046</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0,0047 - 0,011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000000" w:themeColor="accent3" w:themeShade="bf"/>
                <w:sz w:val="20"/>
              </w:rPr>
              <w:t>0,012 - 0,035</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000000" w:themeColor="accent3" w:themeShade="bf"/>
                <w:sz w:val="20"/>
              </w:rPr>
              <w:t>0,036 &gt;</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r>
          </w:p>
        </w:tc>
      </w:tr>
    </w:tbl>
    <w:p>
      <w:pPr>
        <w:pStyle w:val="Normal"/>
        <w:rPr>
          <w:highlight w:val="yellow"/>
          <w:u w:val="single"/>
        </w:rPr>
      </w:pPr>
      <w:r>
        <w:rPr>
          <w:highlight w:val="yellow"/>
          <w:u w:val="single"/>
        </w:rPr>
      </w:r>
    </w:p>
    <w:p>
      <w:pPr>
        <w:pStyle w:val="Normal"/>
        <w:rPr>
          <w:i/>
          <w:i/>
          <w:color w:val="40883D"/>
        </w:rPr>
      </w:pPr>
      <w:r>
        <w:rPr>
          <w:i/>
          <w:color w:val="40883D"/>
        </w:rPr>
        <w:t>Gospodarstvo</w:t>
      </w:r>
    </w:p>
    <w:p>
      <w:pPr>
        <w:pStyle w:val="Normal"/>
        <w:rPr/>
      </w:pPr>
      <w:r>
        <w:rPr/>
        <w:t xml:space="preserve">Procjena se temelji na mogućim štetama od poplava u odnosu na proračun Grada Buja </w:t>
      </w:r>
    </w:p>
    <w:p>
      <w:pPr>
        <w:pStyle w:val="Caption"/>
        <w:rPr>
          <w:rStyle w:val="IntenseEmphasis"/>
          <w:color w:val="54883D"/>
        </w:rPr>
      </w:pPr>
      <w:r>
        <w:rPr/>
        <w:t xml:space="preserve">Tablica </w:t>
      </w:r>
      <w:r>
        <w:rPr/>
        <w:fldChar w:fldCharType="begin"/>
      </w:r>
      <w:r>
        <w:rPr/>
        <w:instrText> SEQ Tabela \* ARABIC </w:instrText>
      </w:r>
      <w:r>
        <w:rPr/>
        <w:fldChar w:fldCharType="separate"/>
      </w:r>
      <w:r>
        <w:rPr/>
        <w:t>42</w:t>
      </w:r>
      <w:r>
        <w:rPr/>
        <w:fldChar w:fldCharType="end"/>
      </w:r>
      <w:r>
        <w:rPr/>
        <w:t xml:space="preserve">. </w:t>
      </w:r>
      <w:r>
        <w:rPr>
          <w:rStyle w:val="IntenseEmphasis"/>
          <w:color w:val="54883D"/>
        </w:rPr>
        <w:t>Vrijednost kriterija za posljedice na gospodarstvo po kategorijama - poplava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i/>
          <w:i/>
          <w:color w:val="40883D"/>
        </w:rPr>
      </w:pPr>
      <w:r>
        <w:rPr>
          <w:i/>
          <w:color w:val="40883D"/>
        </w:rPr>
        <w:t>Društvena stabilnost i politika</w:t>
      </w:r>
    </w:p>
    <w:p>
      <w:pPr>
        <w:pStyle w:val="Normal"/>
        <w:rPr/>
      </w:pPr>
      <w:r>
        <w:rPr/>
        <w:t>Procjena se temelji na procjeni štete koju može uzrokovati poplava u odnosu na proračun Grada Buja</w:t>
      </w:r>
    </w:p>
    <w:p>
      <w:pPr>
        <w:pStyle w:val="Normal"/>
        <w:rPr>
          <w:rFonts w:eastAsia="Calibri" w:eastAsiaTheme="minorHAnsi"/>
          <w:b/>
          <w:b/>
          <w:u w:val="single"/>
        </w:rPr>
      </w:pPr>
      <w:r>
        <w:rPr>
          <w:rFonts w:eastAsia="Calibri" w:eastAsiaTheme="minorHAnsi"/>
          <w:b/>
          <w:u w:val="single"/>
        </w:rPr>
      </w:r>
    </w:p>
    <w:p>
      <w:pPr>
        <w:pStyle w:val="Normal"/>
        <w:rPr>
          <w:rFonts w:eastAsia="Calibri" w:eastAsiaTheme="minorHAnsi"/>
          <w:b/>
          <w:b/>
          <w:u w:val="single"/>
        </w:rPr>
      </w:pPr>
      <w:r>
        <w:rPr>
          <w:rFonts w:eastAsia="Calibri" w:eastAsiaTheme="minorHAnsi"/>
          <w:b/>
          <w:u w:val="single"/>
        </w:rPr>
        <w:t>Posljedice po kritičnu infrastrukturu</w:t>
      </w:r>
    </w:p>
    <w:p>
      <w:pPr>
        <w:pStyle w:val="Normal"/>
        <w:spacing w:before="80" w:after="0"/>
        <w:rPr>
          <w:rStyle w:val="IntenseEmphasis"/>
          <w:color w:val="54883D"/>
        </w:rPr>
      </w:pPr>
      <w:r>
        <w:rPr>
          <w:color w:val="54883D"/>
        </w:rPr>
      </w:r>
    </w:p>
    <w:p>
      <w:pPr>
        <w:pStyle w:val="Normal"/>
        <w:spacing w:before="80" w:after="0"/>
        <w:rPr>
          <w:color w:val="54883D"/>
          <w:szCs w:val="20"/>
        </w:rPr>
      </w:pPr>
      <w:r>
        <w:rPr>
          <w:rStyle w:val="IntenseEmphasis"/>
          <w:color w:val="54883D"/>
        </w:rPr>
        <w:t>Vodno gospodarstvo</w:t>
      </w:r>
    </w:p>
    <w:p>
      <w:pPr>
        <w:pStyle w:val="Normal"/>
        <w:spacing w:before="80" w:after="0"/>
        <w:rPr/>
      </w:pPr>
      <w:r>
        <w:rPr/>
        <w:t>Prema podacima „Istarskog vodovoda“ na ovom području ne postoji direktna ugroženost stanovništva u snabdijevanju stanovništva pitkom vodom. Međutim, treba napomenuti da  bi u slučaju nastanka poplave došlo do zamućenja izvorišta pitke vode na tom području, pa bi moglo doći do otežane ili reducirane opskrbe pitkom vodom stanovništva područja.  Spajanjem Pulskog vodovoda na magistralni vod iz jezera Butoniga (odnosno na „Istarski vodovod“) spriječena je potpuna nemogućnost snabdijevanja.</w:t>
      </w:r>
    </w:p>
    <w:p>
      <w:pPr>
        <w:pStyle w:val="Normal"/>
        <w:spacing w:before="80" w:after="0"/>
        <w:rPr>
          <w:rStyle w:val="IntenseEmphasis"/>
          <w:color w:val="54883D"/>
        </w:rPr>
      </w:pPr>
      <w:r>
        <w:rPr>
          <w:color w:val="54883D"/>
        </w:rPr>
      </w:r>
    </w:p>
    <w:p>
      <w:pPr>
        <w:pStyle w:val="Normal"/>
        <w:spacing w:before="80" w:after="0"/>
        <w:rPr>
          <w:rStyle w:val="IntenseEmphasis"/>
          <w:color w:val="54883D"/>
        </w:rPr>
      </w:pPr>
      <w:r>
        <w:rPr>
          <w:rStyle w:val="IntenseEmphasis"/>
          <w:color w:val="54883D"/>
        </w:rPr>
        <w:t>Hrana</w:t>
      </w:r>
    </w:p>
    <w:p>
      <w:pPr>
        <w:pStyle w:val="Normal"/>
        <w:spacing w:before="120" w:after="120"/>
        <w:rPr/>
      </w:pPr>
      <w:r>
        <w:rPr/>
        <w:t>Uslijed djelovanja poplave moglo bi doći do plavljenja dijela poljoprivrednih površina (20 ha) i uništenja povrtlarskih i voćarskih kultura, ali ne postoji opasnost od prekida opskrbe stanovništva hranom, odnosno osnovnim prehrambenim artiklima.</w:t>
      </w:r>
    </w:p>
    <w:p>
      <w:pPr>
        <w:pStyle w:val="Normal"/>
        <w:spacing w:before="120" w:after="120"/>
        <w:rPr/>
      </w:pPr>
      <w:r>
        <w:rPr/>
        <w:t>Poplava ne bi imala bitan utjecaj na skladištenje i distribuciju prehrambenih artikala.</w:t>
      </w:r>
    </w:p>
    <w:p>
      <w:pPr>
        <w:pStyle w:val="Normal"/>
        <w:spacing w:before="80" w:after="0"/>
        <w:rPr>
          <w:color w:val="auto"/>
        </w:rPr>
      </w:pPr>
      <w:r>
        <w:rPr>
          <w:color w:val="auto"/>
        </w:rPr>
      </w:r>
    </w:p>
    <w:p>
      <w:pPr>
        <w:pStyle w:val="Normal"/>
        <w:spacing w:before="80" w:after="0"/>
        <w:rPr>
          <w:rStyle w:val="IntenseEmphasis"/>
          <w:color w:val="54883D"/>
        </w:rPr>
      </w:pPr>
      <w:r>
        <w:rPr>
          <w:rStyle w:val="IntenseEmphasis"/>
          <w:color w:val="54883D"/>
        </w:rPr>
        <w:t>Promet</w:t>
      </w:r>
    </w:p>
    <w:p>
      <w:pPr>
        <w:pStyle w:val="Normal"/>
        <w:rPr/>
      </w:pPr>
      <w:r>
        <w:rPr/>
        <w:t>Na  području Grada  ne  bi  došlo  do  znatnijeg  oštećenja objekata u cestovnom prometu, ali  postoji mogućnost oštećenja nerazvrstanih cesta</w:t>
      </w:r>
      <w:r>
        <w:rPr>
          <w:color w:val="FF9900"/>
        </w:rPr>
        <w:t xml:space="preserve">. </w:t>
      </w:r>
      <w:r>
        <w:rPr/>
        <w:t>Moglo bi doći do kraćeg zastoja u cestovnom prometu na poplavljenim prometnicama.</w:t>
      </w:r>
    </w:p>
    <w:p>
      <w:pPr>
        <w:pStyle w:val="Normal"/>
        <w:spacing w:before="80" w:after="0"/>
        <w:rPr>
          <w:rStyle w:val="IntenseEmphasis"/>
          <w:i w:val="false"/>
          <w:i w:val="false"/>
          <w:color w:val="54883D"/>
        </w:rPr>
      </w:pPr>
      <w:r>
        <w:rPr>
          <w:i w:val="false"/>
          <w:color w:val="54883D"/>
        </w:rPr>
      </w:r>
    </w:p>
    <w:p>
      <w:pPr>
        <w:pStyle w:val="Caption"/>
        <w:rPr/>
      </w:pPr>
      <w:r>
        <w:rPr/>
        <w:t xml:space="preserve">Tablica </w:t>
      </w:r>
      <w:r>
        <w:rPr/>
        <w:fldChar w:fldCharType="begin"/>
      </w:r>
      <w:r>
        <w:rPr/>
        <w:instrText> SEQ Tabela \* ARABIC </w:instrText>
      </w:r>
      <w:r>
        <w:rPr/>
        <w:fldChar w:fldCharType="separate"/>
      </w:r>
      <w:r>
        <w:rPr/>
        <w:t>43</w:t>
      </w:r>
      <w:r>
        <w:rPr/>
        <w:fldChar w:fldCharType="end"/>
      </w:r>
      <w:r>
        <w:rPr/>
        <w:t>. Vrijednost kriterija za posljedice na društvenu stabilnost i politiku - oštećena kritična infrastruktura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rFonts w:eastAsia="Calibri" w:eastAsiaTheme="minorHAnsi"/>
          <w:b/>
          <w:b/>
          <w:u w:val="single"/>
        </w:rPr>
      </w:pPr>
      <w:r>
        <w:rPr>
          <w:rFonts w:eastAsia="Calibri" w:eastAsiaTheme="minorHAnsi"/>
          <w:b/>
          <w:u w:val="single"/>
        </w:rPr>
        <w:t>Posljedice po građevine javnog društvenog značaja</w:t>
      </w:r>
    </w:p>
    <w:p>
      <w:pPr>
        <w:pStyle w:val="Normal"/>
        <w:rPr>
          <w:rFonts w:eastAsia="Calibri" w:eastAsiaTheme="minorHAnsi"/>
        </w:rPr>
      </w:pPr>
      <w:r>
        <w:rPr>
          <w:rFonts w:eastAsia="Calibri" w:eastAsiaTheme="minorHAnsi"/>
        </w:rPr>
        <w:t>Ne očekuju se štete na građevinama od javnog društvenog značaja.</w:t>
      </w:r>
    </w:p>
    <w:p>
      <w:pPr>
        <w:pStyle w:val="Caption"/>
        <w:rPr/>
      </w:pPr>
      <w:r>
        <w:rPr/>
        <w:t xml:space="preserve">Tablica </w:t>
      </w:r>
      <w:r>
        <w:rPr/>
        <w:fldChar w:fldCharType="begin"/>
      </w:r>
      <w:r>
        <w:rPr/>
        <w:instrText> SEQ Tabela \* ARABIC </w:instrText>
      </w:r>
      <w:r>
        <w:rPr/>
        <w:fldChar w:fldCharType="separate"/>
      </w:r>
      <w:r>
        <w:rPr/>
        <w:t>44</w:t>
      </w:r>
      <w:r>
        <w:rPr/>
        <w:fldChar w:fldCharType="end"/>
      </w:r>
      <w:r>
        <w:rPr/>
        <w:t>. Vrijednost kriterija za posljedice na društvenu stabilnost i politiku - štete/gubitci na ustanovama/građevinama javnog društvenog značaja – poplava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963"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spacing w:before="80" w:after="0"/>
        <w:rPr>
          <w:rStyle w:val="IntenseEmphasis"/>
          <w:i w:val="false"/>
          <w:i w:val="false"/>
          <w:color w:val="auto"/>
        </w:rPr>
      </w:pPr>
      <w:r>
        <w:rPr>
          <w:i w:val="false"/>
          <w:color w:val="auto"/>
        </w:rPr>
      </w:r>
    </w:p>
    <w:p>
      <w:pPr>
        <w:pStyle w:val="Normal"/>
        <w:spacing w:before="80" w:after="0"/>
        <w:rPr>
          <w:rStyle w:val="IntenseEmphasis"/>
          <w:i w:val="false"/>
          <w:i w:val="false"/>
          <w:color w:val="auto"/>
        </w:rPr>
      </w:pPr>
      <w:r>
        <w:rPr>
          <w:i w:val="false"/>
          <w:color w:val="auto"/>
        </w:rPr>
      </w:r>
    </w:p>
    <w:p>
      <w:pPr>
        <w:pStyle w:val="Normal"/>
        <w:spacing w:before="80" w:after="0"/>
        <w:rPr>
          <w:rStyle w:val="IntenseEmphasis"/>
          <w:i w:val="false"/>
          <w:i w:val="false"/>
          <w:color w:val="auto"/>
        </w:rPr>
      </w:pPr>
      <w:r>
        <w:rPr>
          <w:i w:val="false"/>
          <w:color w:val="auto"/>
        </w:rPr>
      </w:r>
    </w:p>
    <w:p>
      <w:pPr>
        <w:pStyle w:val="Caption"/>
        <w:rPr/>
      </w:pPr>
      <w:r>
        <w:rPr/>
        <w:t xml:space="preserve">Tablica </w:t>
      </w:r>
      <w:r>
        <w:rPr/>
        <w:fldChar w:fldCharType="begin"/>
      </w:r>
      <w:r>
        <w:rPr/>
        <w:instrText> SEQ Tabela \* ARABIC </w:instrText>
      </w:r>
      <w:r>
        <w:rPr/>
        <w:fldChar w:fldCharType="separate"/>
      </w:r>
      <w:r>
        <w:rPr/>
        <w:t>45</w:t>
      </w:r>
      <w:r>
        <w:rPr/>
        <w:fldChar w:fldCharType="end"/>
      </w:r>
      <w:r>
        <w:rPr/>
        <w:t>. Vrijednost kriterija za društvenu stabilnost i politiku - zbirno – poplava</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82"/>
        <w:gridCol w:w="2415"/>
        <w:gridCol w:w="3243"/>
        <w:gridCol w:w="1629"/>
      </w:tblGrid>
      <w:tr>
        <w:trPr>
          <w:cnfStyle w:val="100000000000" w:firstRow="1" w:lastRow="0" w:firstColumn="0" w:lastColumn="0" w:oddVBand="0" w:evenVBand="0" w:oddHBand="0"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ind w:left="29" w:hanging="0"/>
              <w:jc w:val="center"/>
              <w:rPr>
                <w:sz w:val="20"/>
              </w:rPr>
            </w:pPr>
            <w:r>
              <w:rPr>
                <w:b/>
                <w:bCs/>
                <w:color w:val="76923C" w:themeColor="accent3" w:themeShade="bf"/>
                <w:sz w:val="20"/>
              </w:rPr>
              <w:t>KATEGORIJA</w:t>
            </w:r>
          </w:p>
        </w:tc>
        <w:tc>
          <w:tcPr>
            <w:tcW w:w="2415"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KRITIČNA INFRASTRUKTURA</w:t>
            </w:r>
          </w:p>
        </w:tc>
        <w:tc>
          <w:tcPr>
            <w:tcW w:w="3243"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USTANOVE/GRAĐEVINE JAVNOG DRUŠTVENOG ZNAČAJA</w:t>
            </w:r>
          </w:p>
        </w:tc>
        <w:tc>
          <w:tcPr>
            <w:tcW w:w="1629" w:type="dxa"/>
            <w:tcBorders>
              <w:bottom w:val="single" w:sz="12" w:space="0" w:color="C2D69B"/>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1.</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2.</w:t>
            </w:r>
          </w:p>
        </w:tc>
        <w:tc>
          <w:tcPr>
            <w:tcW w:w="2415"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t>x</w:t>
            </w:r>
          </w:p>
        </w:tc>
        <w:tc>
          <w:tcPr>
            <w:tcW w:w="3243"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r>
          </w:p>
        </w:tc>
        <w:tc>
          <w:tcPr>
            <w:tcW w:w="1629" w:type="dxa"/>
            <w:tcBorders/>
            <w:shd w:color="auto" w:fill="FFFFFF" w:themeFill="background1"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t>x</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3.</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4.</w:t>
            </w:r>
          </w:p>
        </w:tc>
        <w:tc>
          <w:tcPr>
            <w:tcW w:w="2415"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ind w:left="29" w:hanging="29"/>
              <w:jc w:val="center"/>
              <w:rPr>
                <w:sz w:val="20"/>
              </w:rPr>
            </w:pPr>
            <w:r>
              <w:rPr>
                <w:b/>
                <w:bCs/>
                <w:color w:val="76923C" w:themeColor="accent3" w:themeShade="bf"/>
                <w:sz w:val="20"/>
              </w:rPr>
              <w:t>5.</w:t>
            </w:r>
          </w:p>
        </w:tc>
        <w:tc>
          <w:tcPr>
            <w:tcW w:w="2415"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shd w:color="auto" w:fill="FFFFFF" w:themeFill="background1"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bl>
    <w:p>
      <w:pPr>
        <w:pStyle w:val="Normal"/>
        <w:rPr>
          <w:rStyle w:val="IntenseEmphasis"/>
          <w:color w:val="54883D"/>
        </w:rPr>
      </w:pPr>
      <w:r>
        <w:rPr>
          <w:color w:val="54883D"/>
        </w:rPr>
      </w:r>
    </w:p>
    <w:p>
      <w:pPr>
        <w:pStyle w:val="Normal"/>
        <w:rPr>
          <w:i/>
          <w:i/>
          <w:iCs/>
          <w:color w:val="54883D"/>
        </w:rPr>
      </w:pPr>
      <w:r>
        <w:rPr>
          <w:rStyle w:val="IntenseEmphasis"/>
          <w:color w:val="54883D"/>
        </w:rPr>
        <w:t>Vjerojatnost događaja</w:t>
      </w:r>
    </w:p>
    <w:p>
      <w:pPr>
        <w:pStyle w:val="Normal"/>
        <w:rPr/>
      </w:pPr>
      <w:r>
        <w:rPr/>
        <w:t>Frekvencija događaja temelji se na podacima o pojavnosti poplava prethodno opisanih razmjera u zadnjih 10 godina na području Grada Buja.</w:t>
      </w:r>
    </w:p>
    <w:p>
      <w:pPr>
        <w:pStyle w:val="Caption"/>
        <w:rPr/>
      </w:pPr>
      <w:r>
        <w:rPr/>
        <w:t xml:space="preserve">Tablica </w:t>
      </w:r>
      <w:r>
        <w:rPr/>
        <w:fldChar w:fldCharType="begin"/>
      </w:r>
      <w:r>
        <w:rPr/>
        <w:instrText> SEQ Tabela \* ARABIC </w:instrText>
      </w:r>
      <w:r>
        <w:rPr/>
        <w:fldChar w:fldCharType="separate"/>
      </w:r>
      <w:r>
        <w:rPr/>
        <w:t>46</w:t>
      </w:r>
      <w:r>
        <w:rPr/>
        <w:fldChar w:fldCharType="end"/>
      </w:r>
      <w:r>
        <w:rPr/>
        <w:t>. Vjerojatnost / frekvencija - poplava</w:t>
      </w:r>
    </w:p>
    <w:tbl>
      <w:tblPr>
        <w:tblStyle w:val="GridTable6Colorful-Accent31"/>
        <w:tblW w:w="5000" w:type="pct"/>
        <w:jc w:val="left"/>
        <w:tblInd w:w="0" w:type="dxa"/>
        <w:tblCellMar>
          <w:top w:w="0" w:type="dxa"/>
          <w:left w:w="108" w:type="dxa"/>
          <w:bottom w:w="0" w:type="dxa"/>
          <w:right w:w="108" w:type="dxa"/>
        </w:tblCellMar>
        <w:tblLook w:firstRow="1" w:noVBand="1" w:lastRow="0" w:firstColumn="1" w:lastColumn="0" w:noHBand="0" w:val="04a0"/>
      </w:tblPr>
      <w:tblGrid>
        <w:gridCol w:w="1529"/>
        <w:gridCol w:w="1696"/>
        <w:gridCol w:w="1829"/>
        <w:gridCol w:w="2620"/>
        <w:gridCol w:w="1396"/>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40" w:before="80" w:after="0"/>
              <w:jc w:val="center"/>
              <w:rPr>
                <w:sz w:val="20"/>
                <w:szCs w:val="20"/>
              </w:rPr>
            </w:pPr>
            <w:r>
              <w:rPr>
                <w:b/>
                <w:bCs/>
                <w:color w:val="76923C" w:themeColor="accent3" w:themeShade="bf"/>
                <w:sz w:val="20"/>
                <w:szCs w:val="20"/>
              </w:rPr>
              <w:t>KATEGORIJA</w:t>
            </w:r>
          </w:p>
        </w:tc>
        <w:tc>
          <w:tcPr>
            <w:tcW w:w="7541" w:type="dxa"/>
            <w:gridSpan w:val="4"/>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VJEROJATNOST / 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rPr>
                <w:b w:val="false"/>
                <w:b w:val="false"/>
                <w:sz w:val="20"/>
                <w:szCs w:val="20"/>
              </w:rPr>
            </w:pPr>
            <w:r>
              <w:rPr>
                <w:b w:val="false"/>
                <w:bCs/>
                <w:color w:val="76923C" w:themeColor="accent3" w:themeShade="bf"/>
                <w:sz w:val="20"/>
                <w:szCs w:val="20"/>
              </w:rPr>
            </w:r>
          </w:p>
        </w:tc>
        <w:tc>
          <w:tcPr>
            <w:tcW w:w="1696"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29"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620"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396"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1</w:t>
            </w:r>
          </w:p>
        </w:tc>
        <w:tc>
          <w:tcPr>
            <w:tcW w:w="16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2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62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3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2</w:t>
            </w:r>
          </w:p>
        </w:tc>
        <w:tc>
          <w:tcPr>
            <w:tcW w:w="1696"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29"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62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396"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3</w:t>
            </w:r>
          </w:p>
        </w:tc>
        <w:tc>
          <w:tcPr>
            <w:tcW w:w="16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2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62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3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t>x</w:t>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4</w:t>
            </w:r>
          </w:p>
        </w:tc>
        <w:tc>
          <w:tcPr>
            <w:tcW w:w="1696"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29"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62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396"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70"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sz w:val="20"/>
                <w:szCs w:val="20"/>
              </w:rPr>
            </w:pPr>
            <w:r>
              <w:rPr>
                <w:b/>
                <w:bCs/>
                <w:color w:val="76923C" w:themeColor="accent3" w:themeShade="bf"/>
                <w:sz w:val="20"/>
                <w:szCs w:val="20"/>
              </w:rPr>
              <w:t>5</w:t>
            </w:r>
          </w:p>
        </w:tc>
        <w:tc>
          <w:tcPr>
            <w:tcW w:w="16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29"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62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396"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259" w:name="_Toc492284936"/>
      <w:bookmarkStart w:id="260" w:name="_Toc496179687"/>
      <w:bookmarkStart w:id="261" w:name="_Toc99955727"/>
      <w:bookmarkStart w:id="262" w:name="_Toc116990175"/>
      <w:r>
        <w:rPr/>
        <w:t>Podaci, izvori i metode proračuna</w:t>
      </w:r>
      <w:bookmarkEnd w:id="259"/>
      <w:bookmarkEnd w:id="260"/>
      <w:bookmarkEnd w:id="261"/>
      <w:bookmarkEnd w:id="262"/>
    </w:p>
    <w:p>
      <w:pPr>
        <w:pStyle w:val="Normal"/>
        <w:rPr/>
      </w:pPr>
      <w:r>
        <w:rPr/>
        <w:t>Prilikom izračuna zona ugroženosti i procjene rizika korišteni su podaci iz:</w:t>
      </w:r>
    </w:p>
    <w:p>
      <w:pPr>
        <w:pStyle w:val="ListParagraph"/>
        <w:numPr>
          <w:ilvl w:val="0"/>
          <w:numId w:val="5"/>
        </w:numPr>
        <w:rPr/>
      </w:pPr>
      <w:r>
        <w:rPr/>
        <w:t>Procjene ugroženosti stanovništva, materijalnih i kulturnih dobara te okoliša za područje Grada Buja (2015.)</w:t>
      </w:r>
    </w:p>
    <w:p>
      <w:pPr>
        <w:pStyle w:val="ListParagraph"/>
        <w:numPr>
          <w:ilvl w:val="0"/>
          <w:numId w:val="5"/>
        </w:numPr>
        <w:rPr/>
      </w:pPr>
      <w:r>
        <w:rPr/>
        <w:t xml:space="preserve">Hrvatskih voda </w:t>
      </w:r>
    </w:p>
    <w:p>
      <w:pPr>
        <w:pStyle w:val="ListParagraph"/>
        <w:numPr>
          <w:ilvl w:val="0"/>
          <w:numId w:val="5"/>
        </w:numPr>
        <w:rPr/>
      </w:pPr>
      <w:r>
        <w:rPr/>
        <w:t>Provedbeni plan obrane od poplava branjenog područja SEKTOR E – Sjeverni Jadran: branjeno područje 22: Područja malih slivova Mirna-Dragonja i Raša-Boljunčica (Hrvatske vode, ožujak 2014.);</w:t>
      </w:r>
    </w:p>
    <w:p>
      <w:pPr>
        <w:pStyle w:val="ListParagraph"/>
        <w:numPr>
          <w:ilvl w:val="0"/>
          <w:numId w:val="5"/>
        </w:numPr>
        <w:rPr/>
      </w:pPr>
      <w:r>
        <w:rPr/>
        <w:t>DHMZ</w:t>
      </w:r>
    </w:p>
    <w:p>
      <w:pPr>
        <w:pStyle w:val="ListParagraph"/>
        <w:numPr>
          <w:ilvl w:val="0"/>
          <w:numId w:val="5"/>
        </w:numPr>
        <w:rPr/>
      </w:pPr>
      <w:r>
        <w:rPr/>
        <w:t>Grada Buja</w:t>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263" w:name="_Toc99955728"/>
      <w:bookmarkStart w:id="264" w:name="_Toc116990176"/>
      <w:bookmarkStart w:id="265" w:name="_Toc492284937"/>
      <w:bookmarkStart w:id="266" w:name="_Toc496179688"/>
      <w:r>
        <w:rPr/>
        <w:t>Matrice rizika</w:t>
      </w:r>
      <w:bookmarkEnd w:id="263"/>
      <w:bookmarkEnd w:id="264"/>
      <w:bookmarkEnd w:id="265"/>
      <w:bookmarkEnd w:id="266"/>
    </w:p>
    <w:p>
      <w:pPr>
        <w:pStyle w:val="Normal"/>
        <w:rPr/>
      </w:pPr>
      <w:r>
        <w:rPr/>
        <w:t xml:space="preserve">Rizik: Poplava </w:t>
      </w:r>
    </w:p>
    <w:p>
      <w:pPr>
        <w:pStyle w:val="Normal"/>
        <w:rPr/>
      </w:pPr>
      <w:r>
        <w:rPr/>
        <w:t>Naziv scenarija: Poplava na području Grada Buja</w:t>
      </w:r>
    </w:p>
    <w:p>
      <w:pPr>
        <w:pStyle w:val="Normal"/>
        <w:rPr/>
      </w:pPr>
      <w:r>
        <w:rPr/>
      </w:r>
    </w:p>
    <w:p>
      <w:pPr>
        <w:pStyle w:val="Normal"/>
        <w:jc w:val="center"/>
        <w:rPr/>
      </w:pPr>
      <w:r>
        <w:rPr/>
        <w:drawing>
          <wp:inline distT="0" distB="0" distL="0" distR="0">
            <wp:extent cx="5210175" cy="4443730"/>
            <wp:effectExtent l="0" t="0" r="0" b="0"/>
            <wp:docPr id="133" name="Pictur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41" descr=""/>
                    <pic:cNvPicPr>
                      <a:picLocks noChangeAspect="1" noChangeArrowheads="1"/>
                    </pic:cNvPicPr>
                  </pic:nvPicPr>
                  <pic:blipFill>
                    <a:blip r:embed="rId119"/>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7" wp14:anchorId="0649C92C">
                <wp:simplePos x="0" y="0"/>
                <wp:positionH relativeFrom="margin">
                  <wp:align>center</wp:align>
                </wp:positionH>
                <wp:positionV relativeFrom="paragraph">
                  <wp:posOffset>2399665</wp:posOffset>
                </wp:positionV>
                <wp:extent cx="315595" cy="254000"/>
                <wp:effectExtent l="19050" t="0" r="28575" b="13970"/>
                <wp:wrapNone/>
                <wp:docPr id="132" name="Hexagon 45"/>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45" fillcolor="#4f81bd" stroked="t" style="position:absolute;margin-left:214.35pt;margin-top:188.95pt;width:24.75pt;height:19.9pt;mso-position-horizontal:center;mso-position-horizontal-relative:margin" wp14:anchorId="0649C92C" type="shapetype_9">
                <w10:wrap type="none"/>
                <v:fill o:detectmouseclick="t" type="solid" color2="#b07e42"/>
                <v:stroke color="#4f81bd" weight="9360" joinstyle="miter" endcap="flat"/>
              </v:shape>
            </w:pict>
          </mc:Fallback>
        </mc:AlternateContent>
      </w:r>
    </w:p>
    <w:p>
      <w:pPr>
        <w:pStyle w:val="Normal"/>
        <w:jc w:val="center"/>
        <w:rPr>
          <w:b/>
          <w:b/>
          <w:sz w:val="20"/>
        </w:rPr>
      </w:pPr>
      <w:r>
        <w:rPr>
          <w:b/>
          <w:sz w:val="20"/>
        </w:rPr>
        <w:t>Život i zdravlje ljudi</w:t>
        <w:tab/>
        <w:tab/>
        <w:t xml:space="preserve">       Gospodarstvo</w:t>
        <w:tab/>
        <w:t xml:space="preserve">          Društvena stabilnost i politika</w:t>
      </w:r>
    </w:p>
    <w:p>
      <w:pPr>
        <w:pStyle w:val="Normal"/>
        <w:jc w:val="center"/>
        <w:rPr/>
      </w:pPr>
      <w:r>
        <mc:AlternateContent>
          <mc:Choice Requires="wps">
            <w:drawing>
              <wp:anchor behindDoc="0" distT="0" distB="0" distL="0" distR="0" simplePos="0" locked="0" layoutInCell="1" allowOverlap="1" relativeHeight="6" wp14:anchorId="6B2D9E0B">
                <wp:simplePos x="0" y="0"/>
                <wp:positionH relativeFrom="column">
                  <wp:posOffset>916305</wp:posOffset>
                </wp:positionH>
                <wp:positionV relativeFrom="paragraph">
                  <wp:posOffset>1088390</wp:posOffset>
                </wp:positionV>
                <wp:extent cx="112395" cy="92075"/>
                <wp:effectExtent l="19050" t="0" r="41275" b="23495"/>
                <wp:wrapNone/>
                <wp:docPr id="134" name="Hexagon 39"/>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39" fillcolor="#4f81bd" stroked="t" style="position:absolute;margin-left:72.15pt;margin-top:85.7pt;width:8.75pt;height:7.15pt" wp14:anchorId="6B2D9E0B"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8" wp14:anchorId="4EECDB74">
                <wp:simplePos x="0" y="0"/>
                <wp:positionH relativeFrom="column">
                  <wp:posOffset>2777490</wp:posOffset>
                </wp:positionH>
                <wp:positionV relativeFrom="paragraph">
                  <wp:posOffset>671830</wp:posOffset>
                </wp:positionV>
                <wp:extent cx="112395" cy="92075"/>
                <wp:effectExtent l="19050" t="0" r="41275" b="23495"/>
                <wp:wrapNone/>
                <wp:docPr id="135" name="Hexagon 46"/>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46" fillcolor="#4f81bd" stroked="t" style="position:absolute;margin-left:218.7pt;margin-top:52.9pt;width:8.75pt;height:7.15pt" wp14:anchorId="4EECDB74"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9" wp14:anchorId="662E8C32">
                <wp:simplePos x="0" y="0"/>
                <wp:positionH relativeFrom="column">
                  <wp:posOffset>4686300</wp:posOffset>
                </wp:positionH>
                <wp:positionV relativeFrom="paragraph">
                  <wp:posOffset>852170</wp:posOffset>
                </wp:positionV>
                <wp:extent cx="112395" cy="92075"/>
                <wp:effectExtent l="19050" t="0" r="41275" b="23495"/>
                <wp:wrapNone/>
                <wp:docPr id="136" name="Hexagon 47"/>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47" fillcolor="#4f81bd" stroked="t" style="position:absolute;margin-left:369pt;margin-top:67.1pt;width:8.75pt;height:7.15pt" wp14:anchorId="662E8C32"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137" name="Pictur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48" descr=""/>
                    <pic:cNvPicPr>
                      <a:picLocks noChangeAspect="1" noChangeArrowheads="1"/>
                    </pic:cNvPicPr>
                  </pic:nvPicPr>
                  <pic:blipFill>
                    <a:blip r:embed="rId120"/>
                    <a:stretch>
                      <a:fillRect/>
                    </a:stretch>
                  </pic:blipFill>
                  <pic:spPr bwMode="auto">
                    <a:xfrm>
                      <a:off x="0" y="0"/>
                      <a:ext cx="1828800" cy="1554480"/>
                    </a:xfrm>
                    <a:prstGeom prst="rect">
                      <a:avLst/>
                    </a:prstGeom>
                  </pic:spPr>
                </pic:pic>
              </a:graphicData>
            </a:graphic>
          </wp:inline>
        </w:drawing>
      </w:r>
      <w:r>
        <w:rPr/>
        <w:drawing>
          <wp:inline distT="0" distB="0" distL="0" distR="0">
            <wp:extent cx="1905000" cy="1619250"/>
            <wp:effectExtent l="0" t="0" r="0" b="0"/>
            <wp:docPr id="138" name="Picture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0" descr=""/>
                    <pic:cNvPicPr>
                      <a:picLocks noChangeAspect="1" noChangeArrowheads="1"/>
                    </pic:cNvPicPr>
                  </pic:nvPicPr>
                  <pic:blipFill>
                    <a:blip r:embed="rId121"/>
                    <a:stretch>
                      <a:fillRect/>
                    </a:stretch>
                  </pic:blipFill>
                  <pic:spPr bwMode="auto">
                    <a:xfrm>
                      <a:off x="0" y="0"/>
                      <a:ext cx="1905000" cy="1619250"/>
                    </a:xfrm>
                    <a:prstGeom prst="rect">
                      <a:avLst/>
                    </a:prstGeom>
                  </pic:spPr>
                </pic:pic>
              </a:graphicData>
            </a:graphic>
          </wp:inline>
        </w:drawing>
      </w:r>
      <w:r>
        <w:rPr/>
        <w:drawing>
          <wp:inline distT="0" distB="0" distL="0" distR="0">
            <wp:extent cx="1906270" cy="1620520"/>
            <wp:effectExtent l="0" t="0" r="0" b="0"/>
            <wp:docPr id="139" name="Slik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lika6" descr=""/>
                    <pic:cNvPicPr>
                      <a:picLocks noChangeAspect="1" noChangeArrowheads="1"/>
                    </pic:cNvPicPr>
                  </pic:nvPicPr>
                  <pic:blipFill>
                    <a:blip r:embed="rId122"/>
                    <a:stretch>
                      <a:fillRect/>
                    </a:stretch>
                  </pic:blipFill>
                  <pic:spPr bwMode="auto">
                    <a:xfrm>
                      <a:off x="0" y="0"/>
                      <a:ext cx="1906270" cy="1620520"/>
                    </a:xfrm>
                    <a:prstGeom prst="rect">
                      <a:avLst/>
                    </a:prstGeom>
                  </pic:spPr>
                </pic:pic>
              </a:graphicData>
            </a:graphic>
          </wp:inline>
        </w:drawing>
      </w:r>
    </w:p>
    <w:p>
      <w:pPr>
        <w:pStyle w:val="Normal"/>
        <w:jc w:val="center"/>
        <w:rPr/>
      </w:pPr>
      <w:r>
        <w:rPr/>
      </w:r>
    </w:p>
    <w:p>
      <w:pPr>
        <w:pStyle w:val="Normal"/>
        <w:jc w:val="center"/>
        <w:rPr/>
      </w:pPr>
      <w:r>
        <w:rPr/>
      </w:r>
    </w:p>
    <w:p>
      <w:pPr>
        <w:pStyle w:val="Normal"/>
        <w:jc w:val="center"/>
        <w:rPr/>
      </w:pPr>
      <w:r>
        <w:rPr/>
      </w:r>
    </w:p>
    <w:p>
      <w:pPr>
        <w:pStyle w:val="Stilnaslova3"/>
        <w:numPr>
          <w:ilvl w:val="2"/>
          <w:numId w:val="2"/>
        </w:numPr>
        <w:ind w:left="709" w:hanging="721"/>
        <w:rPr/>
      </w:pPr>
      <w:bookmarkStart w:id="267" w:name="_Toc492284938"/>
      <w:bookmarkStart w:id="268" w:name="_Toc496179689"/>
      <w:bookmarkStart w:id="269" w:name="_Toc99955729"/>
      <w:bookmarkStart w:id="270" w:name="_Toc116990177"/>
      <w:r>
        <w:rPr/>
        <w:t>Karte</w:t>
      </w:r>
      <w:bookmarkEnd w:id="267"/>
      <w:bookmarkEnd w:id="268"/>
      <w:bookmarkEnd w:id="269"/>
      <w:bookmarkEnd w:id="270"/>
    </w:p>
    <w:p>
      <w:pPr>
        <w:pStyle w:val="Normal"/>
        <w:jc w:val="center"/>
        <w:rPr>
          <w:rStyle w:val="IntenseEmphasis"/>
          <w:b/>
          <w:b/>
          <w:color w:val="54883D"/>
          <w:sz w:val="20"/>
        </w:rPr>
      </w:pPr>
      <w:r>
        <w:rPr>
          <w:b/>
          <w:color w:val="54883D"/>
          <w:sz w:val="20"/>
        </w:rPr>
      </w:r>
    </w:p>
    <w:p>
      <w:pPr>
        <w:pStyle w:val="Normal"/>
        <w:jc w:val="center"/>
        <w:rPr>
          <w:rStyle w:val="IntenseEmphasis"/>
          <w:b/>
          <w:b/>
          <w:color w:val="54883D"/>
          <w:sz w:val="20"/>
        </w:rPr>
      </w:pPr>
      <w:r>
        <w:rPr>
          <w:rStyle w:val="IntenseEmphasis"/>
          <w:b/>
          <w:color w:val="54883D"/>
          <w:sz w:val="20"/>
        </w:rPr>
        <w:t>Karta prijetnji - pregledna karta rizika od poplava za malu vjerojatnosti pojavljivanja (Plan upravljanja vodnim područjima 2016.-2021., Hrvatske vode, 2017.), Prilog 1</w:t>
      </w:r>
    </w:p>
    <w:p>
      <w:pPr>
        <w:pStyle w:val="Normal"/>
        <w:jc w:val="center"/>
        <w:rPr>
          <w:rStyle w:val="IntenseEmphasis"/>
          <w:b/>
          <w:b/>
          <w:color w:val="54883D"/>
          <w:sz w:val="20"/>
          <w:highlight w:val="yellow"/>
        </w:rPr>
      </w:pPr>
      <w:r>
        <w:rPr>
          <w:b/>
          <w:color w:val="54883D"/>
          <w:sz w:val="20"/>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Normal"/>
        <w:jc w:val="center"/>
        <w:rPr>
          <w:rStyle w:val="IntenseEmphasis"/>
          <w:color w:val="54883D"/>
          <w:highlight w:val="yellow"/>
        </w:rPr>
      </w:pPr>
      <w:r>
        <w:rPr>
          <w:color w:val="54883D"/>
          <w:highlight w:val="yellow"/>
        </w:rPr>
      </w:r>
    </w:p>
    <w:p>
      <w:pPr>
        <w:pStyle w:val="Stilnaslova2"/>
        <w:numPr>
          <w:ilvl w:val="1"/>
          <w:numId w:val="2"/>
        </w:numPr>
        <w:rPr/>
      </w:pPr>
      <w:bookmarkStart w:id="271" w:name="_Toc99955730"/>
      <w:bookmarkStart w:id="272" w:name="_Toc116990178"/>
      <w:r>
        <w:rPr/>
        <w:t>Ekstremne temperature</w:t>
      </w:r>
      <w:bookmarkEnd w:id="271"/>
      <w:bookmarkEnd w:id="272"/>
    </w:p>
    <w:p>
      <w:pPr>
        <w:pStyle w:val="Stilnaslova3"/>
        <w:numPr>
          <w:ilvl w:val="2"/>
          <w:numId w:val="2"/>
        </w:numPr>
        <w:ind w:left="709" w:hanging="721"/>
        <w:rPr/>
      </w:pPr>
      <w:bookmarkStart w:id="273" w:name="_Toc486103589"/>
      <w:bookmarkStart w:id="274" w:name="_Toc498355559"/>
      <w:bookmarkStart w:id="275" w:name="_Toc99955731"/>
      <w:bookmarkStart w:id="276" w:name="_Toc116990179"/>
      <w:r>
        <w:rPr/>
        <w:t>Naziv scenarija</w:t>
      </w:r>
      <w:bookmarkEnd w:id="273"/>
      <w:bookmarkEnd w:id="274"/>
      <w:bookmarkEnd w:id="275"/>
      <w:bookmarkEnd w:id="276"/>
    </w:p>
    <w:p>
      <w:pPr>
        <w:pStyle w:val="Normal"/>
        <w:rPr>
          <w:lang w:bidi="en-US"/>
        </w:rPr>
      </w:pPr>
      <w:r>
        <w:rPr>
          <w:lang w:bidi="en-US"/>
        </w:rPr>
      </w:r>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szCs w:val="20"/>
              </w:rPr>
              <w:t>Pojava toplinskog vala na području Grada Buja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Ekstremne vremenske pojave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Ekstremne temperature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color w:val="FF0000"/>
                <w:sz w:val="20"/>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pPr>
      <w:r>
        <w:rPr/>
      </w:r>
    </w:p>
    <w:p>
      <w:pPr>
        <w:pStyle w:val="Stilnaslova3"/>
        <w:numPr>
          <w:ilvl w:val="2"/>
          <w:numId w:val="2"/>
        </w:numPr>
        <w:ind w:left="709" w:hanging="721"/>
        <w:rPr/>
      </w:pPr>
      <w:bookmarkStart w:id="277" w:name="_Toc99955732"/>
      <w:bookmarkStart w:id="278" w:name="_Toc116990180"/>
      <w:r>
        <w:rPr/>
        <w:t>Uvod</w:t>
      </w:r>
      <w:bookmarkEnd w:id="277"/>
      <w:bookmarkEnd w:id="278"/>
    </w:p>
    <w:p>
      <w:pPr>
        <w:pStyle w:val="Normal"/>
        <w:rPr/>
      </w:pPr>
      <w:r>
        <w:rPr/>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pPr>
        <w:pStyle w:val="Normal"/>
        <w:rPr/>
      </w:pPr>
      <w:r>
        <w:rPr/>
        <w:t>Ekstremne temperature koje mogu predstavljati rizik za stanovništvo nisu jednake u svim dijelovima godine, jer osjetljivost ljudi ovisi o prilagodbi organizma na prethodne vremenske prilike, a osobito nepovoljan učinak mogu uzrokovati ekstremne temperature koje traju dulje vrijeme.</w:t>
      </w:r>
    </w:p>
    <w:p>
      <w:pPr>
        <w:pStyle w:val="Normal"/>
        <w:rPr/>
      </w:pPr>
      <w:r>
        <w:rPr/>
        <w:t>Pojavnost ekstremnih temperatura poklapa se sa razdobljem turističke sezone kada je  koncentracija osoba, a samim tim i opasnost daleko veća.</w:t>
      </w:r>
    </w:p>
    <w:p>
      <w:pPr>
        <w:pStyle w:val="Normal"/>
        <w:rPr/>
      </w:pPr>
      <w:r>
        <w:rPr/>
      </w:r>
    </w:p>
    <w:p>
      <w:pPr>
        <w:pStyle w:val="Stilnaslova3"/>
        <w:numPr>
          <w:ilvl w:val="2"/>
          <w:numId w:val="2"/>
        </w:numPr>
        <w:ind w:left="709" w:hanging="721"/>
        <w:rPr/>
      </w:pPr>
      <w:bookmarkStart w:id="279" w:name="_Toc486103590"/>
      <w:bookmarkStart w:id="280" w:name="_Toc498355560"/>
      <w:bookmarkStart w:id="281" w:name="_Toc99955733"/>
      <w:bookmarkStart w:id="282" w:name="_Toc116990181"/>
      <w:r>
        <w:rPr/>
        <w:t>Prikaz utjecaja na kritičnu strukturu</w:t>
      </w:r>
      <w:bookmarkEnd w:id="279"/>
      <w:bookmarkEnd w:id="280"/>
      <w:bookmarkEnd w:id="281"/>
      <w:bookmarkEnd w:id="282"/>
    </w:p>
    <w:tbl>
      <w:tblPr>
        <w:tblStyle w:val="GridTable6Colorful-Accent31"/>
        <w:tblW w:w="9060" w:type="dxa"/>
        <w:jc w:val="left"/>
        <w:tblInd w:w="0" w:type="dxa"/>
        <w:tblCellMar>
          <w:top w:w="0" w:type="dxa"/>
          <w:left w:w="108" w:type="dxa"/>
          <w:bottom w:w="0" w:type="dxa"/>
          <w:right w:w="108" w:type="dxa"/>
        </w:tblCellMar>
        <w:tblLook w:firstRow="1" w:noVBand="1" w:lastRow="0" w:firstColumn="1" w:lastColumn="0" w:noHBand="0" w:val="04a0"/>
      </w:tblPr>
      <w:tblGrid>
        <w:gridCol w:w="1271"/>
        <w:gridCol w:w="7788"/>
      </w:tblGrid>
      <w:tr>
        <w:trPr>
          <w:cnfStyle w:val="100000000000" w:firstRow="1" w:lastRow="0" w:firstColumn="0" w:lastColumn="0" w:oddVBand="0" w:evenVBand="0" w:oddHBand="0"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76" w:before="80" w:after="0"/>
              <w:rPr>
                <w:sz w:val="20"/>
                <w:szCs w:val="20"/>
              </w:rPr>
            </w:pPr>
            <w:r>
              <w:rPr>
                <w:b/>
                <w:bCs/>
                <w:color w:val="76923C" w:themeColor="accent3" w:themeShade="bf"/>
                <w:sz w:val="20"/>
                <w:szCs w:val="20"/>
              </w:rPr>
              <w:t>Utjecaj</w:t>
            </w:r>
          </w:p>
        </w:tc>
        <w:tc>
          <w:tcPr>
            <w:tcW w:w="7788" w:type="dxa"/>
            <w:tcBorders>
              <w:bottom w:val="single" w:sz="12" w:space="0" w:color="C2D69B"/>
            </w:tcBorders>
            <w:shd w:color="auto" w:fill="EAF1DD" w:themeFill="accent3" w:themeFillTint="33" w:val="clear"/>
          </w:tcPr>
          <w:p>
            <w:pPr>
              <w:pStyle w:val="Normal"/>
              <w:spacing w:lineRule="auto" w:line="276" w:before="80" w:after="0"/>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Sektor</w:t>
            </w:r>
          </w:p>
        </w:tc>
      </w:tr>
      <w:tr>
        <w:trPr>
          <w:cnfStyle w:val="000000100000" w:firstRow="0" w:lastRow="0" w:firstColumn="0" w:lastColumn="0" w:oddVBand="0" w:evenVBand="0" w:oddHBand="1"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cnfStyle w:val="000000100000" w:firstRow="0" w:lastRow="0" w:firstColumn="0" w:lastColumn="0" w:oddVBand="0" w:evenVBand="0" w:oddHBand="1"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themeColor="accent3" w:themeShade="bf"/>
                <w:sz w:val="20"/>
                <w:szCs w:val="20"/>
              </w:rPr>
              <w:t>x</w:t>
            </w:r>
          </w:p>
        </w:tc>
        <w:tc>
          <w:tcPr>
            <w:tcW w:w="7788" w:type="dxa"/>
            <w:tcBorders/>
            <w:shd w:color="auto" w:fill="FFFFFF" w:themeFill="background1" w:val="clear"/>
          </w:tcPr>
          <w:p>
            <w:pPr>
              <w:pStyle w:val="Normal"/>
              <w:spacing w:lineRule="auto" w:line="276" w:before="8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cnfStyle w:val="000000100000" w:firstRow="0" w:lastRow="0" w:firstColumn="0" w:lastColumn="0" w:oddVBand="0" w:evenVBand="0" w:oddHBand="1"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themeColor="accent3" w:themeShade="bf"/>
                <w:sz w:val="20"/>
                <w:szCs w:val="20"/>
              </w:rPr>
              <w:t>x</w:t>
            </w:r>
          </w:p>
        </w:tc>
        <w:tc>
          <w:tcPr>
            <w:tcW w:w="7788" w:type="dxa"/>
            <w:tcBorders/>
            <w:shd w:color="auto" w:fill="FFFFFF" w:themeFill="background1" w:val="clear"/>
          </w:tcPr>
          <w:p>
            <w:pPr>
              <w:pStyle w:val="Normal"/>
              <w:spacing w:lineRule="auto" w:line="276" w:before="8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cnfStyle w:val="000000100000" w:firstRow="0" w:lastRow="0" w:firstColumn="0" w:lastColumn="0" w:oddVBand="0" w:evenVBand="0" w:oddHBand="1"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trPr>
          <w:cnfStyle w:val="000000100000" w:firstRow="0" w:lastRow="0" w:firstColumn="0" w:lastColumn="0" w:oddVBand="0" w:evenVBand="0" w:oddHBand="1" w:evenHBand="0" w:firstRowFirstColumn="0" w:firstRowLastColumn="0" w:lastRowFirstColumn="0" w:lastRowLastColumn="0"/>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themeColor="accent3" w:themeShade="bf"/>
                <w:sz w:val="20"/>
                <w:szCs w:val="20"/>
              </w:rPr>
              <w:t>x</w:t>
            </w:r>
          </w:p>
        </w:tc>
        <w:tc>
          <w:tcPr>
            <w:tcW w:w="7788" w:type="dxa"/>
            <w:tcBorders/>
            <w:shd w:color="auto" w:fill="FFFFFF" w:themeFill="background1" w:val="clear"/>
          </w:tcPr>
          <w:p>
            <w:pPr>
              <w:pStyle w:val="Normal"/>
              <w:spacing w:lineRule="auto" w:line="276" w:before="80" w:after="0"/>
              <w:jc w:val="left"/>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c>
          <w:tcPr>
            <w:tcW w:w="1271"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color w:val="auto"/>
                <w:sz w:val="20"/>
                <w:szCs w:val="20"/>
              </w:rPr>
            </w:pPr>
            <w:r>
              <w:rPr>
                <w:b/>
                <w:bCs/>
                <w:color w:val="auto"/>
                <w:sz w:val="20"/>
                <w:szCs w:val="20"/>
              </w:rPr>
            </w:r>
          </w:p>
        </w:tc>
        <w:tc>
          <w:tcPr>
            <w:tcW w:w="7788" w:type="dxa"/>
            <w:tcBorders/>
            <w:shd w:color="auto" w:fill="FFFFFF" w:themeFill="background1" w:val="clear"/>
          </w:tcPr>
          <w:p>
            <w:pPr>
              <w:pStyle w:val="Normal"/>
              <w:spacing w:lineRule="auto" w:line="276" w:before="80" w:after="0"/>
              <w:jc w:val="left"/>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pPr>
      <w:r>
        <w:rPr/>
      </w:r>
    </w:p>
    <w:p>
      <w:pPr>
        <w:pStyle w:val="Stilnaslova3"/>
        <w:numPr>
          <w:ilvl w:val="2"/>
          <w:numId w:val="2"/>
        </w:numPr>
        <w:ind w:left="709" w:hanging="721"/>
        <w:rPr/>
      </w:pPr>
      <w:bookmarkStart w:id="283" w:name="_Toc498355561"/>
      <w:bookmarkStart w:id="284" w:name="_Toc99955734"/>
      <w:bookmarkStart w:id="285" w:name="_Toc116990182"/>
      <w:r>
        <w:rPr/>
        <w:t>Kontekst</w:t>
      </w:r>
      <w:bookmarkEnd w:id="283"/>
      <w:bookmarkEnd w:id="284"/>
      <w:bookmarkEnd w:id="285"/>
    </w:p>
    <w:p>
      <w:pPr>
        <w:pStyle w:val="Normal"/>
        <w:spacing w:before="80" w:after="0"/>
        <w:rPr>
          <w:rFonts w:eastAsia="Calibri" w:eastAsiaTheme="minorHAnsi"/>
          <w:color w:val="auto"/>
          <w:szCs w:val="22"/>
        </w:rPr>
      </w:pPr>
      <w:r>
        <w:rPr>
          <w:color w:val="auto"/>
          <w:szCs w:val="22"/>
        </w:rPr>
        <w:t>Grad Buje ima mediteransku klimu s prosječnom temperaturom zraka 14</w:t>
      </w:r>
      <w:r>
        <w:rPr>
          <w:rFonts w:eastAsia="Calibri" w:eastAsiaTheme="minorHAnsi"/>
          <w:color w:val="auto"/>
          <w:szCs w:val="22"/>
        </w:rPr>
        <w:t>°C</w:t>
      </w:r>
      <w:r>
        <w:rPr>
          <w:color w:val="auto"/>
          <w:szCs w:val="22"/>
        </w:rPr>
        <w:t xml:space="preserve">.  </w:t>
      </w:r>
      <w:r>
        <w:rPr>
          <w:rFonts w:eastAsia="Calibri" w:eastAsiaTheme="minorHAnsi"/>
          <w:color w:val="auto"/>
          <w:szCs w:val="22"/>
        </w:rPr>
        <w:t xml:space="preserve">obilježje ovog tipa klime jesu topla ljeta i kišne zime pri čemu je najsušniji dio godine ožujak i ljetni mjeseci, dok je najkišovitije razdoblje u listopadu, studenome i prosincu. Maksimalne temperature bilježe se početkom srpnja a iznose od 30°C do 37°C. </w:t>
      </w:r>
    </w:p>
    <w:p>
      <w:pPr>
        <w:pStyle w:val="Normal"/>
        <w:spacing w:before="120" w:after="120"/>
        <w:rPr>
          <w:color w:val="auto"/>
          <w:szCs w:val="22"/>
        </w:rPr>
      </w:pPr>
      <w:r>
        <w:rPr>
          <w:color w:val="auto"/>
          <w:szCs w:val="22"/>
        </w:rPr>
        <w:t>Ekstremne temperature zraka mogu uzrokovati zdravstvene probleme i povećani broj smrtnih slučajeva i stoga predstavljaju javnozdravstveni problem. Osobito ugrožene skupine ljudi su mala djeca, kronični bolesnici, starije osobe te ljudi koji rade na otvorenom prostoru.</w:t>
      </w:r>
    </w:p>
    <w:p>
      <w:pPr>
        <w:pStyle w:val="Normal"/>
        <w:spacing w:before="80" w:after="0"/>
        <w:rPr>
          <w:rFonts w:eastAsia="Calibri" w:eastAsiaTheme="minorHAnsi"/>
          <w:color w:val="auto"/>
          <w:szCs w:val="22"/>
        </w:rPr>
      </w:pPr>
      <w:r>
        <w:rPr>
          <w:color w:val="auto"/>
          <w:szCs w:val="22"/>
        </w:rPr>
        <w:t>Premda ovo razdoblje nije dugotrajno može imati štetne posljedice po stanovništvo. Osobito ugrožene skupine ljudi su mala djeca, kronični bolesnici, starije osobe te ljudi koji rade na otvorenom prostoru.</w:t>
      </w:r>
    </w:p>
    <w:p>
      <w:pPr>
        <w:pStyle w:val="Normal"/>
        <w:spacing w:before="80" w:after="0"/>
        <w:rPr>
          <w:rFonts w:eastAsia="Calibri" w:eastAsiaTheme="minorHAnsi"/>
          <w:color w:val="auto"/>
          <w:szCs w:val="22"/>
        </w:rPr>
      </w:pPr>
      <w:r>
        <w:rPr>
          <w:rFonts w:eastAsia="Calibri" w:eastAsiaTheme="minorHAnsi"/>
          <w:color w:val="auto"/>
          <w:szCs w:val="22"/>
        </w:rPr>
        <w:t xml:space="preserve">Godišnji prosjek relativne vlažnosti iznosi 68 %, a njeno kolebanje nije veliko. Najniža je tijekom ljetnih mjeseci kada uslijed suše dolazi i do zastoja vegetacije. Analizu oborina zbog znatnog odstupanja količina i vremenskog odstupanja teško je dati. </w:t>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0" w:after="0"/>
        <w:rPr>
          <w:color w:val="auto"/>
          <w:szCs w:val="22"/>
          <w:highlight w:val="yellow"/>
        </w:rPr>
      </w:pPr>
      <w:r>
        <w:rPr>
          <w:color w:val="auto"/>
          <w:szCs w:val="22"/>
          <w:highlight w:val="yellow"/>
        </w:rPr>
      </w:r>
    </w:p>
    <w:p>
      <w:pPr>
        <w:pStyle w:val="Normal"/>
        <w:spacing w:before="120" w:after="120"/>
        <w:jc w:val="center"/>
        <w:rPr>
          <w:b/>
          <w:b/>
          <w:bCs/>
          <w:i/>
          <w:i/>
          <w:color w:val="54883D"/>
          <w:sz w:val="20"/>
          <w:szCs w:val="18"/>
        </w:rPr>
      </w:pPr>
      <w:r>
        <w:rPr>
          <w:b/>
          <w:bCs/>
          <w:i/>
          <w:color w:val="54883D"/>
          <w:sz w:val="20"/>
          <w:szCs w:val="18"/>
        </w:rPr>
        <w:t xml:space="preserve">Slika </w:t>
      </w:r>
      <w:r>
        <w:rPr>
          <w:b/>
          <w:bCs/>
          <w:i/>
          <w:color w:val="54883D"/>
          <w:sz w:val="20"/>
          <w:szCs w:val="18"/>
        </w:rPr>
        <w:fldChar w:fldCharType="begin"/>
      </w:r>
      <w:r>
        <w:rPr>
          <w:sz w:val="20"/>
          <w:i/>
          <w:b/>
          <w:szCs w:val="18"/>
          <w:bCs/>
          <w:color w:val="54883D"/>
        </w:rPr>
        <w:instrText> SEQ Slika \* ARABIC </w:instrText>
      </w:r>
      <w:r>
        <w:rPr>
          <w:sz w:val="20"/>
          <w:i/>
          <w:b/>
          <w:szCs w:val="18"/>
          <w:bCs/>
          <w:color w:val="54883D"/>
        </w:rPr>
        <w:fldChar w:fldCharType="separate"/>
      </w:r>
      <w:r>
        <w:rPr>
          <w:sz w:val="20"/>
          <w:i/>
          <w:b/>
          <w:szCs w:val="18"/>
          <w:bCs/>
          <w:color w:val="54883D"/>
        </w:rPr>
        <w:t>20</w:t>
      </w:r>
      <w:r>
        <w:rPr>
          <w:sz w:val="20"/>
          <w:i/>
          <w:b/>
          <w:szCs w:val="18"/>
          <w:bCs/>
          <w:color w:val="54883D"/>
        </w:rPr>
        <w:fldChar w:fldCharType="end"/>
      </w:r>
      <w:r>
        <w:rPr>
          <w:b/>
          <w:bCs/>
          <w:i/>
          <w:color w:val="54883D"/>
          <w:sz w:val="20"/>
          <w:szCs w:val="18"/>
        </w:rPr>
        <w:t>: Ocjena vremenskih prilika u Hrvatskoj za ljeto 2019. godine</w:t>
      </w:r>
    </w:p>
    <w:p>
      <w:pPr>
        <w:pStyle w:val="Normal"/>
        <w:jc w:val="center"/>
        <w:rPr/>
      </w:pPr>
      <w:r>
        <w:rPr/>
        <w:drawing>
          <wp:inline distT="0" distB="0" distL="0" distR="0">
            <wp:extent cx="5759450" cy="2453005"/>
            <wp:effectExtent l="0" t="0" r="0" b="0"/>
            <wp:docPr id="140" name="Picture 4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451" descr=""/>
                    <pic:cNvPicPr>
                      <a:picLocks noChangeAspect="1" noChangeArrowheads="1"/>
                    </pic:cNvPicPr>
                  </pic:nvPicPr>
                  <pic:blipFill>
                    <a:blip r:embed="rId123"/>
                    <a:stretch>
                      <a:fillRect/>
                    </a:stretch>
                  </pic:blipFill>
                  <pic:spPr bwMode="auto">
                    <a:xfrm>
                      <a:off x="0" y="0"/>
                      <a:ext cx="5759450" cy="2453005"/>
                    </a:xfrm>
                    <a:prstGeom prst="rect">
                      <a:avLst/>
                    </a:prstGeom>
                  </pic:spPr>
                </pic:pic>
              </a:graphicData>
            </a:graphic>
          </wp:inline>
        </w:drawing>
      </w:r>
    </w:p>
    <w:p>
      <w:pPr>
        <w:pStyle w:val="Normal"/>
        <w:jc w:val="center"/>
        <w:rPr>
          <w:color w:val="auto"/>
          <w:szCs w:val="22"/>
        </w:rPr>
      </w:pPr>
      <w:r>
        <w:rPr>
          <w:bCs/>
          <w:i/>
          <w:color w:val="54883D"/>
          <w:sz w:val="20"/>
          <w:szCs w:val="18"/>
        </w:rPr>
        <w:t>Izvor: http://meteo.hr</w:t>
      </w:r>
    </w:p>
    <w:p>
      <w:pPr>
        <w:pStyle w:val="Normal"/>
        <w:spacing w:before="0" w:after="0"/>
        <w:rPr>
          <w:color w:val="auto"/>
          <w:szCs w:val="22"/>
          <w:highlight w:val="yellow"/>
        </w:rPr>
      </w:pPr>
      <w:r>
        <w:rPr>
          <w:color w:val="auto"/>
          <w:szCs w:val="22"/>
          <w:highlight w:val="yellow"/>
        </w:rPr>
      </w:r>
    </w:p>
    <w:p>
      <w:pPr>
        <w:pStyle w:val="Normal"/>
        <w:spacing w:before="120" w:after="120"/>
        <w:rPr>
          <w:color w:val="auto"/>
          <w:szCs w:val="22"/>
        </w:rPr>
      </w:pPr>
      <w:r>
        <w:rPr>
          <w:color w:val="auto"/>
          <w:szCs w:val="22"/>
        </w:rPr>
        <w:t>Najkišovitiji mjeseci su kolovoz, rujan, listopad i studeni, a najsiromašniji oborinama su ljetni mjeseci lipanj i srpanj, u zimskom periodu od siječnja do ožujka. Snijeg je rijetka pojava na području Grada i ta je meteorološka pojava uglavnom povezana s jakim istočnim i sjevernim vjetrovima kada snježne oborine budu na nesene. Ta je pojava karakteristična.</w:t>
      </w:r>
    </w:p>
    <w:p>
      <w:pPr>
        <w:pStyle w:val="Normal"/>
        <w:spacing w:before="120" w:after="120"/>
        <w:rPr>
          <w:color w:val="auto"/>
          <w:szCs w:val="22"/>
        </w:rPr>
      </w:pPr>
      <w:r>
        <w:rPr>
          <w:color w:val="auto"/>
          <w:szCs w:val="22"/>
        </w:rPr>
        <w:t>Za razdoblje 1975-1995. godine, (prema Statističkim ljetopisima Istre, Primorja i Gorskog Kotara) srednja godišnja temperatura najhladnijeg mjeseca siječnja iznosi 5,4°C, a u najtoplijem srpnju 23,5°C.</w:t>
      </w:r>
    </w:p>
    <w:p>
      <w:pPr>
        <w:pStyle w:val="Normal"/>
        <w:keepNext w:val="true"/>
        <w:spacing w:before="120" w:after="120"/>
        <w:rPr>
          <w:color w:val="auto"/>
          <w:szCs w:val="22"/>
        </w:rPr>
      </w:pPr>
      <w:r>
        <w:rPr>
          <w:color w:val="auto"/>
          <w:szCs w:val="22"/>
        </w:rPr>
        <w:t>Prema raspodjeli percentila oborinske prilike u Hrvatskoj za ljeto 2017. godine svrstane su u sljedeće kategorije: ekstremno sušno (šire područje Pazina, dio srednjeg i južnog Jadrana i zaleđa), vrlo sušno (dio sjeverozapadne, središnje i istočne Hrvatske te dio srednjeg i južnog Jadrana) i sušno (preostali dio Hrvatske).</w:t>
      </w:r>
    </w:p>
    <w:p>
      <w:pPr>
        <w:pStyle w:val="Normal"/>
        <w:spacing w:before="0" w:after="0"/>
        <w:jc w:val="center"/>
        <w:rPr>
          <w:rFonts w:eastAsia="Calibri"/>
          <w:b/>
          <w:b/>
          <w:bCs/>
          <w:color w:val="54883D"/>
          <w:sz w:val="20"/>
          <w:szCs w:val="18"/>
        </w:rPr>
      </w:pPr>
      <w:r>
        <w:rPr>
          <w:rFonts w:eastAsia="Calibri"/>
          <w:b/>
          <w:bCs/>
          <w:color w:val="54883D"/>
          <w:sz w:val="20"/>
          <w:szCs w:val="18"/>
        </w:rPr>
        <w:t xml:space="preserve">Tablica </w:t>
      </w:r>
      <w:r>
        <w:rPr>
          <w:rFonts w:eastAsia="Calibri"/>
          <w:b/>
          <w:bCs/>
          <w:color w:val="54883D"/>
          <w:sz w:val="20"/>
          <w:szCs w:val="18"/>
        </w:rPr>
        <w:fldChar w:fldCharType="begin"/>
      </w:r>
      <w:r>
        <w:rPr>
          <w:sz w:val="20"/>
          <w:b/>
          <w:szCs w:val="18"/>
          <w:bCs/>
          <w:rFonts w:eastAsia="Calibri"/>
          <w:color w:val="54883D"/>
        </w:rPr>
        <w:instrText> SEQ Tabela \* ARABIC </w:instrText>
      </w:r>
      <w:r>
        <w:rPr>
          <w:sz w:val="20"/>
          <w:b/>
          <w:szCs w:val="18"/>
          <w:bCs/>
          <w:rFonts w:eastAsia="Calibri"/>
          <w:color w:val="54883D"/>
        </w:rPr>
        <w:fldChar w:fldCharType="separate"/>
      </w:r>
      <w:r>
        <w:rPr>
          <w:sz w:val="20"/>
          <w:b/>
          <w:szCs w:val="18"/>
          <w:bCs/>
          <w:rFonts w:eastAsia="Calibri"/>
          <w:color w:val="54883D"/>
        </w:rPr>
        <w:t>47</w:t>
      </w:r>
      <w:r>
        <w:rPr>
          <w:sz w:val="20"/>
          <w:b/>
          <w:szCs w:val="18"/>
          <w:bCs/>
          <w:rFonts w:eastAsia="Calibri"/>
          <w:color w:val="54883D"/>
        </w:rPr>
        <w:fldChar w:fldCharType="end"/>
      </w:r>
      <w:r>
        <w:rPr>
          <w:rFonts w:eastAsia="Calibri"/>
          <w:b/>
          <w:bCs/>
          <w:color w:val="54883D"/>
          <w:sz w:val="20"/>
          <w:szCs w:val="18"/>
        </w:rPr>
        <w:t>.  Mjesečni broj vrućih dana (</w:t>
      </w:r>
      <w:r>
        <w:rPr>
          <w:rFonts w:eastAsia="Calibri"/>
          <w:b/>
          <w:bCs/>
          <w:color w:val="54883D"/>
          <w:sz w:val="20"/>
          <w:szCs w:val="18"/>
          <w:u w:val="single"/>
        </w:rPr>
        <w:t>&gt;</w:t>
      </w:r>
      <w:r>
        <w:rPr>
          <w:rFonts w:eastAsia="Calibri"/>
          <w:b/>
          <w:bCs/>
          <w:color w:val="54883D"/>
          <w:sz w:val="20"/>
          <w:szCs w:val="18"/>
        </w:rPr>
        <w:t xml:space="preserve"> 30°C), Pazin 1998. – 2017.</w:t>
      </w:r>
    </w:p>
    <w:tbl>
      <w:tblPr>
        <w:tblStyle w:val="ivopisnatablicareetke6-isticanje344"/>
        <w:tblW w:w="9058" w:type="dxa"/>
        <w:jc w:val="center"/>
        <w:tblInd w:w="0" w:type="dxa"/>
        <w:tblCellMar>
          <w:top w:w="0" w:type="dxa"/>
          <w:left w:w="108" w:type="dxa"/>
          <w:bottom w:w="0" w:type="dxa"/>
          <w:right w:w="108" w:type="dxa"/>
        </w:tblCellMar>
        <w:tblLook w:firstRow="1" w:noVBand="1" w:lastRow="0" w:firstColumn="1" w:lastColumn="0" w:noHBand="0" w:val="04a0"/>
      </w:tblPr>
      <w:tblGrid>
        <w:gridCol w:w="928"/>
        <w:gridCol w:w="620"/>
        <w:gridCol w:w="621"/>
        <w:gridCol w:w="621"/>
        <w:gridCol w:w="553"/>
        <w:gridCol w:w="552"/>
        <w:gridCol w:w="553"/>
        <w:gridCol w:w="622"/>
        <w:gridCol w:w="622"/>
        <w:gridCol w:w="553"/>
        <w:gridCol w:w="553"/>
        <w:gridCol w:w="623"/>
        <w:gridCol w:w="620"/>
        <w:gridCol w:w="1016"/>
      </w:tblGrid>
      <w:tr>
        <w:trPr>
          <w:cnfStyle w:val="100000000000" w:firstRow="1" w:lastRow="0" w:firstColumn="0" w:lastColumn="0" w:oddVBand="0" w:evenVBand="0" w:oddHBand="0" w:evenHBand="0" w:firstRowFirstColumn="0" w:firstRowLastColumn="0" w:lastRowFirstColumn="0" w:lastRowLastColumn="0"/>
        </w:trPr>
        <w:tc>
          <w:tcPr>
            <w:tcW w:w="928"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auto" w:val="clear"/>
            <w:vAlign w:val="center"/>
          </w:tcPr>
          <w:p>
            <w:pPr>
              <w:pStyle w:val="Normal"/>
              <w:spacing w:lineRule="auto" w:line="240" w:before="80" w:after="160"/>
              <w:jc w:val="center"/>
              <w:rPr>
                <w:color w:val="auto"/>
                <w:sz w:val="20"/>
                <w:szCs w:val="20"/>
              </w:rPr>
            </w:pPr>
            <w:r>
              <w:rPr>
                <w:b/>
                <w:bCs/>
                <w:color w:val="auto" w:themeColor="accent3" w:themeShade="bf"/>
                <w:sz w:val="20"/>
                <w:szCs w:val="20"/>
              </w:rPr>
              <w:t>Godina</w:t>
            </w:r>
          </w:p>
        </w:tc>
        <w:tc>
          <w:tcPr>
            <w:tcW w:w="620"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I.</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II.</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III.</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IV.</w:t>
            </w:r>
          </w:p>
        </w:tc>
        <w:tc>
          <w:tcPr>
            <w:tcW w:w="55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V.</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VI.</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VII.</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VIII.</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IX.</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X.</w:t>
            </w:r>
          </w:p>
        </w:tc>
        <w:tc>
          <w:tcPr>
            <w:tcW w:w="62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XI.</w:t>
            </w:r>
          </w:p>
        </w:tc>
        <w:tc>
          <w:tcPr>
            <w:tcW w:w="620"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XII.</w:t>
            </w:r>
          </w:p>
        </w:tc>
        <w:tc>
          <w:tcPr>
            <w:tcW w:w="10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Pr>
                <w:b/>
                <w:bCs/>
                <w:color w:val="auto" w:themeColor="accent3" w:themeShade="bf"/>
                <w:sz w:val="20"/>
                <w:szCs w:val="20"/>
              </w:rPr>
              <w:t>Zbroj</w:t>
            </w:r>
          </w:p>
        </w:tc>
      </w:tr>
      <w:tr>
        <w:trPr>
          <w:cnfStyle w:val="000000100000" w:firstRow="0" w:lastRow="0" w:firstColumn="0" w:lastColumn="0" w:oddVBand="0" w:evenVBand="0" w:oddHBand="1" w:evenHBand="0" w:firstRowFirstColumn="0" w:firstRowLastColumn="0" w:lastRowFirstColumn="0" w:lastRowLastColumn="0"/>
        </w:trPr>
        <w:tc>
          <w:tcPr>
            <w:tcW w:w="928"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rPr>
                <w:color w:val="auto"/>
                <w:sz w:val="20"/>
                <w:szCs w:val="20"/>
              </w:rPr>
            </w:pPr>
            <w:r>
              <w:rPr>
                <w:b/>
                <w:bCs/>
                <w:color w:val="auto" w:themeColor="accent3" w:themeShade="bf"/>
                <w:sz w:val="20"/>
                <w:szCs w:val="20"/>
              </w:rPr>
              <w:t>Zbroj</w:t>
            </w:r>
          </w:p>
        </w:tc>
        <w:tc>
          <w:tcPr>
            <w:tcW w:w="620" w:type="dxa"/>
            <w:tcBorders>
              <w:top w:val="single" w:sz="4" w:space="0" w:color="54883D"/>
              <w:left w:val="nil"/>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55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11</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144</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303</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277</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35</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0"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1016"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770</w:t>
            </w:r>
          </w:p>
        </w:tc>
      </w:tr>
      <w:tr>
        <w:trPr/>
        <w:tc>
          <w:tcPr>
            <w:tcW w:w="928"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rPr>
                <w:color w:val="auto"/>
                <w:sz w:val="20"/>
                <w:szCs w:val="20"/>
              </w:rPr>
            </w:pPr>
            <w:r>
              <w:rPr>
                <w:b/>
                <w:bCs/>
                <w:color w:val="auto" w:themeColor="accent3" w:themeShade="bf"/>
                <w:sz w:val="20"/>
                <w:szCs w:val="20"/>
              </w:rPr>
              <w:t>Sred</w:t>
            </w:r>
          </w:p>
        </w:tc>
        <w:tc>
          <w:tcPr>
            <w:tcW w:w="620" w:type="dxa"/>
            <w:tcBorders>
              <w:top w:val="single" w:sz="4" w:space="0" w:color="54883D"/>
              <w:left w:val="nil"/>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55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0,6</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7,2</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15,1</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13,9</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1,8</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62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620"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0</w:t>
            </w:r>
          </w:p>
        </w:tc>
        <w:tc>
          <w:tcPr>
            <w:tcW w:w="1016"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color w:val="000000" w:themeColor="accent3" w:themeShade="bf"/>
                <w:sz w:val="20"/>
                <w:szCs w:val="20"/>
              </w:rPr>
              <w:t>38,5</w:t>
            </w:r>
          </w:p>
        </w:tc>
      </w:tr>
      <w:tr>
        <w:trPr>
          <w:cnfStyle w:val="000000100000" w:firstRow="0" w:lastRow="0" w:firstColumn="0" w:lastColumn="0" w:oddVBand="0" w:evenVBand="0" w:oddHBand="1" w:evenHBand="0" w:firstRowFirstColumn="0" w:firstRowLastColumn="0" w:lastRowFirstColumn="0" w:lastRowLastColumn="0"/>
        </w:trPr>
        <w:tc>
          <w:tcPr>
            <w:tcW w:w="928"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160"/>
              <w:jc w:val="center"/>
              <w:rPr>
                <w:color w:val="auto"/>
                <w:sz w:val="20"/>
                <w:szCs w:val="20"/>
              </w:rPr>
            </w:pPr>
            <w:r>
              <w:rPr>
                <w:b/>
                <w:bCs/>
                <w:color w:val="auto" w:themeColor="accent3" w:themeShade="bf"/>
                <w:sz w:val="20"/>
                <w:szCs w:val="20"/>
              </w:rPr>
              <w:t>Std</w:t>
            </w:r>
          </w:p>
        </w:tc>
        <w:tc>
          <w:tcPr>
            <w:tcW w:w="620" w:type="dxa"/>
            <w:tcBorders>
              <w:top w:val="single" w:sz="4" w:space="0" w:color="54883D"/>
              <w:left w:val="nil"/>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55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1,1</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4,7</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5,6</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8</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2,9</w:t>
            </w:r>
          </w:p>
        </w:tc>
        <w:tc>
          <w:tcPr>
            <w:tcW w:w="55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3"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620"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0</w:t>
            </w:r>
          </w:p>
        </w:tc>
        <w:tc>
          <w:tcPr>
            <w:tcW w:w="1016" w:type="dxa"/>
            <w:tcBorders>
              <w:top w:val="single" w:sz="4" w:space="0" w:color="54883D"/>
              <w:left w:val="single" w:sz="4" w:space="0" w:color="54883D"/>
              <w:bottom w:val="single" w:sz="4" w:space="0" w:color="54883D"/>
              <w:right w:val="single" w:sz="4" w:space="0" w:color="54883D"/>
            </w:tcBorders>
            <w:shd w:color="auto" w:fill="auto" w:val="clear"/>
            <w:vAlign w:val="bottom"/>
          </w:tcPr>
          <w:p>
            <w:pPr>
              <w:pStyle w:val="Normal"/>
              <w:spacing w:lineRule="auto" w:line="240" w:before="80" w:after="16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color w:val="000000" w:themeColor="accent3" w:themeShade="bf"/>
                <w:sz w:val="20"/>
                <w:szCs w:val="20"/>
              </w:rPr>
              <w:t>13,4</w:t>
            </w:r>
          </w:p>
        </w:tc>
      </w:tr>
    </w:tbl>
    <w:p>
      <w:pPr>
        <w:pStyle w:val="Normal"/>
        <w:jc w:val="center"/>
        <w:rPr>
          <w:i/>
          <w:i/>
          <w:color w:val="54883D"/>
          <w:sz w:val="20"/>
        </w:rPr>
      </w:pPr>
      <w:r>
        <w:rPr>
          <w:i/>
          <w:color w:val="54883D"/>
          <w:sz w:val="20"/>
        </w:rPr>
        <w:t>Izvor: Državni hidrometeorološki zavod</w:t>
      </w:r>
    </w:p>
    <w:p>
      <w:pPr>
        <w:pStyle w:val="Normal"/>
        <w:jc w:val="left"/>
        <w:rPr>
          <w:color w:val="auto"/>
        </w:rPr>
      </w:pPr>
      <w:r>
        <w:rPr>
          <w:color w:val="auto"/>
        </w:rPr>
      </w:r>
    </w:p>
    <w:p>
      <w:pPr>
        <w:pStyle w:val="Normal"/>
        <w:jc w:val="left"/>
        <w:rPr>
          <w:color w:val="auto"/>
        </w:rPr>
      </w:pPr>
      <w:r>
        <w:rPr>
          <w:color w:val="auto"/>
        </w:rPr>
        <w:t xml:space="preserve">Prema analiziranom 5-godišnjem razdoblju vidimo da se vrući dani pojavljuju od svibnja do rujna, no najveći broj dana sa vrući danima se pojavljuje u srpnju. </w:t>
      </w:r>
    </w:p>
    <w:p>
      <w:pPr>
        <w:pStyle w:val="Normal"/>
        <w:rPr>
          <w:color w:val="auto"/>
          <w:szCs w:val="22"/>
        </w:rPr>
      </w:pPr>
      <w:r>
        <w:rPr>
          <w:color w:val="auto"/>
          <w:szCs w:val="22"/>
        </w:rPr>
        <w:t>Na temelju egzaktnih podataka mjerenih u Državnom hidrometeorološkom zavodu godišnje ima 3,5% umjerenih, 2,5% jakih i 1,5% ekstremnih toplinskih valova, odnosno oko 13 umjerenih, 9 jakih i 5-6 ekstremnih. Obzirom da se takvi događaji ne javljaju tijekom cijele godine već uglavnom u 4 mjeseca (120 dana) od 15. svibnja do 15. rujna, to bi značilo da se u tom razdoblju umjereni toplinski valovi u prosjeku mogu očekivati jednom u cca 9 dana, jaki jednom u 13 dana i ekstremni jednom u 22 dana.</w:t>
      </w:r>
    </w:p>
    <w:p>
      <w:pPr>
        <w:pStyle w:val="Normal"/>
        <w:spacing w:before="120" w:after="120"/>
        <w:rPr>
          <w:color w:val="auto"/>
          <w:szCs w:val="22"/>
        </w:rPr>
      </w:pPr>
      <w:r>
        <w:rPr>
          <w:color w:val="auto"/>
          <w:szCs w:val="22"/>
        </w:rPr>
      </w:r>
    </w:p>
    <w:p>
      <w:pPr>
        <w:pStyle w:val="Normal"/>
        <w:spacing w:before="120" w:after="120"/>
        <w:jc w:val="center"/>
        <w:rPr>
          <w:color w:val="auto"/>
          <w:szCs w:val="22"/>
        </w:rPr>
      </w:pPr>
      <w:r>
        <w:rPr/>
        <w:drawing>
          <wp:inline distT="0" distB="0" distL="0" distR="0">
            <wp:extent cx="3735070" cy="2781935"/>
            <wp:effectExtent l="0" t="0" r="0" b="0"/>
            <wp:docPr id="141" name="Picture 4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452" descr=""/>
                    <pic:cNvPicPr>
                      <a:picLocks noChangeAspect="1" noChangeArrowheads="1"/>
                    </pic:cNvPicPr>
                  </pic:nvPicPr>
                  <pic:blipFill>
                    <a:blip r:embed="rId124"/>
                    <a:stretch>
                      <a:fillRect/>
                    </a:stretch>
                  </pic:blipFill>
                  <pic:spPr bwMode="auto">
                    <a:xfrm>
                      <a:off x="0" y="0"/>
                      <a:ext cx="3735070" cy="2781935"/>
                    </a:xfrm>
                    <a:prstGeom prst="rect">
                      <a:avLst/>
                    </a:prstGeom>
                  </pic:spPr>
                </pic:pic>
              </a:graphicData>
            </a:graphic>
          </wp:inline>
        </w:drawing>
      </w:r>
    </w:p>
    <w:p>
      <w:pPr>
        <w:pStyle w:val="Normal"/>
        <w:spacing w:before="120" w:after="120"/>
        <w:jc w:val="center"/>
        <w:rPr>
          <w:color w:val="auto"/>
          <w:szCs w:val="22"/>
        </w:rPr>
      </w:pPr>
      <w:r>
        <w:rPr/>
        <w:drawing>
          <wp:inline distT="0" distB="0" distL="0" distR="0">
            <wp:extent cx="4078605" cy="3279775"/>
            <wp:effectExtent l="0" t="0" r="0" b="0"/>
            <wp:docPr id="142" name="Picture 9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911" descr=""/>
                    <pic:cNvPicPr>
                      <a:picLocks noChangeAspect="1" noChangeArrowheads="1"/>
                    </pic:cNvPicPr>
                  </pic:nvPicPr>
                  <pic:blipFill>
                    <a:blip r:embed="rId125"/>
                    <a:stretch>
                      <a:fillRect/>
                    </a:stretch>
                  </pic:blipFill>
                  <pic:spPr bwMode="auto">
                    <a:xfrm>
                      <a:off x="0" y="0"/>
                      <a:ext cx="4078605" cy="3279775"/>
                    </a:xfrm>
                    <a:prstGeom prst="rect">
                      <a:avLst/>
                    </a:prstGeom>
                  </pic:spPr>
                </pic:pic>
              </a:graphicData>
            </a:graphic>
          </wp:inline>
        </w:drawing>
      </w:r>
    </w:p>
    <w:p>
      <w:pPr>
        <w:pStyle w:val="Normal"/>
        <w:rPr>
          <w:color w:val="auto"/>
          <w:szCs w:val="22"/>
        </w:rPr>
      </w:pPr>
      <w:r>
        <w:rPr>
          <w:color w:val="auto"/>
          <w:szCs w:val="22"/>
        </w:rPr>
      </w:r>
    </w:p>
    <w:p>
      <w:pPr>
        <w:pStyle w:val="Normal"/>
        <w:rPr>
          <w:color w:val="auto"/>
          <w:szCs w:val="22"/>
        </w:rPr>
      </w:pPr>
      <w:r>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pPr>
        <w:pStyle w:val="Normal"/>
        <w:rPr>
          <w:color w:val="auto"/>
          <w:szCs w:val="22"/>
        </w:rPr>
      </w:pPr>
      <w:r>
        <w:rPr>
          <w:color w:val="auto"/>
          <w:szCs w:val="22"/>
        </w:rPr>
        <w:t>Najugroženije – ranjive skupine izloženog stanovništva su mala djeca i starije dobne skupine, kronični bolesnici, osobe s invaliditetom te osobe koji rade na otvorenom prostoru.</w:t>
      </w:r>
    </w:p>
    <w:p>
      <w:pPr>
        <w:pStyle w:val="Normal"/>
        <w:rPr>
          <w:color w:val="auto"/>
          <w:szCs w:val="22"/>
        </w:rPr>
      </w:pPr>
      <w:r>
        <w:rPr>
          <w:color w:val="auto"/>
          <w:szCs w:val="22"/>
        </w:rPr>
        <w:t>Za predočenje opsega opterećenosti zdravstvenih ustanova navodi se koje skupine bolesnika će biti toliko ugrožene da se hospitaliziraju ili će zatražiti stručnu medicinsku pomoć i intervenciju. Prvenstveno su to osobe s već postojećim kroničnim bolestima (hipertoničari, šećeraši, bubrežni, mentalni/depresija najviše).</w:t>
      </w:r>
      <w:r>
        <w:rPr/>
        <w:t xml:space="preserve"> </w:t>
      </w:r>
      <w:r>
        <w:rPr>
          <w:color w:val="auto"/>
          <w:szCs w:val="22"/>
        </w:rPr>
        <w:t xml:space="preserve">U skupinu posebno ugroženih osoba pritom treba nadodati radnike na otvorenom. </w:t>
      </w:r>
    </w:p>
    <w:p>
      <w:pPr>
        <w:pStyle w:val="Normal"/>
        <w:rPr/>
      </w:pPr>
      <w:r>
        <w:rPr/>
        <w:t>Prema raspodjeli percentila, toplinske prilike u Hrvatskoj za ljeto 2019. godine opisane su dominantnom kategorijom ekstremno toplo izuzevši šire područje Knina koje je u kategoriji vrlo toplo.</w:t>
      </w:r>
    </w:p>
    <w:p>
      <w:pPr>
        <w:pStyle w:val="Normal"/>
        <w:spacing w:before="120" w:after="120"/>
        <w:jc w:val="center"/>
        <w:rPr>
          <w:color w:val="auto"/>
        </w:rPr>
      </w:pPr>
      <w:r>
        <w:rPr/>
        <w:drawing>
          <wp:inline distT="0" distB="0" distL="0" distR="0">
            <wp:extent cx="3997960" cy="3402965"/>
            <wp:effectExtent l="0" t="0" r="0" b="0"/>
            <wp:docPr id="143" name="Picture 4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459" descr=""/>
                    <pic:cNvPicPr>
                      <a:picLocks noChangeAspect="1" noChangeArrowheads="1"/>
                    </pic:cNvPicPr>
                  </pic:nvPicPr>
                  <pic:blipFill>
                    <a:blip r:embed="rId126"/>
                    <a:stretch>
                      <a:fillRect/>
                    </a:stretch>
                  </pic:blipFill>
                  <pic:spPr bwMode="auto">
                    <a:xfrm>
                      <a:off x="0" y="0"/>
                      <a:ext cx="3997960" cy="3402965"/>
                    </a:xfrm>
                    <a:prstGeom prst="rect">
                      <a:avLst/>
                    </a:prstGeom>
                  </pic:spPr>
                </pic:pic>
              </a:graphicData>
            </a:graphic>
          </wp:inline>
        </w:drawing>
      </w:r>
    </w:p>
    <w:p>
      <w:pPr>
        <w:pStyle w:val="Normal"/>
        <w:spacing w:before="120" w:after="120"/>
        <w:jc w:val="center"/>
        <w:rPr>
          <w:color w:val="auto"/>
        </w:rPr>
      </w:pPr>
      <w:r>
        <w:rPr/>
        <w:drawing>
          <wp:inline distT="0" distB="0" distL="0" distR="0">
            <wp:extent cx="4304030" cy="3316605"/>
            <wp:effectExtent l="0" t="0" r="0" b="0"/>
            <wp:docPr id="144" name="Picture 4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470" descr=""/>
                    <pic:cNvPicPr>
                      <a:picLocks noChangeAspect="1" noChangeArrowheads="1"/>
                    </pic:cNvPicPr>
                  </pic:nvPicPr>
                  <pic:blipFill>
                    <a:blip r:embed="rId127"/>
                    <a:stretch>
                      <a:fillRect/>
                    </a:stretch>
                  </pic:blipFill>
                  <pic:spPr bwMode="auto">
                    <a:xfrm>
                      <a:off x="0" y="0"/>
                      <a:ext cx="4304030" cy="3316605"/>
                    </a:xfrm>
                    <a:prstGeom prst="rect">
                      <a:avLst/>
                    </a:prstGeom>
                  </pic:spPr>
                </pic:pic>
              </a:graphicData>
            </a:graphic>
          </wp:inline>
        </w:drawing>
      </w:r>
    </w:p>
    <w:p>
      <w:pPr>
        <w:pStyle w:val="Normal"/>
        <w:spacing w:before="120" w:after="120"/>
        <w:rPr>
          <w:color w:val="auto"/>
          <w:szCs w:val="22"/>
        </w:rPr>
      </w:pPr>
      <w:r>
        <w:rPr>
          <w:color w:val="auto"/>
          <w:szCs w:val="22"/>
        </w:rPr>
      </w:r>
    </w:p>
    <w:p>
      <w:pPr>
        <w:pStyle w:val="Normal"/>
        <w:spacing w:before="120" w:after="120"/>
        <w:rPr>
          <w:color w:val="000000"/>
        </w:rPr>
      </w:pPr>
      <w:r>
        <w:rPr>
          <w:color w:val="auto"/>
          <w:szCs w:val="22"/>
        </w:rPr>
        <w:t xml:space="preserve">Pojavnost ekstremnih temperatura poklapa se s razdobljem turističke sezone kada je  koncentracija osoba, a samim tim i opasnost daleko veća. U skupinu posebno ugroženih osoba pritom treba nadodati turiste te radnike na otvorenom. </w:t>
      </w:r>
      <w:r>
        <w:rPr>
          <w:color w:val="000000"/>
        </w:rPr>
        <w:t>Iznimno visoke dnevne temperature u kombinaciji s naglim ulaskom u more česti su uzrok smrti, naročito turista.</w:t>
      </w:r>
    </w:p>
    <w:p>
      <w:pPr>
        <w:pStyle w:val="Normal"/>
        <w:rPr>
          <w:rFonts w:ascii="Segoe UI" w:hAnsi="Segoe UI" w:cs="Segoe UI"/>
          <w:color w:val="1F1F1F"/>
          <w:sz w:val="23"/>
          <w:szCs w:val="23"/>
          <w:highlight w:val="white"/>
        </w:rPr>
      </w:pPr>
      <w:r>
        <w:rPr/>
        <w:t>Prema raspodjeli percentila, toplinske prilike u Hrvatskoj za ljeto 2020. godine opisane su sljedećim kategorijama: normalno (područje oko Varaždina i Karlovca, Istra i dio Kvarnera, veći dio srednje Dalmacije osim područja oko Ploča, dijelovi južne Dalmacije) i toplo (istočna i veći dio središnje Hrvatske, gorska Hrvatska, Kvarner, sjeverna Dalmacija i zaleđe, područje srednje Dalmacije oko Ploča, Pelješac i Mljet</w:t>
      </w:r>
      <w:r>
        <w:rPr>
          <w:rFonts w:cs="Segoe UI" w:ascii="Segoe UI" w:hAnsi="Segoe UI"/>
          <w:color w:val="1F1F1F"/>
          <w:sz w:val="23"/>
          <w:szCs w:val="23"/>
          <w:shd w:fill="FFFFFF" w:val="clear"/>
        </w:rPr>
        <w:t>).</w:t>
      </w:r>
    </w:p>
    <w:p>
      <w:pPr>
        <w:pStyle w:val="Normal"/>
        <w:spacing w:before="120" w:after="120"/>
        <w:jc w:val="center"/>
        <w:rPr>
          <w:color w:val="000000"/>
        </w:rPr>
      </w:pPr>
      <w:r>
        <w:rPr/>
        <w:drawing>
          <wp:inline distT="0" distB="0" distL="0" distR="0">
            <wp:extent cx="3590925" cy="3554095"/>
            <wp:effectExtent l="0" t="0" r="0" b="0"/>
            <wp:docPr id="145" name="Picture 4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487" descr=""/>
                    <pic:cNvPicPr>
                      <a:picLocks noChangeAspect="1" noChangeArrowheads="1"/>
                    </pic:cNvPicPr>
                  </pic:nvPicPr>
                  <pic:blipFill>
                    <a:blip r:embed="rId128"/>
                    <a:stretch>
                      <a:fillRect/>
                    </a:stretch>
                  </pic:blipFill>
                  <pic:spPr bwMode="auto">
                    <a:xfrm>
                      <a:off x="0" y="0"/>
                      <a:ext cx="3590925" cy="3554095"/>
                    </a:xfrm>
                    <a:prstGeom prst="rect">
                      <a:avLst/>
                    </a:prstGeom>
                  </pic:spPr>
                </pic:pic>
              </a:graphicData>
            </a:graphic>
          </wp:inline>
        </w:drawing>
      </w:r>
    </w:p>
    <w:p>
      <w:pPr>
        <w:pStyle w:val="Normal"/>
        <w:rPr>
          <w:color w:val="auto"/>
          <w:szCs w:val="22"/>
        </w:rPr>
      </w:pPr>
      <w:r>
        <w:rPr>
          <w:color w:val="auto"/>
          <w:szCs w:val="22"/>
        </w:rPr>
        <w:t>Općenito, najveći broj smrtnih slučajeva događa se u prva dva dana nakon pojave opasne temperature te kada razdoblje opasnih temperatura potraje duže vrijeme. U odnosu na muški i ženski rod, žene uglavnom više traže medicinsku pomoć za vrijeme trajanja toplinskih valova. Ekstremne temperature dovode do smanjenja koncentracije i sposobnosti kod radno aktivnih osoba. Kod ekstremnijih temperatura zraka povećana je potrošnja električne energije zbog većeg korištenja rashladnih uređaja kao i troškovi hitnih medicinskih usluga.</w:t>
      </w:r>
    </w:p>
    <w:p>
      <w:pPr>
        <w:pStyle w:val="Normal"/>
        <w:spacing w:before="120" w:after="120"/>
        <w:rPr>
          <w:b/>
          <w:b/>
          <w:color w:val="auto"/>
          <w:szCs w:val="22"/>
          <w:u w:val="single"/>
        </w:rPr>
      </w:pPr>
      <w:r>
        <w:rPr>
          <w:b/>
          <w:color w:val="auto"/>
          <w:szCs w:val="22"/>
          <w:u w:val="single"/>
        </w:rPr>
      </w:r>
    </w:p>
    <w:p>
      <w:pPr>
        <w:pStyle w:val="Normal"/>
        <w:spacing w:before="120" w:after="120"/>
        <w:rPr>
          <w:b/>
          <w:b/>
          <w:color w:val="auto"/>
          <w:szCs w:val="22"/>
          <w:u w:val="single"/>
        </w:rPr>
      </w:pPr>
      <w:r>
        <w:rPr>
          <w:b/>
          <w:color w:val="auto"/>
          <w:szCs w:val="22"/>
          <w:u w:val="single"/>
        </w:rPr>
        <w:t>Klimatske promjene</w:t>
      </w:r>
    </w:p>
    <w:p>
      <w:pPr>
        <w:pStyle w:val="Normal"/>
        <w:spacing w:before="120" w:after="120"/>
        <w:rPr>
          <w:color w:val="auto"/>
          <w:szCs w:val="22"/>
        </w:rPr>
      </w:pPr>
      <w:r>
        <w:rPr>
          <w:color w:val="auto"/>
          <w:szCs w:val="22"/>
        </w:rPr>
        <w:t>Predviđeni porast temperature zraka u 21. stoljeću globalnog je karaktera pri čemu se najveće zatopljenje može očekivati nad kopnom i u visokim zemljopisnim širinama sjeverne hemisfere zimi. Amplituda zatopljenja najmanja je nad oceanima na južnoj hemisferi. Dugoročna mjerenja površinske temperature zraka ukazuju da u cijeloj Hrvatskoj temperature zraka rastu te će se trendovi porasta temperature nastaviti.</w:t>
      </w:r>
    </w:p>
    <w:p>
      <w:pPr>
        <w:pStyle w:val="Normal"/>
        <w:spacing w:before="120" w:after="120"/>
        <w:rPr>
          <w:color w:val="auto"/>
          <w:szCs w:val="22"/>
        </w:rPr>
      </w:pPr>
      <w:r>
        <w:rPr/>
        <w:drawing>
          <wp:inline distT="0" distB="0" distL="0" distR="0">
            <wp:extent cx="5759450" cy="3531235"/>
            <wp:effectExtent l="0" t="0" r="0" b="0"/>
            <wp:docPr id="146" name="Slika 1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Slika 111" descr="Slika na kojoj se prikazuje tekst&#10;&#10;Opis je automatski generiran"/>
                    <pic:cNvPicPr>
                      <a:picLocks noChangeAspect="1" noChangeArrowheads="1"/>
                    </pic:cNvPicPr>
                  </pic:nvPicPr>
                  <pic:blipFill>
                    <a:blip r:embed="rId129"/>
                    <a:stretch>
                      <a:fillRect/>
                    </a:stretch>
                  </pic:blipFill>
                  <pic:spPr bwMode="auto">
                    <a:xfrm>
                      <a:off x="0" y="0"/>
                      <a:ext cx="5759450" cy="3531235"/>
                    </a:xfrm>
                    <a:prstGeom prst="rect">
                      <a:avLst/>
                    </a:prstGeom>
                  </pic:spPr>
                </pic:pic>
              </a:graphicData>
            </a:graphic>
          </wp:inline>
        </w:drawing>
      </w:r>
    </w:p>
    <w:p>
      <w:pPr>
        <w:pStyle w:val="Normal"/>
        <w:keepNext w:val="true"/>
        <w:spacing w:lineRule="auto" w:line="240" w:before="120" w:after="0"/>
        <w:jc w:val="center"/>
        <w:rPr>
          <w:b/>
          <w:b/>
          <w:i/>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sz w:val="20"/>
          <w:i/>
          <w:b/>
          <w:szCs w:val="18"/>
          <w:color w:val="54883D"/>
          <w:lang w:bidi="en-US"/>
        </w:rPr>
        <w:instrText> SEQ Slika \* ARABIC </w:instrText>
      </w:r>
      <w:r>
        <w:rPr>
          <w:sz w:val="20"/>
          <w:i/>
          <w:b/>
          <w:szCs w:val="18"/>
          <w:color w:val="54883D"/>
          <w:lang w:bidi="en-US"/>
        </w:rPr>
        <w:fldChar w:fldCharType="separate"/>
      </w:r>
      <w:r>
        <w:rPr>
          <w:sz w:val="20"/>
          <w:i/>
          <w:b/>
          <w:szCs w:val="18"/>
          <w:color w:val="54883D"/>
          <w:lang w:bidi="en-US"/>
        </w:rPr>
        <w:t>21</w:t>
      </w:r>
      <w:r>
        <w:rPr>
          <w:sz w:val="20"/>
          <w:i/>
          <w:b/>
          <w:szCs w:val="18"/>
          <w:color w:val="54883D"/>
          <w:lang w:bidi="en-US"/>
        </w:rPr>
        <w:fldChar w:fldCharType="end"/>
      </w:r>
      <w:r>
        <w:rPr>
          <w:b/>
          <w:i/>
          <w:color w:val="54883D"/>
          <w:sz w:val="20"/>
          <w:szCs w:val="18"/>
          <w:lang w:bidi="en-US"/>
        </w:rPr>
        <w:t xml:space="preserve">. </w:t>
      </w:r>
      <w:r>
        <w:rPr>
          <w:b/>
          <w:i/>
          <w:color w:val="54883D"/>
          <w:sz w:val="20"/>
          <w:szCs w:val="18"/>
        </w:rPr>
        <w:t xml:space="preserve">Srednje godišnje zagrijavanje (promjena prizemne temperature zraka u °C) iz simulacija više modela prema B1 (gore), A1B (sredina) i A2 (dolje) scenarijima za tri razdoblja: 2011. - 2030. (lijevo), 2046. - 2065. (sredina) i 2080. - 2099. (desno). Zagrijavanje je izračunato u odnosu na razdoblje 1980. - 1999. </w:t>
      </w:r>
    </w:p>
    <w:p>
      <w:pPr>
        <w:pStyle w:val="Normal"/>
        <w:jc w:val="center"/>
        <w:rPr>
          <w:bCs/>
          <w:i/>
          <w:i/>
          <w:color w:val="54883D"/>
          <w:sz w:val="20"/>
          <w:szCs w:val="18"/>
        </w:rPr>
      </w:pPr>
      <w:r>
        <w:rPr>
          <w:bCs/>
          <w:i/>
          <w:color w:val="54883D"/>
          <w:sz w:val="20"/>
          <w:szCs w:val="18"/>
        </w:rPr>
        <w:t>Izvor: DHMZ</w:t>
      </w:r>
    </w:p>
    <w:p>
      <w:pPr>
        <w:pStyle w:val="Normal"/>
        <w:spacing w:before="120" w:after="120"/>
        <w:rPr>
          <w:i/>
          <w:i/>
          <w:color w:val="auto"/>
          <w:szCs w:val="22"/>
          <w:u w:val="single"/>
        </w:rPr>
      </w:pPr>
      <w:r>
        <w:rPr>
          <w:i/>
          <w:color w:val="auto"/>
          <w:szCs w:val="22"/>
          <w:u w:val="single"/>
        </w:rPr>
        <w:t>Rezultati globalnog klimatskog modela ECHAM5/MPI-OM za područje Europe</w:t>
      </w:r>
      <w:r>
        <w:rPr>
          <w:rStyle w:val="Sidrofusnote"/>
          <w:i/>
          <w:color w:val="auto"/>
          <w:szCs w:val="22"/>
          <w:u w:val="single"/>
          <w:vertAlign w:val="superscript"/>
        </w:rPr>
        <w:footnoteReference w:id="4"/>
      </w:r>
    </w:p>
    <w:p>
      <w:pPr>
        <w:pStyle w:val="Normal"/>
        <w:spacing w:before="120" w:after="120"/>
        <w:rPr>
          <w:color w:val="auto"/>
          <w:szCs w:val="22"/>
        </w:rPr>
      </w:pPr>
      <w:r>
        <w:rPr>
          <w:color w:val="auto"/>
          <w:szCs w:val="22"/>
        </w:rPr>
        <w:t>U Državnom hidrometeorološkom zavodu (DHMZ) analizirani su rezultati združenog globalnog klimatskog modela ECHAM5/MPI-OM nad područjem Europe. Ovaj model je razvijen u Max Planck institutu u Hamburgu u Njemačkoj i uključen je u posljednje izvješće Međuvladinog panela za klimatske promjene.</w:t>
      </w:r>
    </w:p>
    <w:p>
      <w:pPr>
        <w:pStyle w:val="Normal"/>
        <w:spacing w:before="120" w:after="120"/>
        <w:rPr>
          <w:color w:val="auto"/>
          <w:szCs w:val="22"/>
        </w:rPr>
      </w:pPr>
      <w:r>
        <w:rPr>
          <w:color w:val="auto"/>
          <w:szCs w:val="22"/>
        </w:rPr>
        <w:t>Integracije ECHAM5/MPI-OM modela sastoje se od 3 člana ansambla koji se međusobno razlikuju u definiciji početnih uvjeta te obuhvaćaju razdoblje 1860. - 2000. u kojem koncentracije plinova staklenika odgovaraju izmjerenim vrijednostima. U budućoj klimi globalni model integriran je prema nekoliko scenarija emisije plinova staklenika, a u DHMZ-u su korišteni rezultati modela dobiveni prema A2 scenariju koji je jedan od najnepovoljnijih scenarija za okoliš. Rezultati modela za A2 scenarij obuhvaćaju razdoblje 2001. - 2100. i također su dostupni za 3 realizacije koje se nastavljaju na simulacije modelom do 2001. godine.</w:t>
      </w:r>
    </w:p>
    <w:p>
      <w:pPr>
        <w:pStyle w:val="Normal"/>
        <w:spacing w:before="120" w:after="0"/>
        <w:rPr>
          <w:color w:val="auto"/>
          <w:szCs w:val="22"/>
        </w:rPr>
      </w:pPr>
      <w:r>
        <w:rPr>
          <w:color w:val="auto"/>
          <w:szCs w:val="22"/>
        </w:rPr>
        <w:t>Prema rezultatima ovog modela za područje Europe sredinom 21. stoljeća (2041. - 2070.) očekuje se porast prizemne temperature zraka u odnosu na temperaturu u klimi 20. stoljeća (1961. - 1990.). Zimi (prosinac - veljača) je predviđeno zatopljenje najveće u sjeveroistočnoj Europi (više od 3 °C), dok je ljeti (lipanj - kolovoz) područje najvećeg porasta prizemne temperature zraka južna Europa gdje na Pirinejskom poluotoku temperature mogu biti više i za 4 °C.</w:t>
      </w:r>
    </w:p>
    <w:p>
      <w:pPr>
        <w:pStyle w:val="Normal"/>
        <w:spacing w:before="120" w:after="120"/>
        <w:jc w:val="center"/>
        <w:rPr>
          <w:color w:val="auto"/>
          <w:szCs w:val="22"/>
        </w:rPr>
      </w:pPr>
      <w:r>
        <w:rPr/>
        <w:drawing>
          <wp:inline distT="0" distB="0" distL="0" distR="0">
            <wp:extent cx="5270500" cy="2334260"/>
            <wp:effectExtent l="0" t="0" r="0" b="0"/>
            <wp:docPr id="147" name="Slika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Slika 112" descr=""/>
                    <pic:cNvPicPr>
                      <a:picLocks noChangeAspect="1" noChangeArrowheads="1"/>
                    </pic:cNvPicPr>
                  </pic:nvPicPr>
                  <pic:blipFill>
                    <a:blip r:embed="rId130"/>
                    <a:stretch>
                      <a:fillRect/>
                    </a:stretch>
                  </pic:blipFill>
                  <pic:spPr bwMode="auto">
                    <a:xfrm>
                      <a:off x="0" y="0"/>
                      <a:ext cx="5270500" cy="2334260"/>
                    </a:xfrm>
                    <a:prstGeom prst="rect">
                      <a:avLst/>
                    </a:prstGeom>
                  </pic:spPr>
                </pic:pic>
              </a:graphicData>
            </a:graphic>
          </wp:inline>
        </w:drawing>
      </w:r>
    </w:p>
    <w:p>
      <w:pPr>
        <w:pStyle w:val="Normal"/>
        <w:keepNext w:val="true"/>
        <w:spacing w:lineRule="auto" w:line="240" w:before="120" w:after="0"/>
        <w:jc w:val="center"/>
        <w:rPr>
          <w:b/>
          <w:b/>
          <w:i/>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sz w:val="20"/>
          <w:i/>
          <w:b/>
          <w:szCs w:val="18"/>
          <w:color w:val="54883D"/>
          <w:lang w:bidi="en-US"/>
        </w:rPr>
        <w:instrText> SEQ Slika \* ARABIC </w:instrText>
      </w:r>
      <w:r>
        <w:rPr>
          <w:sz w:val="20"/>
          <w:i/>
          <w:b/>
          <w:szCs w:val="18"/>
          <w:color w:val="54883D"/>
          <w:lang w:bidi="en-US"/>
        </w:rPr>
        <w:fldChar w:fldCharType="separate"/>
      </w:r>
      <w:r>
        <w:rPr>
          <w:sz w:val="20"/>
          <w:i/>
          <w:b/>
          <w:szCs w:val="18"/>
          <w:color w:val="54883D"/>
          <w:lang w:bidi="en-US"/>
        </w:rPr>
        <w:t>22</w:t>
      </w:r>
      <w:r>
        <w:rPr>
          <w:sz w:val="20"/>
          <w:i/>
          <w:b/>
          <w:szCs w:val="18"/>
          <w:color w:val="54883D"/>
          <w:lang w:bidi="en-US"/>
        </w:rPr>
        <w:fldChar w:fldCharType="end"/>
      </w:r>
      <w:r>
        <w:rPr>
          <w:b/>
          <w:i/>
          <w:color w:val="54883D"/>
          <w:sz w:val="20"/>
          <w:szCs w:val="18"/>
          <w:lang w:bidi="en-US"/>
        </w:rPr>
        <w:t xml:space="preserve">. </w:t>
      </w:r>
      <w:r>
        <w:rPr>
          <w:b/>
          <w:i/>
          <w:color w:val="54883D"/>
          <w:sz w:val="20"/>
          <w:szCs w:val="18"/>
        </w:rPr>
        <w:t>Promjena prizemne temperature zraka (u °C) u Europi u razdoblju 2041-2070. u odnosu na razdoblje 1961. - 1990. prema rezultatima srednjaka ansambla globalnog klimatskog modela ECHAM5/MPI-OM za A2 scenarij emisije plinova staklenika za zimu (lijevo) i ljeto (desno)</w:t>
      </w:r>
    </w:p>
    <w:p>
      <w:pPr>
        <w:pStyle w:val="Normal"/>
        <w:jc w:val="center"/>
        <w:rPr>
          <w:bCs/>
          <w:color w:val="54883D"/>
          <w:sz w:val="20"/>
          <w:szCs w:val="18"/>
        </w:rPr>
      </w:pPr>
      <w:r>
        <w:rPr>
          <w:bCs/>
          <w:color w:val="54883D"/>
          <w:sz w:val="20"/>
          <w:szCs w:val="18"/>
        </w:rPr>
        <w:t>Izvor: DHMZ</w:t>
      </w:r>
    </w:p>
    <w:p>
      <w:pPr>
        <w:pStyle w:val="Normal"/>
        <w:spacing w:before="120" w:after="120"/>
        <w:rPr>
          <w:i/>
          <w:i/>
          <w:color w:val="auto"/>
          <w:szCs w:val="22"/>
          <w:u w:val="single"/>
        </w:rPr>
      </w:pPr>
      <w:r>
        <w:rPr>
          <w:i/>
          <w:color w:val="auto"/>
          <w:szCs w:val="22"/>
          <w:u w:val="single"/>
        </w:rPr>
        <w:t>Projicirane promjene prizemne temperature zraka i oborine u Hrvatskoj</w:t>
      </w:r>
    </w:p>
    <w:p>
      <w:pPr>
        <w:pStyle w:val="Normal"/>
        <w:spacing w:before="120" w:after="0"/>
        <w:rPr>
          <w:color w:val="auto"/>
          <w:szCs w:val="22"/>
        </w:rPr>
      </w:pPr>
      <w:r>
        <w:rPr>
          <w:color w:val="auto"/>
          <w:szCs w:val="22"/>
        </w:rPr>
        <w:t>Klimatske promjene u budućoj klimi na području Hrvatske dobivene simulacijama klime regionalnim klimatskim modelom RegCM prema A2 scenariju analizirane su za dva 30-godišnja razdoblja:</w:t>
      </w:r>
    </w:p>
    <w:p>
      <w:pPr>
        <w:pStyle w:val="Normal"/>
        <w:numPr>
          <w:ilvl w:val="0"/>
          <w:numId w:val="44"/>
        </w:numPr>
        <w:tabs>
          <w:tab w:val="clear" w:pos="708"/>
          <w:tab w:val="left" w:pos="2445" w:leader="none"/>
        </w:tabs>
        <w:spacing w:lineRule="auto" w:line="240" w:before="72" w:after="72"/>
        <w:contextualSpacing/>
        <w:rPr/>
      </w:pPr>
      <w:r>
        <w:rPr/>
        <w:t>Razdoblje od 2011. do 2040. godine predstavlja bližu budućnost i od najvećeg je interesa za korisnike klimatskih informacija u dugoročnom planiranju prilagodbe na klimatske promjene.</w:t>
      </w:r>
    </w:p>
    <w:p>
      <w:pPr>
        <w:pStyle w:val="Normal"/>
        <w:numPr>
          <w:ilvl w:val="0"/>
          <w:numId w:val="44"/>
        </w:numPr>
        <w:tabs>
          <w:tab w:val="clear" w:pos="708"/>
          <w:tab w:val="left" w:pos="2445" w:leader="none"/>
        </w:tabs>
        <w:spacing w:lineRule="auto" w:line="240" w:before="72" w:after="72"/>
        <w:contextualSpacing/>
        <w:rPr/>
      </w:pPr>
      <w:r>
        <w:rPr/>
        <w:t>Razdoblje od 2041. do 2070. godine predstavlja sredinu 21. stoljeća u kojem je prema A2 scenariju predviđen daljnji porast koncentracije ugljikovog dioksida (CO2) u atmosferi te je signal klimatskih promjena jači.</w:t>
      </w:r>
    </w:p>
    <w:p>
      <w:pPr>
        <w:pStyle w:val="Normal"/>
        <w:spacing w:before="120" w:after="120"/>
        <w:rPr>
          <w:i/>
          <w:i/>
          <w:color w:val="auto"/>
          <w:szCs w:val="22"/>
        </w:rPr>
      </w:pPr>
      <w:r>
        <w:rPr>
          <w:i/>
          <w:color w:val="auto"/>
          <w:szCs w:val="22"/>
        </w:rPr>
      </w:r>
    </w:p>
    <w:p>
      <w:pPr>
        <w:pStyle w:val="Normal"/>
        <w:spacing w:before="0" w:after="0"/>
        <w:rPr>
          <w:i/>
          <w:i/>
          <w:color w:val="auto"/>
          <w:szCs w:val="22"/>
          <w:u w:val="single"/>
        </w:rPr>
      </w:pPr>
      <w:r>
        <w:rPr>
          <w:i/>
          <w:color w:val="auto"/>
          <w:szCs w:val="22"/>
          <w:u w:val="single"/>
        </w:rPr>
        <w:t>Projicirane promjene temperature zraka</w:t>
      </w:r>
    </w:p>
    <w:p>
      <w:pPr>
        <w:pStyle w:val="Normal"/>
        <w:spacing w:before="120" w:after="0"/>
        <w:rPr>
          <w:color w:val="auto"/>
          <w:szCs w:val="22"/>
        </w:rPr>
      </w:pPr>
      <w:r>
        <w:rPr>
          <w:color w:val="auto"/>
          <w:szCs w:val="22"/>
        </w:rPr>
        <w:t>Prema rezultatima RegCM-a za područje Hrvatske, srednjak ansambla simulacija upućuje na povećanje temperature zraka u oba razdoblja i u svim sezonama. Amplituda porasta veća je u drugom nego u prvom razdoblju, ali je statistički značajna u oba razdoblja. Povećanje srednje dnevne temperature zraka veće je ljeti (lipanj - kolovoz) nego zimi (prosinac - veljača).</w:t>
      </w:r>
    </w:p>
    <w:p>
      <w:pPr>
        <w:pStyle w:val="Normal"/>
        <w:spacing w:before="0" w:after="0"/>
        <w:rPr>
          <w:color w:val="auto"/>
          <w:szCs w:val="22"/>
        </w:rPr>
      </w:pPr>
      <w:r>
        <w:rPr>
          <w:color w:val="auto"/>
          <w:szCs w:val="22"/>
        </w:rPr>
      </w:r>
    </w:p>
    <w:p>
      <w:pPr>
        <w:pStyle w:val="Normal"/>
        <w:spacing w:before="0" w:after="0"/>
        <w:rPr>
          <w:color w:val="auto"/>
          <w:szCs w:val="22"/>
        </w:rPr>
      </w:pPr>
      <w:r>
        <w:rPr>
          <w:color w:val="auto"/>
          <w:szCs w:val="22"/>
        </w:rPr>
        <w:t xml:space="preserve">U </w:t>
      </w:r>
      <w:r>
        <w:rPr>
          <w:color w:val="auto"/>
          <w:szCs w:val="22"/>
          <w:u w:val="single"/>
        </w:rPr>
        <w:t>prvom razdoblju buduće klime</w:t>
      </w:r>
      <w:r>
        <w:rPr>
          <w:color w:val="auto"/>
          <w:szCs w:val="22"/>
        </w:rPr>
        <w:t xml:space="preserve"> (2011. - 2040.) na području Hrvatske zimi se očekuje porast temperature do 0,6 °C, a ljeti do 1 °C.</w:t>
      </w:r>
    </w:p>
    <w:p>
      <w:pPr>
        <w:pStyle w:val="Normal"/>
        <w:spacing w:before="120" w:after="120"/>
        <w:jc w:val="center"/>
        <w:rPr>
          <w:color w:val="auto"/>
          <w:szCs w:val="22"/>
        </w:rPr>
      </w:pPr>
      <w:r>
        <w:rPr/>
        <w:drawing>
          <wp:inline distT="0" distB="0" distL="0" distR="0">
            <wp:extent cx="5124450" cy="2598420"/>
            <wp:effectExtent l="0" t="0" r="0" b="0"/>
            <wp:docPr id="148" name="Slika 1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Slika 113" descr="Slika na kojoj se prikazuje karta&#10;&#10;Opis je automatski generiran"/>
                    <pic:cNvPicPr>
                      <a:picLocks noChangeAspect="1" noChangeArrowheads="1"/>
                    </pic:cNvPicPr>
                  </pic:nvPicPr>
                  <pic:blipFill>
                    <a:blip r:embed="rId131"/>
                    <a:srcRect l="0" t="2878" r="0" b="0"/>
                    <a:stretch>
                      <a:fillRect/>
                    </a:stretch>
                  </pic:blipFill>
                  <pic:spPr bwMode="auto">
                    <a:xfrm>
                      <a:off x="0" y="0"/>
                      <a:ext cx="5124450" cy="2598420"/>
                    </a:xfrm>
                    <a:prstGeom prst="rect">
                      <a:avLst/>
                    </a:prstGeom>
                  </pic:spPr>
                </pic:pic>
              </a:graphicData>
            </a:graphic>
          </wp:inline>
        </w:drawing>
      </w:r>
    </w:p>
    <w:p>
      <w:pPr>
        <w:pStyle w:val="Normal"/>
        <w:keepNext w:val="true"/>
        <w:spacing w:lineRule="auto" w:line="240" w:before="120" w:after="0"/>
        <w:jc w:val="center"/>
        <w:rPr>
          <w:b/>
          <w:b/>
          <w:i/>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sz w:val="20"/>
          <w:i/>
          <w:b/>
          <w:szCs w:val="18"/>
          <w:color w:val="54883D"/>
          <w:lang w:bidi="en-US"/>
        </w:rPr>
        <w:instrText> SEQ Slika \* ARABIC </w:instrText>
      </w:r>
      <w:r>
        <w:rPr>
          <w:sz w:val="20"/>
          <w:i/>
          <w:b/>
          <w:szCs w:val="18"/>
          <w:color w:val="54883D"/>
          <w:lang w:bidi="en-US"/>
        </w:rPr>
        <w:fldChar w:fldCharType="separate"/>
      </w:r>
      <w:r>
        <w:rPr>
          <w:sz w:val="20"/>
          <w:i/>
          <w:b/>
          <w:szCs w:val="18"/>
          <w:color w:val="54883D"/>
          <w:lang w:bidi="en-US"/>
        </w:rPr>
        <w:t>23</w:t>
      </w:r>
      <w:r>
        <w:rPr>
          <w:sz w:val="20"/>
          <w:i/>
          <w:b/>
          <w:szCs w:val="18"/>
          <w:color w:val="54883D"/>
          <w:lang w:bidi="en-US"/>
        </w:rPr>
        <w:fldChar w:fldCharType="end"/>
      </w:r>
      <w:r>
        <w:rPr>
          <w:b/>
          <w:i/>
          <w:color w:val="54883D"/>
          <w:sz w:val="20"/>
          <w:szCs w:val="18"/>
          <w:lang w:bidi="en-US"/>
        </w:rPr>
        <w:t xml:space="preserve">. </w:t>
      </w:r>
      <w:r>
        <w:rPr>
          <w:b/>
          <w:i/>
          <w:color w:val="54883D"/>
          <w:sz w:val="20"/>
          <w:szCs w:val="18"/>
        </w:rPr>
        <w:t>Promjena prizemne temperature zraka (u °C) u Hrvatskoj u razdoblju 2011. - 2040. u odnosu na razdoblje 1961. - 1990. prema rezultatima srednjaka ansambla regionalnog klimatskog modela RegCM za A2 scenarij emisije plinova staklenika za zimu (lijevo) i ljeto (desno)</w:t>
      </w:r>
    </w:p>
    <w:p>
      <w:pPr>
        <w:pStyle w:val="Normal"/>
        <w:spacing w:before="80" w:after="0"/>
        <w:jc w:val="center"/>
        <w:rPr>
          <w:bCs/>
          <w:color w:val="54883D"/>
          <w:sz w:val="20"/>
          <w:szCs w:val="18"/>
        </w:rPr>
      </w:pPr>
      <w:r>
        <w:rPr>
          <w:bCs/>
          <w:color w:val="54883D"/>
          <w:sz w:val="20"/>
          <w:szCs w:val="18"/>
        </w:rPr>
        <w:t>Izvor: DHMZ</w:t>
      </w:r>
    </w:p>
    <w:p>
      <w:pPr>
        <w:pStyle w:val="Normal"/>
        <w:spacing w:before="120" w:after="120"/>
        <w:rPr>
          <w:color w:val="auto"/>
          <w:szCs w:val="22"/>
        </w:rPr>
      </w:pPr>
      <w:r>
        <w:rPr>
          <w:color w:val="auto"/>
          <w:szCs w:val="22"/>
        </w:rPr>
      </w:r>
    </w:p>
    <w:p>
      <w:pPr>
        <w:pStyle w:val="Normal"/>
        <w:spacing w:before="120" w:after="120"/>
        <w:rPr>
          <w:color w:val="auto"/>
          <w:szCs w:val="22"/>
        </w:rPr>
      </w:pPr>
      <w:r>
        <w:rPr>
          <w:color w:val="auto"/>
          <w:szCs w:val="22"/>
        </w:rPr>
        <w:t xml:space="preserve">U </w:t>
      </w:r>
      <w:r>
        <w:rPr>
          <w:color w:val="auto"/>
          <w:szCs w:val="22"/>
          <w:u w:val="single"/>
        </w:rPr>
        <w:t>drugom razdoblju buduće klime</w:t>
      </w:r>
      <w:r>
        <w:rPr>
          <w:color w:val="auto"/>
          <w:szCs w:val="22"/>
        </w:rPr>
        <w:t xml:space="preserve"> (2041. - 2070.) očekivana amplituda porasta u Hrvatskoj zimi iznosi do 2 °C u kontinentalnom dijelu i do 1,6 °C na jugu, a ljeti do 2,4 °C u kontinentalnom dijelu Hrvatske, odnosno do 3 °C u priobalnom pojasu.</w:t>
      </w:r>
    </w:p>
    <w:p>
      <w:pPr>
        <w:pStyle w:val="Normal"/>
        <w:spacing w:before="120" w:after="120"/>
        <w:jc w:val="center"/>
        <w:rPr>
          <w:color w:val="auto"/>
          <w:szCs w:val="22"/>
        </w:rPr>
      </w:pPr>
      <w:r>
        <w:rPr/>
        <w:drawing>
          <wp:inline distT="0" distB="0" distL="0" distR="0">
            <wp:extent cx="4865370" cy="2489835"/>
            <wp:effectExtent l="0" t="0" r="0" b="0"/>
            <wp:docPr id="149" name="Slika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Slika 114" descr=""/>
                    <pic:cNvPicPr>
                      <a:picLocks noChangeAspect="1" noChangeArrowheads="1"/>
                    </pic:cNvPicPr>
                  </pic:nvPicPr>
                  <pic:blipFill>
                    <a:blip r:embed="rId132"/>
                    <a:srcRect l="0" t="2562" r="0" b="0"/>
                    <a:stretch>
                      <a:fillRect/>
                    </a:stretch>
                  </pic:blipFill>
                  <pic:spPr bwMode="auto">
                    <a:xfrm>
                      <a:off x="0" y="0"/>
                      <a:ext cx="4865370" cy="2489835"/>
                    </a:xfrm>
                    <a:prstGeom prst="rect">
                      <a:avLst/>
                    </a:prstGeom>
                  </pic:spPr>
                </pic:pic>
              </a:graphicData>
            </a:graphic>
          </wp:inline>
        </w:drawing>
      </w:r>
    </w:p>
    <w:p>
      <w:pPr>
        <w:pStyle w:val="Normal"/>
        <w:keepNext w:val="true"/>
        <w:spacing w:lineRule="auto" w:line="240" w:before="120" w:after="120"/>
        <w:jc w:val="center"/>
        <w:rPr>
          <w:b/>
          <w:b/>
          <w:i/>
          <w:i/>
          <w:color w:val="54883D"/>
          <w:sz w:val="20"/>
          <w:szCs w:val="18"/>
          <w:lang w:bidi="en-US"/>
        </w:rPr>
      </w:pPr>
      <w:r>
        <w:rPr>
          <w:b/>
          <w:i/>
          <w:color w:val="54883D"/>
          <w:sz w:val="20"/>
          <w:szCs w:val="18"/>
          <w:lang w:bidi="en-US"/>
        </w:rPr>
        <w:t xml:space="preserve">Slika </w:t>
      </w:r>
      <w:r>
        <w:rPr>
          <w:b/>
          <w:i/>
          <w:color w:val="54883D"/>
          <w:sz w:val="20"/>
          <w:szCs w:val="18"/>
          <w:lang w:bidi="en-US"/>
        </w:rPr>
        <w:fldChar w:fldCharType="begin"/>
      </w:r>
      <w:r>
        <w:rPr>
          <w:sz w:val="20"/>
          <w:i/>
          <w:b/>
          <w:szCs w:val="18"/>
          <w:color w:val="54883D"/>
          <w:lang w:bidi="en-US"/>
        </w:rPr>
        <w:instrText> SEQ Slika \* ARABIC </w:instrText>
      </w:r>
      <w:r>
        <w:rPr>
          <w:sz w:val="20"/>
          <w:i/>
          <w:b/>
          <w:szCs w:val="18"/>
          <w:color w:val="54883D"/>
          <w:lang w:bidi="en-US"/>
        </w:rPr>
        <w:fldChar w:fldCharType="separate"/>
      </w:r>
      <w:r>
        <w:rPr>
          <w:sz w:val="20"/>
          <w:i/>
          <w:b/>
          <w:szCs w:val="18"/>
          <w:color w:val="54883D"/>
          <w:lang w:bidi="en-US"/>
        </w:rPr>
        <w:t>24</w:t>
      </w:r>
      <w:r>
        <w:rPr>
          <w:sz w:val="20"/>
          <w:i/>
          <w:b/>
          <w:szCs w:val="18"/>
          <w:color w:val="54883D"/>
          <w:lang w:bidi="en-US"/>
        </w:rPr>
        <w:fldChar w:fldCharType="end"/>
      </w:r>
      <w:r>
        <w:rPr>
          <w:b/>
          <w:i/>
          <w:color w:val="54883D"/>
          <w:sz w:val="20"/>
          <w:szCs w:val="18"/>
          <w:lang w:bidi="en-US"/>
        </w:rPr>
        <w:t xml:space="preserve">. </w:t>
      </w:r>
      <w:r>
        <w:rPr>
          <w:b/>
          <w:i/>
          <w:color w:val="54883D"/>
          <w:sz w:val="20"/>
          <w:szCs w:val="18"/>
        </w:rPr>
        <w:t>Promjena prizemne temperature zraka (u °C) u Hrvatskoj u razdoblju 2041. - 2070. u odnosu na razdoblje 1961. - 1990. prema rezultatima srednjaka ansambla regionalnog klimatskog modela RegCM za A2 scenarij emisije plinova staklenika za zimu (lijevo) i ljeto (desno)</w:t>
      </w:r>
    </w:p>
    <w:p>
      <w:pPr>
        <w:pStyle w:val="Normal"/>
        <w:jc w:val="center"/>
        <w:rPr>
          <w:bCs/>
          <w:color w:val="54883D"/>
          <w:sz w:val="20"/>
          <w:szCs w:val="18"/>
        </w:rPr>
      </w:pPr>
      <w:r>
        <w:rPr>
          <w:bCs/>
          <w:color w:val="54883D"/>
          <w:sz w:val="20"/>
          <w:szCs w:val="18"/>
        </w:rPr>
        <w:t>Izvor: DHMZ</w:t>
      </w:r>
    </w:p>
    <w:p>
      <w:pPr>
        <w:pStyle w:val="Normal"/>
        <w:rPr/>
      </w:pPr>
      <w:r>
        <w:rPr/>
      </w:r>
    </w:p>
    <w:p>
      <w:pPr>
        <w:pStyle w:val="Normal"/>
        <w:rPr>
          <w:color w:val="000000"/>
        </w:rPr>
      </w:pPr>
      <w:r>
        <w:rPr>
          <w:color w:val="000000"/>
        </w:rPr>
      </w:r>
    </w:p>
    <w:p>
      <w:pPr>
        <w:pStyle w:val="Stilnaslova3"/>
        <w:numPr>
          <w:ilvl w:val="2"/>
          <w:numId w:val="2"/>
        </w:numPr>
        <w:ind w:left="709" w:hanging="721"/>
        <w:rPr/>
      </w:pPr>
      <w:bookmarkStart w:id="286" w:name="_Toc486103592"/>
      <w:bookmarkStart w:id="287" w:name="_Toc498355562"/>
      <w:bookmarkStart w:id="288" w:name="_Toc99955735"/>
      <w:bookmarkStart w:id="289" w:name="_Toc116990183"/>
      <w:r>
        <w:rPr/>
        <w:t>Uzrok</w:t>
      </w:r>
      <w:bookmarkEnd w:id="286"/>
      <w:bookmarkEnd w:id="287"/>
      <w:bookmarkEnd w:id="288"/>
      <w:bookmarkEnd w:id="289"/>
    </w:p>
    <w:p>
      <w:pPr>
        <w:pStyle w:val="Normal"/>
        <w:rPr>
          <w:b/>
          <w:b/>
          <w:u w:val="single"/>
          <w:lang w:bidi="en-US"/>
        </w:rPr>
      </w:pPr>
      <w:r>
        <w:rPr>
          <w:b/>
          <w:u w:val="single"/>
          <w:lang w:bidi="en-US"/>
        </w:rPr>
        <w:t>RAZVOJ DOGAĐAJA KOJI JE PRETHODIO VELIKOJ NESREĆI</w:t>
      </w:r>
    </w:p>
    <w:p>
      <w:pPr>
        <w:pStyle w:val="Normal"/>
        <w:rPr>
          <w:lang w:bidi="en-US"/>
        </w:rPr>
      </w:pPr>
      <w:r>
        <w:rPr>
          <w:lang w:bidi="en-US"/>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w:t>
      </w:r>
    </w:p>
    <w:p>
      <w:pPr>
        <w:pStyle w:val="Normal"/>
        <w:rPr>
          <w:lang w:bidi="en-US"/>
        </w:rPr>
      </w:pPr>
      <w:r>
        <w:rPr>
          <w:lang w:bidi="en-US"/>
        </w:rPr>
      </w:r>
    </w:p>
    <w:p>
      <w:pPr>
        <w:pStyle w:val="Normal"/>
        <w:rPr>
          <w:b/>
          <w:b/>
          <w:u w:val="single"/>
          <w:lang w:bidi="en-US"/>
        </w:rPr>
      </w:pPr>
      <w:r>
        <w:rPr>
          <w:b/>
          <w:u w:val="single"/>
          <w:lang w:bidi="en-US"/>
        </w:rPr>
        <w:t>OKIDAČ KOJI JE UZROKOVAO VELIKU NESREĆU</w:t>
      </w:r>
    </w:p>
    <w:p>
      <w:pPr>
        <w:pStyle w:val="Normal"/>
        <w:rPr>
          <w:sz w:val="23"/>
          <w:szCs w:val="23"/>
        </w:rPr>
      </w:pPr>
      <w:r>
        <w:rPr>
          <w:sz w:val="23"/>
          <w:szCs w:val="23"/>
        </w:rPr>
        <w:t>Toplinski val je prirodna pojava uzrokovana klimatskim promjenama, nastaje naglo bez prethodnih najava.</w:t>
      </w:r>
      <w:r>
        <w:rPr/>
        <w:t xml:space="preserve"> </w:t>
      </w:r>
      <w:r>
        <w:rPr>
          <w:sz w:val="23"/>
          <w:szCs w:val="23"/>
        </w:rPr>
        <w:t>Toplina može biti okidač za uzrok mnogih zdravstvenih stanja i izazvati umor, srčani udar ili konfuziju, inzult te pogoršati postojeće stanje kod kroničnih bolesnika.</w:t>
      </w:r>
    </w:p>
    <w:p>
      <w:pPr>
        <w:pStyle w:val="Normal"/>
        <w:rPr>
          <w:sz w:val="23"/>
          <w:szCs w:val="23"/>
          <w:highlight w:val="yellow"/>
        </w:rPr>
      </w:pPr>
      <w:r>
        <w:rPr>
          <w:sz w:val="23"/>
          <w:szCs w:val="23"/>
          <w:highlight w:val="yellow"/>
        </w:rPr>
      </w:r>
    </w:p>
    <w:p>
      <w:pPr>
        <w:pStyle w:val="Stilnaslova3"/>
        <w:numPr>
          <w:ilvl w:val="2"/>
          <w:numId w:val="2"/>
        </w:numPr>
        <w:ind w:left="709" w:hanging="721"/>
        <w:rPr/>
      </w:pPr>
      <w:bookmarkStart w:id="290" w:name="_Toc99955736"/>
      <w:bookmarkStart w:id="291" w:name="_Toc116990184"/>
      <w:r>
        <w:rPr/>
        <w:t>Događaj s najgorim mogućim posljedicama</w:t>
      </w:r>
      <w:bookmarkEnd w:id="290"/>
      <w:bookmarkEnd w:id="291"/>
    </w:p>
    <w:p>
      <w:pPr>
        <w:pStyle w:val="Normal"/>
        <w:rPr>
          <w:lang w:bidi="en-US"/>
        </w:rPr>
      </w:pPr>
      <w:r>
        <w:rPr>
          <w:lang w:bidi="en-US"/>
        </w:rPr>
        <w:t xml:space="preserve">Pojava toplinskog vala zahvatila je područje Grada Buje, a temperatura iznosi 38°C. </w:t>
      </w:r>
    </w:p>
    <w:p>
      <w:pPr>
        <w:pStyle w:val="Normal"/>
        <w:rPr>
          <w:lang w:bidi="en-US"/>
        </w:rPr>
      </w:pPr>
      <w:r>
        <w:rPr>
          <w:lang w:bidi="en-US"/>
        </w:rPr>
        <w:t>Na temelju egzaktnih podataka mjerenih u Državnom hidrometeorološkom zavodu godišnje ima oko 13 umjerenih, 9 jakih i 5-6 ekstremnih toplinskih valova.</w:t>
      </w:r>
    </w:p>
    <w:p>
      <w:pPr>
        <w:pStyle w:val="Normal"/>
        <w:rPr>
          <w:color w:val="auto"/>
          <w:lang w:bidi="en-US"/>
        </w:rPr>
      </w:pPr>
      <w:r>
        <w:rPr>
          <w:color w:val="auto"/>
          <w:lang w:bidi="en-US"/>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p>
      <w:pPr>
        <w:pStyle w:val="Normal"/>
        <w:rPr>
          <w:color w:val="auto"/>
          <w:sz w:val="23"/>
          <w:szCs w:val="23"/>
        </w:rPr>
      </w:pPr>
      <w:r>
        <w:rPr>
          <w:color w:val="auto"/>
          <w:sz w:val="23"/>
          <w:szCs w:val="23"/>
        </w:rPr>
        <w:t>Mala djeca od 0 do 6 godina starosti jako su osjetljiva na dehidraciju i stariji iznad 60 godina života kod kojih je smanjena kompenzatorna kardio-vaskularna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pPr>
        <w:pStyle w:val="Normal"/>
        <w:rPr>
          <w:color w:val="auto"/>
          <w:sz w:val="23"/>
          <w:szCs w:val="23"/>
        </w:rPr>
      </w:pPr>
      <w:r>
        <w:rPr>
          <w:color w:val="auto"/>
          <w:sz w:val="23"/>
          <w:szCs w:val="23"/>
        </w:rPr>
        <w:t>Starost i bolest su u korelaciji što je dob viša povećan je broj bolesti, invalidnosti, uzimanja lijekova i smanjena je kondicija. Ovi učinci stavljaju starije osobe u viši rizik tijekom ekstremnih toplotnih uvjeta koji dovode do višeg pobola i smrtnosti.</w:t>
      </w:r>
    </w:p>
    <w:p>
      <w:pPr>
        <w:pStyle w:val="Normal"/>
        <w:rPr>
          <w:color w:val="auto"/>
          <w:lang w:bidi="en-US"/>
        </w:rPr>
      </w:pPr>
      <w:r>
        <w:rPr>
          <w:color w:val="auto"/>
          <w:lang w:bidi="en-US"/>
        </w:rPr>
        <w:t>Radnik na otvorenom bez adekvatne opskrbe tekućinom i dovoljno odmora svih 8 sati vrlo teškog rada izložen jakom i direktnom sunčevom svjetlu na kritičnoj temperaturi zraka &gt;30</w:t>
      </w:r>
      <w:r>
        <w:rPr>
          <w:color w:val="auto"/>
          <w:vertAlign w:val="superscript"/>
          <w:lang w:bidi="en-US"/>
        </w:rPr>
        <w:t>o</w:t>
      </w:r>
      <w:r>
        <w:rPr>
          <w:color w:val="auto"/>
          <w:lang w:bidi="en-US"/>
        </w:rPr>
        <w:t>C u opasnosti je od toplinskog stresa. Za analizu uvjeta rada na otvorenom, pri visokim temperaturama, upotrebljava se humidity index – HI mjerenjem temperature i vlage. Ako je izmjerena temperatura zraka 31°C pri relativnoj vlazi od 65% Humidex iznosi 42°C. Mogući su simptomi toplinskog stresa i obavezno je uzimanje dodatnih količina vode te radnika treba uputiti liječniku. Za rad na direktnom suncu se dodaje 1 do 2°C (ovisno o stupnju naoblake).</w:t>
      </w:r>
    </w:p>
    <w:p>
      <w:pPr>
        <w:pStyle w:val="Normal"/>
        <w:rPr>
          <w:rStyle w:val="IntenseEmphasis"/>
          <w:i w:val="false"/>
          <w:i w:val="false"/>
          <w:iCs w:val="false"/>
          <w:color w:val="auto"/>
          <w:lang w:bidi="en-US"/>
        </w:rPr>
      </w:pPr>
      <w:r>
        <w:rPr>
          <w:color w:val="auto"/>
          <w:lang w:bidi="en-US"/>
        </w:rPr>
        <w:t>U Gradu Buje najugroženijim poslovima na otvorenom smatraju se poslovi ugostiteljstva, prijevoz, građevinarstva te poljoprivreda, šumarstvo i ribarstvo.</w:t>
      </w:r>
    </w:p>
    <w:p>
      <w:pPr>
        <w:pStyle w:val="Normal"/>
        <w:rPr>
          <w:rStyle w:val="IntenseEmphasis"/>
          <w:b/>
          <w:b/>
          <w:i w:val="false"/>
          <w:i w:val="false"/>
          <w:color w:val="000000" w:themeColor="text1"/>
          <w:u w:val="single"/>
        </w:rPr>
      </w:pPr>
      <w:r>
        <w:rPr>
          <w:rStyle w:val="IntenseEmphasis"/>
          <w:b/>
          <w:i w:val="false"/>
          <w:color w:val="000000" w:themeColor="text1"/>
          <w:u w:val="single"/>
        </w:rPr>
        <w:t>Posljedice</w:t>
      </w:r>
    </w:p>
    <w:p>
      <w:pPr>
        <w:pStyle w:val="Normal"/>
        <w:rPr/>
      </w:pPr>
      <w:r>
        <w:rPr/>
        <w:t>Sposobnost sustava zdravstvene zaštite u Gradu Buje za odgovor na ukupnost krize koju toplinski val kao izvanredna okolnost može izazvati, čine zdravstveni kapaciteti u Gradu:</w:t>
      </w:r>
    </w:p>
    <w:p>
      <w:pPr>
        <w:pStyle w:val="ListParagraph"/>
        <w:numPr>
          <w:ilvl w:val="0"/>
          <w:numId w:val="50"/>
        </w:numPr>
        <w:rPr/>
      </w:pPr>
      <w:r>
        <w:rPr/>
        <w:t>Zavod za javno zdravstvo Istarske županije, Ispostava Buje,</w:t>
      </w:r>
    </w:p>
    <w:p>
      <w:pPr>
        <w:pStyle w:val="ListParagraph"/>
        <w:numPr>
          <w:ilvl w:val="0"/>
          <w:numId w:val="50"/>
        </w:numPr>
        <w:rPr/>
      </w:pPr>
      <w:r>
        <w:rPr/>
        <w:t>Istarski domovi zdravlja, Ispostava Buje,</w:t>
      </w:r>
    </w:p>
    <w:p>
      <w:pPr>
        <w:pStyle w:val="ListParagraph"/>
        <w:numPr>
          <w:ilvl w:val="0"/>
          <w:numId w:val="50"/>
        </w:numPr>
        <w:rPr/>
      </w:pPr>
      <w:r>
        <w:rPr/>
        <w:t>Zavod za hitnu medicinu Istarske županije, Ispostava Umag,</w:t>
      </w:r>
    </w:p>
    <w:p>
      <w:pPr>
        <w:pStyle w:val="ListParagraph"/>
        <w:numPr>
          <w:ilvl w:val="0"/>
          <w:numId w:val="50"/>
        </w:numPr>
        <w:rPr/>
      </w:pPr>
      <w:r>
        <w:rPr/>
        <w:t>1 ordinacija obiteljske medicine na području Grada,</w:t>
      </w:r>
    </w:p>
    <w:p>
      <w:pPr>
        <w:pStyle w:val="ListParagraph"/>
        <w:numPr>
          <w:ilvl w:val="0"/>
          <w:numId w:val="50"/>
        </w:numPr>
        <w:rPr/>
      </w:pPr>
      <w:r>
        <w:rPr/>
        <w:t>3 ordinacija dentalne medicine na području Grada,</w:t>
      </w:r>
    </w:p>
    <w:p>
      <w:pPr>
        <w:pStyle w:val="ListParagraph"/>
        <w:numPr>
          <w:ilvl w:val="0"/>
          <w:numId w:val="50"/>
        </w:numPr>
        <w:rPr/>
      </w:pPr>
      <w:r>
        <w:rPr/>
        <w:t>Ljekarna.</w:t>
      </w:r>
    </w:p>
    <w:p>
      <w:pPr>
        <w:pStyle w:val="Normal"/>
        <w:tabs>
          <w:tab w:val="clear" w:pos="708"/>
          <w:tab w:val="left" w:pos="1410" w:leader="none"/>
        </w:tabs>
        <w:spacing w:before="120" w:after="120"/>
        <w:rPr>
          <w:rFonts w:eastAsia="" w:eastAsiaTheme="minorEastAsia"/>
          <w:color w:val="auto"/>
          <w:szCs w:val="22"/>
          <w:lang w:eastAsia="hr-HR"/>
        </w:rPr>
      </w:pPr>
      <w:r>
        <w:rPr>
          <w:rFonts w:eastAsia="" w:eastAsiaTheme="minorEastAsia"/>
          <w:color w:val="auto"/>
          <w:szCs w:val="22"/>
          <w:lang w:eastAsia="hr-HR"/>
        </w:rPr>
      </w:r>
    </w:p>
    <w:p>
      <w:pPr>
        <w:pStyle w:val="Normal"/>
        <w:tabs>
          <w:tab w:val="clear" w:pos="708"/>
          <w:tab w:val="left" w:pos="1410" w:leader="none"/>
        </w:tabs>
        <w:spacing w:before="120" w:after="120"/>
        <w:rPr>
          <w:rFonts w:eastAsia="" w:eastAsiaTheme="minorEastAsia"/>
          <w:color w:val="auto"/>
          <w:szCs w:val="22"/>
          <w:lang w:eastAsia="hr-HR"/>
        </w:rPr>
      </w:pPr>
      <w:r>
        <w:rPr>
          <w:rFonts w:eastAsia="" w:eastAsiaTheme="minorEastAsia"/>
          <w:color w:val="auto"/>
          <w:szCs w:val="22"/>
          <w:lang w:eastAsia="hr-HR"/>
        </w:rPr>
        <w:t>Kod pojave toplinskog vala povećanje intervencija je dnevno za 20%. Budući da scenarij pretpostavlja pojavu toplinskog vala za vrijeme turističke sezone kada je broj osoba na području Grada uvećan za jedan puta, broj intervencija biti će veći do 30%. Pružanje hitne medicinske pomoći u vrijeme toplinskog vala ovisi o raspoloživim timovima Zavoda za hitnu medicinu Istarske županije, Ispostave Umag.</w:t>
      </w:r>
    </w:p>
    <w:p>
      <w:pPr>
        <w:pStyle w:val="Normal"/>
        <w:rPr/>
      </w:pPr>
      <w:r>
        <w:rPr/>
      </w:r>
    </w:p>
    <w:p>
      <w:pPr>
        <w:pStyle w:val="Normal"/>
        <w:rPr>
          <w:i/>
          <w:i/>
          <w:color w:val="40883D"/>
        </w:rPr>
      </w:pPr>
      <w:r>
        <w:rPr>
          <w:i/>
          <w:color w:val="40883D"/>
        </w:rPr>
        <w:t>Život i zdravlje ljudi</w:t>
      </w:r>
    </w:p>
    <w:p>
      <w:pPr>
        <w:pStyle w:val="Normal"/>
        <w:rPr>
          <w:szCs w:val="22"/>
        </w:rPr>
      </w:pPr>
      <w:r>
        <w:rPr>
          <w:szCs w:val="22"/>
        </w:rPr>
        <w:t>U slučaju toplinskog vala predviđa se veće obolijevanje stanovništva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 Moguće je očekivati male posljedice na život i zdravlje ljudi.</w:t>
      </w:r>
    </w:p>
    <w:p>
      <w:pPr>
        <w:pStyle w:val="Caption"/>
        <w:rPr/>
      </w:pPr>
      <w:r>
        <w:rPr/>
        <w:t xml:space="preserve">Tablica </w:t>
      </w:r>
      <w:r>
        <w:rPr/>
        <w:fldChar w:fldCharType="begin"/>
      </w:r>
      <w:r>
        <w:rPr/>
        <w:instrText> SEQ Tabela \* ARABIC </w:instrText>
      </w:r>
      <w:r>
        <w:rPr/>
        <w:fldChar w:fldCharType="separate"/>
      </w:r>
      <w:r>
        <w:rPr/>
        <w:t>48</w:t>
      </w:r>
      <w:r>
        <w:rPr/>
        <w:fldChar w:fldCharType="end"/>
      </w:r>
      <w:r>
        <w:rPr/>
        <w:t>. Vrijednost kriterija za posljedice na život i zdravlje ljudi po kategorijama – ekstremne temperature</w:t>
      </w:r>
    </w:p>
    <w:tbl>
      <w:tblPr>
        <w:tblStyle w:val="ivopisnatablicareetke6-isticanje31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792"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45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BROJ UGROŽENIH OSOBA %</w:t>
            </w:r>
          </w:p>
        </w:tc>
        <w:tc>
          <w:tcPr>
            <w:tcW w:w="216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79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45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21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u w:val="single"/>
        </w:rPr>
      </w:pPr>
      <w:r>
        <w:rPr>
          <w:u w:val="single"/>
        </w:rPr>
      </w:r>
    </w:p>
    <w:p>
      <w:pPr>
        <w:pStyle w:val="Normal"/>
        <w:rPr>
          <w:i/>
          <w:i/>
          <w:color w:val="40883D"/>
        </w:rPr>
      </w:pPr>
      <w:r>
        <w:rPr>
          <w:i/>
          <w:color w:val="40883D"/>
        </w:rPr>
        <w:t>Gospodarstvo</w:t>
      </w:r>
    </w:p>
    <w:p>
      <w:pPr>
        <w:pStyle w:val="Normal"/>
        <w:spacing w:before="120" w:after="120"/>
        <w:rPr>
          <w:color w:val="auto"/>
          <w:szCs w:val="23"/>
        </w:rPr>
      </w:pPr>
      <w:r>
        <w:rPr>
          <w:color w:val="auto"/>
          <w:szCs w:val="23"/>
        </w:rPr>
        <w:t>Tijekom toplinskog vala povećan je prijem u hitne medicinske službe. U ovom slučaju izražena je i povećana potrošnja električne energije i vode. Moguća veća opterećenja elektroinstalacija i potrošnje vode neće dovesti do obustave isporuke električne energije ili vode, već će se uputiti zamolba stanovništvu na potrebu štednje.</w:t>
      </w:r>
    </w:p>
    <w:p>
      <w:pPr>
        <w:pStyle w:val="Normal"/>
        <w:rPr/>
      </w:pPr>
      <w:r>
        <w:rPr/>
      </w:r>
    </w:p>
    <w:p>
      <w:pPr>
        <w:pStyle w:val="Caption"/>
        <w:rPr>
          <w:rStyle w:val="IntenseEmphasis"/>
          <w:i w:val="false"/>
          <w:i w:val="false"/>
          <w:color w:val="54883D"/>
        </w:rPr>
      </w:pPr>
      <w:r>
        <w:rPr/>
        <w:t xml:space="preserve">Tablica </w:t>
      </w:r>
      <w:r>
        <w:rPr/>
        <w:fldChar w:fldCharType="begin"/>
      </w:r>
      <w:r>
        <w:rPr/>
        <w:instrText> SEQ Tabela \* ARABIC </w:instrText>
      </w:r>
      <w:r>
        <w:rPr/>
        <w:fldChar w:fldCharType="separate"/>
      </w:r>
      <w:r>
        <w:rPr/>
        <w:t>49</w:t>
      </w:r>
      <w:r>
        <w:rPr/>
        <w:fldChar w:fldCharType="end"/>
      </w:r>
      <w:r>
        <w:rPr/>
        <w:t xml:space="preserve">. </w:t>
      </w:r>
      <w:r>
        <w:rPr>
          <w:rStyle w:val="IntenseEmphasis"/>
          <w:color w:val="54883D"/>
        </w:rPr>
        <w:t>Vrijednost kriterija za posljedice na gospodarstvo po kategorijama – ekstremne temperature</w:t>
      </w:r>
    </w:p>
    <w:tbl>
      <w:tblPr>
        <w:tblStyle w:val="ivopisnatablicareetke6-isticanje328"/>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highlight w:val="yellow"/>
          <w:u w:val="single"/>
        </w:rPr>
      </w:pPr>
      <w:r>
        <w:rPr>
          <w:highlight w:val="yellow"/>
          <w:u w:val="single"/>
        </w:rPr>
      </w:r>
    </w:p>
    <w:p>
      <w:pPr>
        <w:pStyle w:val="Normal"/>
        <w:rPr>
          <w:i/>
          <w:i/>
          <w:color w:val="40883D"/>
        </w:rPr>
      </w:pPr>
      <w:r>
        <w:rPr>
          <w:i/>
          <w:color w:val="40883D"/>
        </w:rPr>
        <w:t>Društvena stabilnost i politika</w:t>
      </w:r>
    </w:p>
    <w:p>
      <w:pPr>
        <w:pStyle w:val="Normal"/>
        <w:rPr>
          <w:rFonts w:eastAsia="Calibri" w:eastAsiaTheme="minorHAnsi"/>
          <w:b/>
          <w:b/>
          <w:u w:val="single"/>
        </w:rPr>
      </w:pPr>
      <w:r>
        <w:rPr>
          <w:rFonts w:eastAsia="Calibri" w:eastAsiaTheme="minorHAnsi"/>
          <w:b/>
          <w:u w:val="single"/>
        </w:rPr>
        <w:t>Posljedice po kritičnu infrastrukturu:</w:t>
      </w:r>
    </w:p>
    <w:p>
      <w:pPr>
        <w:pStyle w:val="Normal"/>
        <w:spacing w:before="80" w:after="0"/>
        <w:rPr>
          <w:rStyle w:val="IntenseEmphasis"/>
          <w:color w:val="54883D"/>
        </w:rPr>
      </w:pPr>
      <w:r>
        <w:rPr>
          <w:color w:val="54883D"/>
        </w:rPr>
      </w:r>
    </w:p>
    <w:p>
      <w:pPr>
        <w:pStyle w:val="Normal"/>
        <w:spacing w:before="80" w:after="0"/>
        <w:rPr>
          <w:rStyle w:val="IntenseEmphasis"/>
          <w:color w:val="54883D"/>
        </w:rPr>
      </w:pPr>
      <w:r>
        <w:rPr>
          <w:rStyle w:val="IntenseEmphasis"/>
          <w:color w:val="54883D"/>
        </w:rPr>
        <w:t>Javne službe</w:t>
      </w:r>
    </w:p>
    <w:p>
      <w:pPr>
        <w:pStyle w:val="Normal"/>
        <w:spacing w:before="120" w:after="120"/>
        <w:rPr>
          <w:color w:val="auto"/>
          <w:szCs w:val="23"/>
        </w:rPr>
      </w:pPr>
      <w:r>
        <w:rPr>
          <w:color w:val="auto"/>
          <w:szCs w:val="23"/>
        </w:rPr>
        <w:t>Zbog velikog broja turista može doći do opterećenosti medicinskih službi. Potrebno je naglasiti da je postojeća organizacija hitne medicinske službe i ostalih službi zdravstva na području Grada Buje - Buie na visokoj razini.</w:t>
      </w:r>
    </w:p>
    <w:p>
      <w:pPr>
        <w:pStyle w:val="Normal"/>
        <w:spacing w:before="120" w:after="120"/>
        <w:rPr>
          <w:color w:val="auto"/>
          <w:szCs w:val="23"/>
        </w:rPr>
      </w:pPr>
      <w:r>
        <w:rPr>
          <w:color w:val="auto"/>
          <w:szCs w:val="23"/>
        </w:rPr>
        <w:t>Ne očekuju se znatnija oštećenja ostale kritične infrastrukture, štete/gubici na građevinama od javnog društvenog značaja, kao niti dulji prekid u radu kritičnih infrastruktura.</w:t>
      </w:r>
    </w:p>
    <w:p>
      <w:pPr>
        <w:pStyle w:val="Normal"/>
        <w:spacing w:before="80" w:after="0"/>
        <w:rPr>
          <w:rStyle w:val="IntenseEmphasis"/>
          <w:i w:val="false"/>
          <w:i w:val="false"/>
          <w:color w:val="54883D"/>
        </w:rPr>
      </w:pPr>
      <w:r>
        <w:rPr>
          <w:i w:val="false"/>
          <w:color w:val="54883D"/>
        </w:rPr>
      </w:r>
    </w:p>
    <w:p>
      <w:pPr>
        <w:pStyle w:val="Caption"/>
        <w:rPr/>
      </w:pPr>
      <w:r>
        <w:rPr/>
        <w:t xml:space="preserve">Tablica </w:t>
      </w:r>
      <w:r>
        <w:rPr/>
        <w:fldChar w:fldCharType="begin"/>
      </w:r>
      <w:r>
        <w:rPr/>
        <w:instrText> SEQ Tabela \* ARABIC </w:instrText>
      </w:r>
      <w:r>
        <w:rPr/>
        <w:fldChar w:fldCharType="separate"/>
      </w:r>
      <w:r>
        <w:rPr/>
        <w:t>50</w:t>
      </w:r>
      <w:r>
        <w:rPr/>
        <w:fldChar w:fldCharType="end"/>
      </w:r>
      <w:r>
        <w:rPr/>
        <w:t>. Vrijednost kriterija za posljedice na društvenu stabilnost i politiku - oštećena kritična infrastruktura</w:t>
      </w:r>
    </w:p>
    <w:tbl>
      <w:tblPr>
        <w:tblStyle w:val="ivopisnatablicareetke6-isticanje329"/>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rFonts w:eastAsia="Calibri" w:eastAsiaTheme="minorHAnsi"/>
          <w:b/>
          <w:b/>
          <w:highlight w:val="yellow"/>
          <w:u w:val="single"/>
        </w:rPr>
      </w:pPr>
      <w:r>
        <w:rPr>
          <w:rFonts w:eastAsia="Calibri" w:eastAsiaTheme="minorHAnsi"/>
          <w:b/>
          <w:highlight w:val="yellow"/>
          <w:u w:val="single"/>
        </w:rPr>
      </w:r>
    </w:p>
    <w:p>
      <w:pPr>
        <w:pStyle w:val="Normal"/>
        <w:rPr>
          <w:rFonts w:eastAsia="Calibri" w:eastAsiaTheme="minorHAnsi"/>
          <w:b/>
          <w:b/>
          <w:u w:val="single"/>
        </w:rPr>
      </w:pPr>
      <w:r>
        <w:rPr>
          <w:rFonts w:eastAsia="Calibri" w:eastAsiaTheme="minorHAnsi"/>
          <w:b/>
          <w:u w:val="single"/>
        </w:rPr>
        <w:t>Posljedice po građevine javnog društvenog značaja:</w:t>
      </w:r>
    </w:p>
    <w:p>
      <w:pPr>
        <w:pStyle w:val="Normal"/>
        <w:spacing w:before="80" w:after="0"/>
        <w:rPr>
          <w:i/>
          <w:i/>
          <w:color w:val="auto"/>
          <w:szCs w:val="20"/>
        </w:rPr>
      </w:pPr>
      <w:r>
        <w:rPr>
          <w:rStyle w:val="IntenseEmphasis"/>
          <w:i w:val="false"/>
          <w:color w:val="auto"/>
        </w:rPr>
        <w:t>Ne očekuju se posljedice na građevinama javnog društvenog značaja.</w:t>
      </w:r>
    </w:p>
    <w:p>
      <w:pPr>
        <w:pStyle w:val="Caption"/>
        <w:rPr/>
      </w:pPr>
      <w:r>
        <w:rPr/>
      </w:r>
    </w:p>
    <w:p>
      <w:pPr>
        <w:pStyle w:val="Caption"/>
        <w:rPr/>
      </w:pPr>
      <w:r>
        <w:rPr/>
      </w:r>
    </w:p>
    <w:p>
      <w:pPr>
        <w:pStyle w:val="Caption"/>
        <w:rPr/>
      </w:pPr>
      <w:r>
        <w:rPr/>
        <w:t xml:space="preserve">Tablica </w:t>
      </w:r>
      <w:r>
        <w:rPr/>
        <w:fldChar w:fldCharType="begin"/>
      </w:r>
      <w:r>
        <w:rPr/>
        <w:instrText> SEQ Tabela \* ARABIC </w:instrText>
      </w:r>
      <w:r>
        <w:rPr/>
        <w:fldChar w:fldCharType="separate"/>
      </w:r>
      <w:r>
        <w:rPr/>
        <w:t>51</w:t>
      </w:r>
      <w:r>
        <w:rPr/>
        <w:fldChar w:fldCharType="end"/>
      </w:r>
      <w:r>
        <w:rPr/>
        <w:t>. Vrijednost kriterija za posljedice na društvenu stabilnost i politiku - štete/gubitci na ustanovama/građevinama javnog društvenog značaja – ekstremne temperature</w:t>
      </w:r>
    </w:p>
    <w:tbl>
      <w:tblPr>
        <w:tblStyle w:val="ivopisnatablicareetke6-isticanje3210"/>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t>x</w:t>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Caption"/>
        <w:rPr>
          <w:highlight w:val="yellow"/>
        </w:rPr>
      </w:pPr>
      <w:r>
        <w:rPr>
          <w:highlight w:val="yellow"/>
        </w:rPr>
      </w:r>
    </w:p>
    <w:p>
      <w:pPr>
        <w:pStyle w:val="Caption"/>
        <w:rPr/>
      </w:pPr>
      <w:r>
        <w:rPr/>
        <w:t xml:space="preserve">Tablica </w:t>
      </w:r>
      <w:r>
        <w:rPr/>
        <w:fldChar w:fldCharType="begin"/>
      </w:r>
      <w:r>
        <w:rPr/>
        <w:instrText> SEQ Tabela \* ARABIC </w:instrText>
      </w:r>
      <w:r>
        <w:rPr/>
        <w:fldChar w:fldCharType="separate"/>
      </w:r>
      <w:r>
        <w:rPr/>
        <w:t>52</w:t>
      </w:r>
      <w:r>
        <w:rPr/>
        <w:fldChar w:fldCharType="end"/>
      </w:r>
      <w:r>
        <w:rPr/>
        <w:t>. Vrijednost kriterija za društvenu stabilnost i politiku- zbirno – ekstremne temperature</w:t>
      </w:r>
    </w:p>
    <w:tbl>
      <w:tblPr>
        <w:tblStyle w:val="GridTable6Colorful-Accent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82"/>
        <w:gridCol w:w="2415"/>
        <w:gridCol w:w="3243"/>
        <w:gridCol w:w="1629"/>
      </w:tblGrid>
      <w:tr>
        <w:trPr>
          <w:cnfStyle w:val="100000000000" w:firstRow="1" w:lastRow="0" w:firstColumn="0" w:lastColumn="0" w:oddVBand="0" w:evenVBand="0" w:oddHBand="0"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rPr>
                <w:sz w:val="20"/>
              </w:rPr>
            </w:pPr>
            <w:r>
              <w:rPr>
                <w:b/>
                <w:bCs/>
                <w:color w:val="76923C" w:themeColor="accent3" w:themeShade="bf"/>
                <w:sz w:val="20"/>
              </w:rPr>
              <w:t>KATEGORIJA</w:t>
            </w:r>
          </w:p>
        </w:tc>
        <w:tc>
          <w:tcPr>
            <w:tcW w:w="2415"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KRITIČNA INFRASTRUKTURA</w:t>
            </w:r>
          </w:p>
        </w:tc>
        <w:tc>
          <w:tcPr>
            <w:tcW w:w="3243"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USTANOVE/GRAĐEVINE JAVNOG DRUŠTVENOG ZNAČAJA</w:t>
            </w:r>
          </w:p>
        </w:tc>
        <w:tc>
          <w:tcPr>
            <w:tcW w:w="16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themeColor="accent3" w:themeShade="bf"/>
                <w:sz w:val="20"/>
              </w:rPr>
              <w:t>1.</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themeColor="accent3" w:themeShade="bf"/>
                <w:sz w:val="20"/>
              </w:rPr>
              <w:t>2.</w:t>
            </w:r>
          </w:p>
        </w:tc>
        <w:tc>
          <w:tcPr>
            <w:tcW w:w="241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b/>
                <w:b/>
                <w:sz w:val="20"/>
              </w:rPr>
            </w:pPr>
            <w:r>
              <w:rPr>
                <w:b/>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themeColor="accent3" w:themeShade="bf"/>
                <w:sz w:val="20"/>
              </w:rPr>
              <w:t>3.</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themeColor="accent3" w:themeShade="bf"/>
                <w:sz w:val="20"/>
              </w:rPr>
              <w:t>4.</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782"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rPr>
                <w:sz w:val="20"/>
              </w:rPr>
            </w:pPr>
            <w:r>
              <w:rPr>
                <w:b/>
                <w:bCs/>
                <w:color w:val="76923C" w:themeColor="accent3" w:themeShade="bf"/>
                <w:sz w:val="20"/>
              </w:rPr>
              <w:t>5.</w:t>
            </w:r>
          </w:p>
        </w:tc>
        <w:tc>
          <w:tcPr>
            <w:tcW w:w="241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324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6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bl>
    <w:p>
      <w:pPr>
        <w:pStyle w:val="Normal"/>
        <w:rPr>
          <w:rStyle w:val="IntenseEmphasis"/>
          <w:color w:val="54883D"/>
          <w:highlight w:val="yellow"/>
        </w:rPr>
      </w:pPr>
      <w:r>
        <w:rPr>
          <w:color w:val="54883D"/>
          <w:highlight w:val="yellow"/>
        </w:rPr>
      </w:r>
    </w:p>
    <w:p>
      <w:pPr>
        <w:pStyle w:val="Normal"/>
        <w:rPr>
          <w:rStyle w:val="IntenseEmphasis"/>
          <w:color w:val="54883D"/>
        </w:rPr>
      </w:pPr>
      <w:r>
        <w:rPr>
          <w:rStyle w:val="IntenseEmphasis"/>
          <w:color w:val="54883D"/>
        </w:rPr>
        <w:t>Vjerojatnost događaja</w:t>
      </w:r>
    </w:p>
    <w:p>
      <w:pPr>
        <w:pStyle w:val="Normal"/>
        <w:rPr>
          <w:szCs w:val="22"/>
        </w:rPr>
      </w:pPr>
      <w:r>
        <w:rPr>
          <w:szCs w:val="22"/>
        </w:rPr>
        <w:t>Višegodišnji temperaturni trendovi koje prati Državni hidrometeorološki zavod za klimatska područja u Republici Hrvatskoj ukazuju na vrlo veliki rizik od ekstremno visokih temperatura.</w:t>
      </w:r>
    </w:p>
    <w:p>
      <w:pPr>
        <w:pStyle w:val="Caption"/>
        <w:rPr/>
      </w:pPr>
      <w:r>
        <w:rPr/>
        <w:t xml:space="preserve">Tablica </w:t>
      </w:r>
      <w:r>
        <w:rPr/>
        <w:fldChar w:fldCharType="begin"/>
      </w:r>
      <w:r>
        <w:rPr/>
        <w:instrText> SEQ Tabela \* ARABIC </w:instrText>
      </w:r>
      <w:r>
        <w:rPr/>
        <w:fldChar w:fldCharType="separate"/>
      </w:r>
      <w:r>
        <w:rPr/>
        <w:t>53</w:t>
      </w:r>
      <w:r>
        <w:rPr/>
        <w:fldChar w:fldCharType="end"/>
      </w:r>
      <w:r>
        <w:rPr/>
        <w:t>. Vjerojatnost / frekvencija – ekstremne temperature</w:t>
      </w:r>
    </w:p>
    <w:tbl>
      <w:tblPr>
        <w:tblStyle w:val="GridTable6Colorful-Accent31"/>
        <w:tblW w:w="5000" w:type="pct"/>
        <w:jc w:val="left"/>
        <w:tblInd w:w="0" w:type="dxa"/>
        <w:tblCellMar>
          <w:top w:w="0" w:type="dxa"/>
          <w:left w:w="108" w:type="dxa"/>
          <w:bottom w:w="0" w:type="dxa"/>
          <w:right w:w="108" w:type="dxa"/>
        </w:tblCellMar>
        <w:tblLook w:firstRow="1" w:noVBand="1" w:lastRow="0" w:firstColumn="1" w:lastColumn="0" w:noHBand="0" w:val="04a0"/>
      </w:tblPr>
      <w:tblGrid>
        <w:gridCol w:w="1529"/>
        <w:gridCol w:w="1696"/>
        <w:gridCol w:w="1829"/>
        <w:gridCol w:w="2620"/>
        <w:gridCol w:w="1396"/>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vAlign w:val="center"/>
          </w:tcPr>
          <w:p>
            <w:pPr>
              <w:pStyle w:val="Normal"/>
              <w:spacing w:lineRule="auto" w:line="240" w:before="80" w:after="0"/>
              <w:jc w:val="center"/>
              <w:rPr>
                <w:sz w:val="20"/>
                <w:szCs w:val="20"/>
              </w:rPr>
            </w:pPr>
            <w:r>
              <w:rPr>
                <w:b/>
                <w:bCs/>
                <w:color w:val="76923C" w:themeColor="accent3" w:themeShade="bf"/>
                <w:sz w:val="20"/>
                <w:szCs w:val="20"/>
              </w:rPr>
              <w:t>KATEGORIJA</w:t>
            </w:r>
          </w:p>
        </w:tc>
        <w:tc>
          <w:tcPr>
            <w:tcW w:w="7541" w:type="dxa"/>
            <w:gridSpan w:val="4"/>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VJEROJATNOST / 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rPr>
                <w:b w:val="false"/>
                <w:b w:val="false"/>
                <w:sz w:val="20"/>
                <w:szCs w:val="20"/>
              </w:rPr>
            </w:pPr>
            <w:r>
              <w:rPr>
                <w:b w:val="false"/>
                <w:bCs/>
                <w:color w:val="76923C" w:themeColor="accent3" w:themeShade="bf"/>
                <w:sz w:val="20"/>
                <w:szCs w:val="20"/>
              </w:rPr>
            </w:r>
          </w:p>
        </w:tc>
        <w:tc>
          <w:tcPr>
            <w:tcW w:w="16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29"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620"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396" w:type="dxa"/>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themeColor="accent3" w:themeShade="bf"/>
                <w:sz w:val="20"/>
                <w:szCs w:val="20"/>
              </w:rPr>
              <w:t>1</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themeColor="accent3" w:themeShade="bf"/>
                <w:sz w:val="20"/>
                <w:szCs w:val="20"/>
              </w:rPr>
              <w:t>2</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themeColor="accent3" w:themeShade="bf"/>
                <w:sz w:val="20"/>
                <w:szCs w:val="20"/>
              </w:rPr>
              <w:t>3</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themeColor="accent3" w:themeShade="bf"/>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themeColor="accent3" w:themeShade="bf"/>
                <w:sz w:val="20"/>
                <w:szCs w:val="20"/>
              </w:rPr>
              <w:t>4</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70" w:hRule="atLeast"/>
        </w:trPr>
        <w:tc>
          <w:tcPr>
            <w:tcW w:w="1529"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rPr>
                <w:sz w:val="20"/>
                <w:szCs w:val="20"/>
              </w:rPr>
            </w:pPr>
            <w:r>
              <w:rPr>
                <w:b/>
                <w:bCs/>
                <w:color w:val="76923C" w:themeColor="accent3" w:themeShade="bf"/>
                <w:sz w:val="20"/>
                <w:szCs w:val="20"/>
              </w:rPr>
              <w:t>5</w:t>
            </w:r>
          </w:p>
        </w:tc>
        <w:tc>
          <w:tcPr>
            <w:tcW w:w="16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2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62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39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292" w:name="_Toc99955737"/>
      <w:bookmarkStart w:id="293" w:name="_Toc116990185"/>
      <w:r>
        <w:rPr/>
        <w:t>Podaci, izvori i metode proračuna</w:t>
      </w:r>
      <w:bookmarkEnd w:id="292"/>
      <w:bookmarkEnd w:id="293"/>
    </w:p>
    <w:p>
      <w:pPr>
        <w:pStyle w:val="Normal"/>
        <w:rPr/>
      </w:pPr>
      <w:r>
        <w:rPr/>
        <w:t>Prilikom izračuna zona ugroženosti i procjene rizika korišteni su podaci iz:</w:t>
      </w:r>
    </w:p>
    <w:p>
      <w:pPr>
        <w:pStyle w:val="ListParagraph"/>
        <w:numPr>
          <w:ilvl w:val="0"/>
          <w:numId w:val="5"/>
        </w:numPr>
        <w:rPr/>
      </w:pPr>
      <w:r>
        <w:rPr/>
        <w:t>Procjene ugroženosti stanovništva, materijalnih i kulturnih dobara te okoliša za područje Grada Buja (2015.),</w:t>
      </w:r>
    </w:p>
    <w:p>
      <w:pPr>
        <w:pStyle w:val="ListParagraph"/>
        <w:numPr>
          <w:ilvl w:val="0"/>
          <w:numId w:val="5"/>
        </w:numPr>
        <w:rPr/>
      </w:pPr>
      <w:r>
        <w:rPr/>
        <w:t>Grad Buje,</w:t>
      </w:r>
    </w:p>
    <w:p>
      <w:pPr>
        <w:pStyle w:val="ListParagraph"/>
        <w:numPr>
          <w:ilvl w:val="0"/>
          <w:numId w:val="5"/>
        </w:numPr>
        <w:rPr/>
      </w:pPr>
      <w:r>
        <w:rPr/>
        <w:t xml:space="preserve">Procjena rizika od katastrofa za Republiku Hrvatsku, </w:t>
      </w:r>
    </w:p>
    <w:p>
      <w:pPr>
        <w:pStyle w:val="ListParagraph"/>
        <w:numPr>
          <w:ilvl w:val="0"/>
          <w:numId w:val="5"/>
        </w:numPr>
        <w:rPr/>
      </w:pPr>
      <w:r>
        <w:rPr/>
        <w:t>Državni hidrometeorološki zavod.</w:t>
      </w:r>
    </w:p>
    <w:p>
      <w:pPr>
        <w:pStyle w:val="ListParagraph"/>
        <w:numPr>
          <w:ilvl w:val="0"/>
          <w:numId w:val="5"/>
        </w:numPr>
        <w:rPr/>
      </w:pPr>
      <w:r>
        <w:rPr/>
        <w:t>Popis stanovništva iz 2021. godine</w:t>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3"/>
        <w:numPr>
          <w:ilvl w:val="2"/>
          <w:numId w:val="2"/>
        </w:numPr>
        <w:ind w:left="709" w:hanging="721"/>
        <w:rPr/>
      </w:pPr>
      <w:bookmarkStart w:id="294" w:name="_Toc99955738"/>
      <w:bookmarkStart w:id="295" w:name="_Toc116990186"/>
      <w:r>
        <w:rPr/>
        <w:t>Matrice rizika</w:t>
      </w:r>
      <w:bookmarkEnd w:id="294"/>
      <w:bookmarkEnd w:id="295"/>
    </w:p>
    <w:p>
      <w:pPr>
        <w:pStyle w:val="Normal"/>
        <w:rPr/>
      </w:pPr>
      <w:r>
        <w:rPr/>
        <w:t>Rizik: Ekstremne temperature</w:t>
      </w:r>
    </w:p>
    <w:p>
      <w:pPr>
        <w:pStyle w:val="Normal"/>
        <w:rPr/>
      </w:pPr>
      <w:r>
        <w:rPr/>
        <w:t xml:space="preserve">Naziv scenarija: </w:t>
      </w:r>
      <w:r>
        <w:rPr>
          <w:szCs w:val="20"/>
        </w:rPr>
        <w:t>Pojava toplinskog vala na području Grada Buja</w:t>
      </w:r>
    </w:p>
    <w:p>
      <w:pPr>
        <w:pStyle w:val="Normal"/>
        <w:rPr/>
      </w:pPr>
      <w:r>
        <w:rPr/>
      </w:r>
    </w:p>
    <w:p>
      <w:pPr>
        <w:pStyle w:val="Normal"/>
        <w:jc w:val="center"/>
        <w:rPr/>
      </w:pPr>
      <w:r>
        <w:rPr/>
        <w:drawing>
          <wp:inline distT="0" distB="0" distL="0" distR="0">
            <wp:extent cx="5210175" cy="4443730"/>
            <wp:effectExtent l="0" t="0" r="0" b="0"/>
            <wp:docPr id="151" name="Picture 2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235" descr=""/>
                    <pic:cNvPicPr>
                      <a:picLocks noChangeAspect="1" noChangeArrowheads="1"/>
                    </pic:cNvPicPr>
                  </pic:nvPicPr>
                  <pic:blipFill>
                    <a:blip r:embed="rId133"/>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28" wp14:anchorId="512D461A">
                <wp:simplePos x="0" y="0"/>
                <wp:positionH relativeFrom="column">
                  <wp:posOffset>3856355</wp:posOffset>
                </wp:positionH>
                <wp:positionV relativeFrom="paragraph">
                  <wp:posOffset>2379345</wp:posOffset>
                </wp:positionV>
                <wp:extent cx="315595" cy="254000"/>
                <wp:effectExtent l="19050" t="0" r="28575" b="13970"/>
                <wp:wrapNone/>
                <wp:docPr id="150" name="Hexagon 231"/>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231" fillcolor="#4f81bd" stroked="t" style="position:absolute;margin-left:303.65pt;margin-top:187.35pt;width:24.75pt;height:19.9pt" wp14:anchorId="512D461A" type="shapetype_9">
                <w10:wrap type="none"/>
                <v:fill o:detectmouseclick="t" type="solid" color2="#b07e42"/>
                <v:stroke color="#4f81bd" weight="9360" joinstyle="miter" endcap="flat"/>
              </v:shape>
            </w:pict>
          </mc:Fallback>
        </mc:AlternateContent>
      </w:r>
    </w:p>
    <w:p>
      <w:pPr>
        <w:pStyle w:val="Normal"/>
        <w:jc w:val="center"/>
        <w:rPr>
          <w:b/>
          <w:b/>
          <w:sz w:val="20"/>
        </w:rPr>
      </w:pPr>
      <w:r>
        <w:rPr>
          <w:b/>
          <w:sz w:val="20"/>
        </w:rPr>
        <w:t>Život i zdravlje ljudi</w:t>
        <w:tab/>
        <w:tab/>
        <w:t xml:space="preserve">       Gospodarstvo</w:t>
        <w:tab/>
        <w:t xml:space="preserve">          Društvena stabilnost i politika</w:t>
      </w:r>
    </w:p>
    <w:p>
      <w:pPr>
        <w:pStyle w:val="Normal"/>
        <w:jc w:val="center"/>
        <w:rPr/>
      </w:pPr>
      <w:r>
        <mc:AlternateContent>
          <mc:Choice Requires="wps">
            <w:drawing>
              <wp:anchor behindDoc="0" distT="0" distB="0" distL="0" distR="0" simplePos="0" locked="0" layoutInCell="1" allowOverlap="1" relativeHeight="27" wp14:anchorId="42CBABDB">
                <wp:simplePos x="0" y="0"/>
                <wp:positionH relativeFrom="column">
                  <wp:posOffset>1343025</wp:posOffset>
                </wp:positionH>
                <wp:positionV relativeFrom="paragraph">
                  <wp:posOffset>488315</wp:posOffset>
                </wp:positionV>
                <wp:extent cx="112395" cy="92075"/>
                <wp:effectExtent l="19050" t="0" r="41275" b="23495"/>
                <wp:wrapNone/>
                <wp:docPr id="152" name="Hexagon 233"/>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233" fillcolor="#4f81bd" stroked="t" style="position:absolute;margin-left:105.75pt;margin-top:38.45pt;width:8.75pt;height:7.15pt" wp14:anchorId="42CBABDB"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29" wp14:anchorId="1C3DBB1E">
                <wp:simplePos x="0" y="0"/>
                <wp:positionH relativeFrom="column">
                  <wp:posOffset>3209925</wp:posOffset>
                </wp:positionH>
                <wp:positionV relativeFrom="paragraph">
                  <wp:posOffset>868045</wp:posOffset>
                </wp:positionV>
                <wp:extent cx="112395" cy="92075"/>
                <wp:effectExtent l="19050" t="0" r="41275" b="23495"/>
                <wp:wrapNone/>
                <wp:docPr id="153" name="Hexagon 232"/>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232" fillcolor="#4f81bd" stroked="t" style="position:absolute;margin-left:252.75pt;margin-top:68.35pt;width:8.75pt;height:7.15pt" wp14:anchorId="1C3DBB1E"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30" wp14:anchorId="27BEAB66">
                <wp:simplePos x="0" y="0"/>
                <wp:positionH relativeFrom="column">
                  <wp:posOffset>5123180</wp:posOffset>
                </wp:positionH>
                <wp:positionV relativeFrom="paragraph">
                  <wp:posOffset>1080770</wp:posOffset>
                </wp:positionV>
                <wp:extent cx="112395" cy="92075"/>
                <wp:effectExtent l="19050" t="0" r="41275" b="23495"/>
                <wp:wrapNone/>
                <wp:docPr id="154" name="Hexagon 234"/>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chemeClr val="accent1"/>
                        </a:solidFill>
                        <a:ln w="9360">
                          <a:solidFill>
                            <a:schemeClr val="accent1"/>
                          </a:solidFill>
                          <a:miter/>
                        </a:ln>
                      </wps:spPr>
                      <wps:style>
                        <a:lnRef idx="0"/>
                        <a:fillRef idx="0"/>
                        <a:effectRef idx="0"/>
                        <a:fontRef idx="minor"/>
                      </wps:style>
                      <wps:bodyPr/>
                    </wps:wsp>
                  </a:graphicData>
                </a:graphic>
              </wp:anchor>
            </w:drawing>
          </mc:Choice>
          <mc:Fallback>
            <w:pict>
              <v:shape id="shape_0" ID="Hexagon 234" fillcolor="#4f81bd" stroked="t" style="position:absolute;margin-left:403.4pt;margin-top:85.1pt;width:8.75pt;height:7.15pt" wp14:anchorId="27BEAB66"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155" name="Picture 2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236" descr=""/>
                    <pic:cNvPicPr>
                      <a:picLocks noChangeAspect="1" noChangeArrowheads="1"/>
                    </pic:cNvPicPr>
                  </pic:nvPicPr>
                  <pic:blipFill>
                    <a:blip r:embed="rId134"/>
                    <a:stretch>
                      <a:fillRect/>
                    </a:stretch>
                  </pic:blipFill>
                  <pic:spPr bwMode="auto">
                    <a:xfrm>
                      <a:off x="0" y="0"/>
                      <a:ext cx="1828800" cy="1554480"/>
                    </a:xfrm>
                    <a:prstGeom prst="rect">
                      <a:avLst/>
                    </a:prstGeom>
                  </pic:spPr>
                </pic:pic>
              </a:graphicData>
            </a:graphic>
          </wp:inline>
        </w:drawing>
      </w:r>
      <w:r>
        <w:rPr/>
        <w:drawing>
          <wp:inline distT="0" distB="0" distL="0" distR="0">
            <wp:extent cx="1905000" cy="1619250"/>
            <wp:effectExtent l="0" t="0" r="0" b="0"/>
            <wp:docPr id="156" name="Picture 2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237" descr=""/>
                    <pic:cNvPicPr>
                      <a:picLocks noChangeAspect="1" noChangeArrowheads="1"/>
                    </pic:cNvPicPr>
                  </pic:nvPicPr>
                  <pic:blipFill>
                    <a:blip r:embed="rId135"/>
                    <a:stretch>
                      <a:fillRect/>
                    </a:stretch>
                  </pic:blipFill>
                  <pic:spPr bwMode="auto">
                    <a:xfrm>
                      <a:off x="0" y="0"/>
                      <a:ext cx="1905000" cy="1619250"/>
                    </a:xfrm>
                    <a:prstGeom prst="rect">
                      <a:avLst/>
                    </a:prstGeom>
                  </pic:spPr>
                </pic:pic>
              </a:graphicData>
            </a:graphic>
          </wp:inline>
        </w:drawing>
      </w:r>
      <w:r>
        <w:rPr/>
        <w:drawing>
          <wp:inline distT="0" distB="0" distL="0" distR="0">
            <wp:extent cx="1906270" cy="1620520"/>
            <wp:effectExtent l="0" t="0" r="0" b="0"/>
            <wp:docPr id="157" name="Picture 2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238" descr=""/>
                    <pic:cNvPicPr>
                      <a:picLocks noChangeAspect="1" noChangeArrowheads="1"/>
                    </pic:cNvPicPr>
                  </pic:nvPicPr>
                  <pic:blipFill>
                    <a:blip r:embed="rId136"/>
                    <a:stretch>
                      <a:fillRect/>
                    </a:stretch>
                  </pic:blipFill>
                  <pic:spPr bwMode="auto">
                    <a:xfrm>
                      <a:off x="0" y="0"/>
                      <a:ext cx="1906270" cy="1620520"/>
                    </a:xfrm>
                    <a:prstGeom prst="rect">
                      <a:avLst/>
                    </a:prstGeom>
                  </pic:spPr>
                </pic:pic>
              </a:graphicData>
            </a:graphic>
          </wp:inline>
        </w:drawing>
      </w:r>
    </w:p>
    <w:p>
      <w:pPr>
        <w:pStyle w:val="Normal"/>
        <w:rPr>
          <w:color w:val="FF0000"/>
          <w:lang w:bidi="en-US"/>
        </w:rPr>
      </w:pPr>
      <w:r>
        <w:rPr>
          <w:color w:val="FF0000"/>
          <w:lang w:bidi="en-US"/>
        </w:rPr>
      </w:r>
    </w:p>
    <w:p>
      <w:pPr>
        <w:pStyle w:val="Normal"/>
        <w:rPr>
          <w:color w:val="FF0000"/>
          <w:szCs w:val="22"/>
        </w:rPr>
      </w:pPr>
      <w:r>
        <w:rPr>
          <w:color w:val="FF0000"/>
          <w:szCs w:val="22"/>
        </w:rPr>
      </w:r>
    </w:p>
    <w:p>
      <w:pPr>
        <w:pStyle w:val="Normal"/>
        <w:rPr>
          <w:color w:val="FF0000"/>
          <w:szCs w:val="22"/>
        </w:rPr>
      </w:pPr>
      <w:r>
        <w:rPr>
          <w:color w:val="FF0000"/>
          <w:szCs w:val="22"/>
        </w:rPr>
      </w:r>
    </w:p>
    <w:p>
      <w:pPr>
        <w:pStyle w:val="Normal"/>
        <w:rPr>
          <w:color w:val="FF0000"/>
          <w:szCs w:val="22"/>
        </w:rPr>
      </w:pPr>
      <w:r>
        <w:rPr>
          <w:color w:val="FF0000"/>
          <w:szCs w:val="22"/>
        </w:rPr>
      </w:r>
    </w:p>
    <w:p>
      <w:pPr>
        <w:pStyle w:val="Normal"/>
        <w:keepNext w:val="true"/>
        <w:numPr>
          <w:ilvl w:val="1"/>
          <w:numId w:val="2"/>
        </w:numPr>
        <w:outlineLvl w:val="1"/>
        <w:rPr>
          <w:bCs/>
          <w:color w:val="54883D"/>
          <w:sz w:val="32"/>
        </w:rPr>
      </w:pPr>
      <w:bookmarkStart w:id="296" w:name="_Toc503438843"/>
      <w:bookmarkStart w:id="297" w:name="_Toc99955739"/>
      <w:bookmarkStart w:id="298" w:name="_Toc116990187"/>
      <w:r>
        <w:rPr>
          <w:bCs/>
          <w:color w:val="54883D"/>
          <w:sz w:val="32"/>
        </w:rPr>
        <w:t>Suša</w:t>
      </w:r>
      <w:bookmarkEnd w:id="296"/>
      <w:bookmarkEnd w:id="297"/>
      <w:bookmarkEnd w:id="298"/>
    </w:p>
    <w:p>
      <w:pPr>
        <w:pStyle w:val="Stil1"/>
        <w:numPr>
          <w:ilvl w:val="2"/>
          <w:numId w:val="2"/>
        </w:numPr>
        <w:ind w:left="142" w:hanging="142"/>
        <w:rPr/>
      </w:pPr>
      <w:bookmarkStart w:id="299" w:name="_Toc492284959"/>
      <w:bookmarkStart w:id="300" w:name="_Toc496856115"/>
      <w:bookmarkStart w:id="301" w:name="_Toc503438844"/>
      <w:bookmarkStart w:id="302" w:name="_Toc99955740"/>
      <w:bookmarkStart w:id="303" w:name="_Toc116990188"/>
      <w:r>
        <w:rPr/>
        <w:t>Naziv scenarija</w:t>
      </w:r>
      <w:bookmarkEnd w:id="299"/>
      <w:bookmarkEnd w:id="300"/>
      <w:bookmarkEnd w:id="301"/>
      <w:bookmarkEnd w:id="302"/>
      <w:bookmarkEnd w:id="303"/>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szCs w:val="20"/>
              </w:rPr>
              <w:t>Suša izazvana nedostatkom oborina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Suša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Suša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highlight w:val="yellow"/>
              </w:rPr>
            </w:pPr>
            <w:r>
              <w:rPr>
                <w:b/>
                <w:bCs/>
                <w:color w:val="76923C" w:themeColor="accent3" w:themeShade="bf"/>
                <w:szCs w:val="20"/>
                <w:highlight w:val="yellow"/>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pPr>
      <w:r>
        <w:rPr/>
      </w:r>
    </w:p>
    <w:p>
      <w:pPr>
        <w:pStyle w:val="Stil1"/>
        <w:numPr>
          <w:ilvl w:val="2"/>
          <w:numId w:val="2"/>
        </w:numPr>
        <w:ind w:left="0" w:hanging="0"/>
        <w:rPr/>
      </w:pPr>
      <w:bookmarkStart w:id="304" w:name="_Toc492284960"/>
      <w:bookmarkStart w:id="305" w:name="_Toc496856116"/>
      <w:bookmarkStart w:id="306" w:name="_Toc503438845"/>
      <w:bookmarkStart w:id="307" w:name="_Toc99955741"/>
      <w:bookmarkStart w:id="308" w:name="_Toc116990189"/>
      <w:r>
        <w:rPr/>
        <w:t>Uvod</w:t>
      </w:r>
      <w:bookmarkEnd w:id="304"/>
      <w:bookmarkEnd w:id="305"/>
      <w:bookmarkEnd w:id="306"/>
      <w:bookmarkEnd w:id="307"/>
      <w:bookmarkEnd w:id="308"/>
    </w:p>
    <w:p>
      <w:pPr>
        <w:pStyle w:val="Normal"/>
        <w:rPr/>
      </w:pPr>
      <w:r>
        <w:rPr/>
        <w:t xml:space="preserve">Meteorološka suša ili dulje razdoblje bez oborine može uzrokovati ozbiljne štete u poljodjelstvu i vodoprivredi te u drugim gospodarskim djelatnostima. </w:t>
      </w:r>
    </w:p>
    <w:p>
      <w:pPr>
        <w:pStyle w:val="Normal"/>
        <w:rPr/>
      </w:pPr>
      <w:r>
        <w:rPr/>
        <w:t xml:space="preserve">Suša je često posljedica nailaska i duljeg zadržavanja anticiklone nad nekim područjem, kada uslijedi veća potražnja za vodom od opskrbe. </w:t>
      </w:r>
    </w:p>
    <w:p>
      <w:pPr>
        <w:pStyle w:val="Normal"/>
        <w:rPr/>
      </w:pPr>
      <w:r>
        <w:rPr/>
        <w:t xml:space="preserve">Opskrba vodom je definirana meteorološkim uvjetima, a potražnja uključuje ekosustave i ljudske aktivnosti. Za poljodjelstvo mogu biti opasne suše koje nastanu u vegetacijskom razdoblju, dok ljetne suše na Jadranu pogoduju širenju šumskih požara. </w:t>
      </w:r>
    </w:p>
    <w:p>
      <w:pPr>
        <w:pStyle w:val="Normal"/>
        <w:rPr/>
      </w:pPr>
      <w:r>
        <w:rPr/>
        <w:t>Nedostatak oborina u duljem vremenskom razdoblju može, s određenim faznim pomakom, uzrokovati i hidrološku sušu koja se očituje smanjenjem površinskih i dubinskih zaliha vode. Kako bi se mogla procijeniti ugroženost od suše, analiziraju se dani bez oborine definirani kao dani u kojima nema oborine ili padne manje od 0,1 mm oborine.</w:t>
      </w:r>
    </w:p>
    <w:p>
      <w:pPr>
        <w:pStyle w:val="Normal"/>
        <w:spacing w:before="80" w:after="0"/>
        <w:rPr/>
      </w:pPr>
      <w:r>
        <w:rPr/>
      </w:r>
    </w:p>
    <w:p>
      <w:pPr>
        <w:pStyle w:val="Stil1"/>
        <w:numPr>
          <w:ilvl w:val="2"/>
          <w:numId w:val="2"/>
        </w:numPr>
        <w:ind w:left="0" w:hanging="0"/>
        <w:rPr/>
      </w:pPr>
      <w:bookmarkStart w:id="309" w:name="_Toc492284961"/>
      <w:bookmarkStart w:id="310" w:name="_Toc496856117"/>
      <w:bookmarkStart w:id="311" w:name="_Toc503438846"/>
      <w:bookmarkStart w:id="312" w:name="_Toc99955742"/>
      <w:bookmarkStart w:id="313" w:name="_Toc116990190"/>
      <w:r>
        <w:rPr/>
        <w:t>Prikaz utjecaja na kritičnu infrastrukturu</w:t>
      </w:r>
      <w:bookmarkEnd w:id="309"/>
      <w:bookmarkEnd w:id="310"/>
      <w:bookmarkEnd w:id="311"/>
      <w:bookmarkEnd w:id="312"/>
      <w:bookmarkEnd w:id="313"/>
    </w:p>
    <w:tbl>
      <w:tblPr>
        <w:tblStyle w:val="ivopisnatablicareetke6-isticanje31"/>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color w:val="000000"/>
                <w:sz w:val="20"/>
              </w:rPr>
            </w:pPr>
            <w:r>
              <w:rPr>
                <w:b/>
                <w:bCs/>
                <w:color w:val="000000"/>
                <w:sz w:val="20"/>
              </w:rPr>
              <w:t>UTJECAJ</w:t>
            </w:r>
          </w:p>
        </w:tc>
        <w:tc>
          <w:tcPr>
            <w:tcW w:w="82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rPr>
            </w:pPr>
            <w:r>
              <w:rPr>
                <w:b/>
                <w:bCs/>
                <w:color w:val="000000"/>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vAlign w:val="cente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Energetika (proizvodnja, uključivo akumulacije i brane, prijenos, skladištenje,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komunikacijska i informacijska tehnologija (elektroničke komunikacije, prijenos podataka, informacijski sustavi, pružanje audio i audiovizualnih medijskih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promet (cestovni, željeznički, zračni, pomorski i promet unutarnjim plovnim putovima)</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zdravstvo (zdravstvena zaštita, proizvodnja, promet i nadzor nad lijekovima)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t>x</w:t>
            </w:r>
          </w:p>
        </w:tc>
        <w:tc>
          <w:tcPr>
            <w:tcW w:w="8296" w:type="dxa"/>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t>x</w:t>
            </w:r>
          </w:p>
        </w:tc>
        <w:tc>
          <w:tcPr>
            <w:tcW w:w="8296"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hrana (proizvodnja i opskrba hranom i sustav sigurnosti hrane, robne zalihe)</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financije (bankarstvo, burze, investicije, sustavi osiguranja i plaćanja)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proizvodnja, skladištenje i 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javne službe (osiguranje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rPr>
            </w:pPr>
            <w:r>
              <w:rPr>
                <w:b/>
                <w:bCs/>
                <w:color w:val="000000"/>
                <w:sz w:val="20"/>
              </w:rPr>
            </w:r>
          </w:p>
        </w:tc>
        <w:tc>
          <w:tcPr>
            <w:tcW w:w="8296" w:type="dxa"/>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nacionalni spomenici i vrijednost</w:t>
            </w:r>
          </w:p>
        </w:tc>
      </w:tr>
    </w:tbl>
    <w:p>
      <w:pPr>
        <w:pStyle w:val="Normal"/>
        <w:rPr/>
      </w:pPr>
      <w:r>
        <w:rPr/>
      </w:r>
    </w:p>
    <w:p>
      <w:pPr>
        <w:pStyle w:val="Stil1"/>
        <w:numPr>
          <w:ilvl w:val="2"/>
          <w:numId w:val="2"/>
        </w:numPr>
        <w:tabs>
          <w:tab w:val="clear" w:pos="708"/>
          <w:tab w:val="left" w:pos="0" w:leader="none"/>
        </w:tabs>
        <w:ind w:left="0" w:hanging="0"/>
        <w:rPr/>
      </w:pPr>
      <w:bookmarkStart w:id="314" w:name="_Toc492284962"/>
      <w:bookmarkStart w:id="315" w:name="_Toc496856118"/>
      <w:bookmarkStart w:id="316" w:name="_Toc503438847"/>
      <w:bookmarkStart w:id="317" w:name="_Toc99955743"/>
      <w:bookmarkStart w:id="318" w:name="_Toc116990191"/>
      <w:r>
        <w:rPr/>
        <w:t>Kontekst</w:t>
      </w:r>
      <w:bookmarkEnd w:id="314"/>
      <w:bookmarkEnd w:id="315"/>
      <w:bookmarkEnd w:id="316"/>
      <w:bookmarkEnd w:id="317"/>
      <w:bookmarkEnd w:id="318"/>
    </w:p>
    <w:p>
      <w:pPr>
        <w:pStyle w:val="Normal"/>
        <w:rPr/>
      </w:pPr>
      <w:r>
        <w:rPr/>
        <w:t xml:space="preserve">Za prikaz godišnjeg hoda broja dana bez oborine na području Grada Buje analizirani su podaci s glavne meteorološke postaje Poreč. U </w:t>
      </w:r>
      <w:r>
        <w:rPr>
          <w:color w:val="auto"/>
          <w:highlight w:val="yellow"/>
        </w:rPr>
        <w:t>tablici 68</w:t>
      </w:r>
      <w:r>
        <w:rPr>
          <w:color w:val="auto"/>
        </w:rPr>
        <w:t xml:space="preserve">. prikazani </w:t>
      </w:r>
      <w:r>
        <w:rPr/>
        <w:t xml:space="preserve">su srednji mjesečni i godišnji broj dana bez oborine s pripadnim standardnim devijacijama, te maksimalni i minimalni mjesečni i godišnji broj dana bez oborine u razdoblju 2005.-2013. </w:t>
      </w:r>
    </w:p>
    <w:p>
      <w:pPr>
        <w:pStyle w:val="Normal"/>
        <w:spacing w:before="0" w:after="0"/>
        <w:rPr/>
      </w:pPr>
      <w:r>
        <w:rPr/>
        <w:t>Prema podacima o oborinama, na području Grada bilo je prosječno godišnje 7 dana bez</w:t>
      </w:r>
    </w:p>
    <w:p>
      <w:pPr>
        <w:pStyle w:val="Normal"/>
        <w:spacing w:before="0" w:after="0"/>
        <w:rPr/>
      </w:pPr>
      <w:r>
        <w:rPr/>
        <w:t xml:space="preserve">oborina (dani bez oborine definirani su kao dani u kojima nema oborine ili padne manje od 0.1 mm oborine). Prosječno najviše dana bez oborina imaju mjesec srpanj, kolovoz i rujan mjesečno), dok ih je najmanje u svibnju i studenom. </w:t>
      </w:r>
    </w:p>
    <w:p>
      <w:pPr>
        <w:pStyle w:val="Normal"/>
        <w:spacing w:before="0" w:after="0"/>
        <w:jc w:val="center"/>
        <w:rPr/>
      </w:pPr>
      <w:r>
        <w:rPr/>
      </w:r>
    </w:p>
    <w:p>
      <w:pPr>
        <w:pStyle w:val="Normal"/>
        <w:spacing w:before="0" w:after="160"/>
        <w:jc w:val="center"/>
        <w:rPr>
          <w:b/>
          <w:b/>
          <w:bCs/>
          <w:i/>
          <w:i/>
          <w:color w:val="54883D"/>
          <w:sz w:val="20"/>
          <w:szCs w:val="18"/>
        </w:rPr>
      </w:pPr>
      <w:r>
        <w:rPr>
          <w:b/>
          <w:bCs/>
          <w:i/>
          <w:color w:val="54883D"/>
          <w:sz w:val="20"/>
          <w:szCs w:val="18"/>
        </w:rPr>
        <w:t xml:space="preserve">Tablica </w:t>
      </w:r>
      <w:r>
        <w:rPr>
          <w:b/>
          <w:bCs/>
          <w:i/>
          <w:color w:val="54883D"/>
          <w:sz w:val="20"/>
          <w:szCs w:val="18"/>
        </w:rPr>
        <w:fldChar w:fldCharType="begin"/>
      </w:r>
      <w:r>
        <w:rPr>
          <w:sz w:val="20"/>
          <w:i/>
          <w:b/>
          <w:szCs w:val="18"/>
          <w:bCs/>
          <w:color w:val="54883D"/>
        </w:rPr>
        <w:instrText> SEQ Tabela \* ARABIC </w:instrText>
      </w:r>
      <w:r>
        <w:rPr>
          <w:sz w:val="20"/>
          <w:i/>
          <w:b/>
          <w:szCs w:val="18"/>
          <w:bCs/>
          <w:color w:val="54883D"/>
        </w:rPr>
        <w:fldChar w:fldCharType="separate"/>
      </w:r>
      <w:r>
        <w:rPr>
          <w:sz w:val="20"/>
          <w:i/>
          <w:b/>
          <w:szCs w:val="18"/>
          <w:bCs/>
          <w:color w:val="54883D"/>
        </w:rPr>
        <w:t>54</w:t>
      </w:r>
      <w:r>
        <w:rPr>
          <w:sz w:val="20"/>
          <w:i/>
          <w:b/>
          <w:szCs w:val="18"/>
          <w:bCs/>
          <w:color w:val="54883D"/>
        </w:rPr>
        <w:fldChar w:fldCharType="end"/>
      </w:r>
      <w:r>
        <w:rPr>
          <w:b/>
          <w:bCs/>
          <w:i/>
          <w:color w:val="54883D"/>
          <w:sz w:val="20"/>
          <w:szCs w:val="18"/>
          <w:lang w:bidi="en-US"/>
        </w:rPr>
        <w:t>.</w:t>
      </w:r>
      <w:r>
        <w:rPr>
          <w:b/>
          <w:bCs/>
          <w:color w:val="54883D"/>
          <w:sz w:val="20"/>
          <w:szCs w:val="18"/>
        </w:rPr>
        <w:t xml:space="preserve"> </w:t>
      </w:r>
      <w:r>
        <w:rPr>
          <w:b/>
          <w:bCs/>
          <w:i/>
          <w:color w:val="54883D"/>
          <w:sz w:val="20"/>
          <w:szCs w:val="18"/>
        </w:rPr>
        <w:t>Broj dana s oborinom</w:t>
      </w:r>
    </w:p>
    <w:tbl>
      <w:tblPr>
        <w:tblW w:w="8496" w:type="dxa"/>
        <w:jc w:val="center"/>
        <w:tblInd w:w="0" w:type="dxa"/>
        <w:tblCellMar>
          <w:top w:w="0" w:type="dxa"/>
          <w:left w:w="57" w:type="dxa"/>
          <w:bottom w:w="0" w:type="dxa"/>
          <w:right w:w="57" w:type="dxa"/>
        </w:tblCellMar>
        <w:tblLook w:firstRow="1" w:noVBand="0" w:lastRow="1" w:firstColumn="1" w:lastColumn="1" w:noHBand="0" w:val="01e0"/>
      </w:tblPr>
      <w:tblGrid>
        <w:gridCol w:w="660"/>
        <w:gridCol w:w="569"/>
        <w:gridCol w:w="615"/>
        <w:gridCol w:w="569"/>
        <w:gridCol w:w="616"/>
        <w:gridCol w:w="617"/>
        <w:gridCol w:w="569"/>
        <w:gridCol w:w="570"/>
        <w:gridCol w:w="570"/>
        <w:gridCol w:w="570"/>
        <w:gridCol w:w="569"/>
        <w:gridCol w:w="617"/>
        <w:gridCol w:w="616"/>
        <w:gridCol w:w="768"/>
      </w:tblGrid>
      <w:tr>
        <w:trPr>
          <w:trHeight w:val="396" w:hRule="atLeast"/>
        </w:trPr>
        <w:tc>
          <w:tcPr>
            <w:tcW w:w="660" w:type="dxa"/>
            <w:tcBorders>
              <w:top w:val="single" w:sz="4" w:space="0" w:color="000000"/>
              <w:left w:val="single" w:sz="4" w:space="0" w:color="000000"/>
              <w:bottom w:val="single" w:sz="12" w:space="0" w:color="000000"/>
              <w:right w:val="single" w:sz="12"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god</w:t>
            </w:r>
          </w:p>
        </w:tc>
        <w:tc>
          <w:tcPr>
            <w:tcW w:w="569" w:type="dxa"/>
            <w:tcBorders>
              <w:top w:val="single" w:sz="4" w:space="0" w:color="000000"/>
              <w:left w:val="single" w:sz="12"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SIJ</w:t>
            </w:r>
          </w:p>
        </w:tc>
        <w:tc>
          <w:tcPr>
            <w:tcW w:w="615"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VELJ</w:t>
            </w:r>
          </w:p>
        </w:tc>
        <w:tc>
          <w:tcPr>
            <w:tcW w:w="569"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OŽU</w:t>
            </w:r>
          </w:p>
        </w:tc>
        <w:tc>
          <w:tcPr>
            <w:tcW w:w="616"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TRA</w:t>
            </w:r>
          </w:p>
        </w:tc>
        <w:tc>
          <w:tcPr>
            <w:tcW w:w="617"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SVI</w:t>
            </w:r>
          </w:p>
        </w:tc>
        <w:tc>
          <w:tcPr>
            <w:tcW w:w="569"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LIP</w:t>
            </w:r>
          </w:p>
        </w:tc>
        <w:tc>
          <w:tcPr>
            <w:tcW w:w="570"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SRP</w:t>
            </w:r>
          </w:p>
        </w:tc>
        <w:tc>
          <w:tcPr>
            <w:tcW w:w="570"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KOL</w:t>
            </w:r>
          </w:p>
        </w:tc>
        <w:tc>
          <w:tcPr>
            <w:tcW w:w="570"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RUJ</w:t>
            </w:r>
          </w:p>
        </w:tc>
        <w:tc>
          <w:tcPr>
            <w:tcW w:w="569"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LIS</w:t>
            </w:r>
          </w:p>
        </w:tc>
        <w:tc>
          <w:tcPr>
            <w:tcW w:w="617" w:type="dxa"/>
            <w:tcBorders>
              <w:top w:val="single" w:sz="4" w:space="0" w:color="000000"/>
              <w:left w:val="single" w:sz="4"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STU</w:t>
            </w:r>
          </w:p>
        </w:tc>
        <w:tc>
          <w:tcPr>
            <w:tcW w:w="616" w:type="dxa"/>
            <w:tcBorders>
              <w:top w:val="single" w:sz="4" w:space="0" w:color="000000"/>
              <w:left w:val="single" w:sz="4" w:space="0" w:color="000000"/>
              <w:bottom w:val="single" w:sz="12" w:space="0" w:color="000000"/>
              <w:right w:val="single" w:sz="12"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PRO</w:t>
            </w:r>
          </w:p>
        </w:tc>
        <w:tc>
          <w:tcPr>
            <w:tcW w:w="768" w:type="dxa"/>
            <w:tcBorders>
              <w:top w:val="single" w:sz="4" w:space="0" w:color="000000"/>
              <w:left w:val="single" w:sz="12" w:space="0" w:color="000000"/>
              <w:bottom w:val="single" w:sz="12" w:space="0" w:color="000000"/>
              <w:right w:val="single" w:sz="4" w:space="0" w:color="000000"/>
            </w:tcBorders>
            <w:shd w:color="auto" w:fill="D6E3BC" w:themeFill="accent3" w:themeFillTint="66" w:val="clear"/>
            <w:vAlign w:val="center"/>
          </w:tcPr>
          <w:p>
            <w:pPr>
              <w:pStyle w:val="Normal"/>
              <w:spacing w:before="0" w:after="0"/>
              <w:jc w:val="center"/>
              <w:rPr>
                <w:sz w:val="20"/>
                <w:szCs w:val="20"/>
              </w:rPr>
            </w:pPr>
            <w:r>
              <w:rPr>
                <w:b/>
                <w:sz w:val="20"/>
                <w:szCs w:val="20"/>
              </w:rPr>
              <w:t>zbroj</w:t>
            </w:r>
          </w:p>
        </w:tc>
      </w:tr>
      <w:tr>
        <w:trPr>
          <w:trHeight w:val="396" w:hRule="atLeast"/>
        </w:trPr>
        <w:tc>
          <w:tcPr>
            <w:tcW w:w="660" w:type="dxa"/>
            <w:tcBorders>
              <w:top w:val="single" w:sz="12"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2005</w:t>
            </w:r>
          </w:p>
        </w:tc>
        <w:tc>
          <w:tcPr>
            <w:tcW w:w="569" w:type="dxa"/>
            <w:tcBorders>
              <w:top w:val="single" w:sz="12"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3</w:t>
            </w:r>
          </w:p>
        </w:tc>
        <w:tc>
          <w:tcPr>
            <w:tcW w:w="615"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616"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617"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14</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617"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616" w:type="dxa"/>
            <w:tcBorders>
              <w:top w:val="single" w:sz="12"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768" w:type="dxa"/>
            <w:tcBorders>
              <w:top w:val="single" w:sz="12"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110</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2006</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2</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14</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92</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2007</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0</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3</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5</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95</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2008</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19</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127</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2009</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18</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5</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19</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132</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2010</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15</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20</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19</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17</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153</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2011</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5</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3</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0</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3</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77</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2012</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4</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15</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2</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12</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14</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92</w:t>
            </w:r>
          </w:p>
        </w:tc>
      </w:tr>
      <w:tr>
        <w:trPr>
          <w:trHeight w:val="396" w:hRule="atLeast"/>
        </w:trPr>
        <w:tc>
          <w:tcPr>
            <w:tcW w:w="660" w:type="dxa"/>
            <w:tcBorders>
              <w:top w:val="single" w:sz="4"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2013</w:t>
            </w:r>
          </w:p>
        </w:tc>
        <w:tc>
          <w:tcPr>
            <w:tcW w:w="569"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14</w:t>
            </w:r>
          </w:p>
        </w:tc>
        <w:tc>
          <w:tcPr>
            <w:tcW w:w="615"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18</w:t>
            </w:r>
          </w:p>
        </w:tc>
        <w:tc>
          <w:tcPr>
            <w:tcW w:w="616"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16</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5</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w:t>
            </w:r>
          </w:p>
        </w:tc>
        <w:tc>
          <w:tcPr>
            <w:tcW w:w="570"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w:t>
            </w:r>
          </w:p>
        </w:tc>
        <w:tc>
          <w:tcPr>
            <w:tcW w:w="569"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w:t>
            </w:r>
          </w:p>
        </w:tc>
        <w:tc>
          <w:tcPr>
            <w:tcW w:w="617" w:type="dxa"/>
            <w:tcBorders>
              <w:top w:val="single" w:sz="4"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15</w:t>
            </w:r>
          </w:p>
        </w:tc>
        <w:tc>
          <w:tcPr>
            <w:tcW w:w="616" w:type="dxa"/>
            <w:tcBorders>
              <w:top w:val="single" w:sz="4"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6</w:t>
            </w:r>
          </w:p>
        </w:tc>
        <w:tc>
          <w:tcPr>
            <w:tcW w:w="768" w:type="dxa"/>
            <w:tcBorders>
              <w:top w:val="single" w:sz="4"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135</w:t>
            </w:r>
          </w:p>
        </w:tc>
      </w:tr>
      <w:tr>
        <w:trPr>
          <w:trHeight w:val="396" w:hRule="atLeast"/>
        </w:trPr>
        <w:tc>
          <w:tcPr>
            <w:tcW w:w="660" w:type="dxa"/>
            <w:tcBorders>
              <w:top w:val="single" w:sz="12" w:space="0" w:color="000000"/>
              <w:left w:val="single" w:sz="4" w:space="0" w:color="000000"/>
              <w:bottom w:val="single" w:sz="4" w:space="0" w:color="000000"/>
              <w:right w:val="single" w:sz="12" w:space="0" w:color="000000"/>
            </w:tcBorders>
            <w:shd w:color="auto" w:fill="D6E3BC" w:themeFill="accent3" w:themeFillTint="66" w:val="clear"/>
            <w:tcMar>
              <w:left w:w="108" w:type="dxa"/>
              <w:right w:w="108" w:type="dxa"/>
            </w:tcMar>
            <w:vAlign w:val="center"/>
          </w:tcPr>
          <w:p>
            <w:pPr>
              <w:pStyle w:val="Normal"/>
              <w:spacing w:before="0" w:after="0"/>
              <w:jc w:val="center"/>
              <w:rPr>
                <w:sz w:val="20"/>
                <w:szCs w:val="20"/>
              </w:rPr>
            </w:pPr>
            <w:r>
              <w:rPr>
                <w:b/>
                <w:sz w:val="20"/>
                <w:szCs w:val="20"/>
              </w:rPr>
              <w:t>sred</w:t>
            </w:r>
          </w:p>
        </w:tc>
        <w:tc>
          <w:tcPr>
            <w:tcW w:w="569" w:type="dxa"/>
            <w:tcBorders>
              <w:top w:val="single" w:sz="12"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9.9</w:t>
            </w:r>
          </w:p>
        </w:tc>
        <w:tc>
          <w:tcPr>
            <w:tcW w:w="615"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9.0</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9.8</w:t>
            </w:r>
          </w:p>
        </w:tc>
        <w:tc>
          <w:tcPr>
            <w:tcW w:w="616"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10.3</w:t>
            </w:r>
          </w:p>
        </w:tc>
        <w:tc>
          <w:tcPr>
            <w:tcW w:w="617"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10.4</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8.9</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6.7</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7.4</w:t>
            </w:r>
          </w:p>
        </w:tc>
        <w:tc>
          <w:tcPr>
            <w:tcW w:w="570"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7.4</w:t>
            </w:r>
          </w:p>
        </w:tc>
        <w:tc>
          <w:tcPr>
            <w:tcW w:w="569"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9.0</w:t>
            </w:r>
          </w:p>
        </w:tc>
        <w:tc>
          <w:tcPr>
            <w:tcW w:w="617" w:type="dxa"/>
            <w:tcBorders>
              <w:top w:val="single" w:sz="12" w:space="0" w:color="000000"/>
              <w:left w:val="single" w:sz="4"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11.3</w:t>
            </w:r>
          </w:p>
        </w:tc>
        <w:tc>
          <w:tcPr>
            <w:tcW w:w="616" w:type="dxa"/>
            <w:tcBorders>
              <w:top w:val="single" w:sz="12" w:space="0" w:color="000000"/>
              <w:left w:val="single" w:sz="4" w:space="0" w:color="000000"/>
              <w:bottom w:val="single" w:sz="4" w:space="0" w:color="000000"/>
              <w:right w:val="single" w:sz="12" w:space="0" w:color="000000"/>
            </w:tcBorders>
            <w:tcMar>
              <w:left w:w="28" w:type="dxa"/>
              <w:right w:w="198" w:type="dxa"/>
            </w:tcMar>
            <w:vAlign w:val="center"/>
          </w:tcPr>
          <w:p>
            <w:pPr>
              <w:pStyle w:val="Normal"/>
              <w:spacing w:before="0" w:after="0"/>
              <w:jc w:val="right"/>
              <w:rPr>
                <w:sz w:val="20"/>
                <w:szCs w:val="20"/>
              </w:rPr>
            </w:pPr>
            <w:r>
              <w:rPr>
                <w:sz w:val="20"/>
                <w:szCs w:val="20"/>
              </w:rPr>
              <w:t>12.3</w:t>
            </w:r>
          </w:p>
        </w:tc>
        <w:tc>
          <w:tcPr>
            <w:tcW w:w="768" w:type="dxa"/>
            <w:tcBorders>
              <w:top w:val="single" w:sz="12" w:space="0" w:color="000000"/>
              <w:left w:val="single" w:sz="12" w:space="0" w:color="000000"/>
              <w:bottom w:val="single" w:sz="4" w:space="0" w:color="000000"/>
              <w:right w:val="single" w:sz="4" w:space="0" w:color="000000"/>
            </w:tcBorders>
            <w:tcMar>
              <w:left w:w="28" w:type="dxa"/>
              <w:right w:w="198" w:type="dxa"/>
            </w:tcMar>
            <w:vAlign w:val="center"/>
          </w:tcPr>
          <w:p>
            <w:pPr>
              <w:pStyle w:val="Normal"/>
              <w:spacing w:before="0" w:after="0"/>
              <w:jc w:val="right"/>
              <w:rPr>
                <w:sz w:val="20"/>
                <w:szCs w:val="20"/>
              </w:rPr>
            </w:pPr>
            <w:r>
              <w:rPr>
                <w:sz w:val="20"/>
                <w:szCs w:val="20"/>
              </w:rPr>
              <w:t>112.6</w:t>
            </w:r>
          </w:p>
        </w:tc>
      </w:tr>
    </w:tbl>
    <w:p>
      <w:pPr>
        <w:pStyle w:val="Normal"/>
        <w:jc w:val="center"/>
        <w:rPr/>
      </w:pPr>
      <w:r>
        <w:rPr>
          <w:bCs/>
          <w:i/>
          <w:color w:val="54883D"/>
          <w:sz w:val="20"/>
          <w:szCs w:val="20"/>
        </w:rPr>
        <w:t>Izvor podataka: Državni hidrometeorološki zavod Republike Hrvatske</w:t>
      </w:r>
    </w:p>
    <w:p>
      <w:pPr>
        <w:pStyle w:val="Normal"/>
        <w:rPr/>
      </w:pPr>
      <w:r>
        <w:rPr/>
        <w:t>Suša se uglavnom javlja u periodu proljeće – ljeto kada je riječ o malim količinama oborina udruženo s visokim temperaturama i niskom relativnom vlagom.</w:t>
      </w:r>
    </w:p>
    <w:p>
      <w:pPr>
        <w:pStyle w:val="Normal"/>
        <w:rPr/>
      </w:pPr>
      <w:r>
        <w:rPr/>
        <w:t xml:space="preserve">Na </w:t>
      </w:r>
      <w:r>
        <w:rPr>
          <w:color w:val="auto"/>
        </w:rPr>
        <w:t xml:space="preserve">slikama u nastavku su </w:t>
      </w:r>
      <w:r>
        <w:rPr/>
        <w:t>prikazana odstupanja količine oborine za godine u kojima je na  području Grada Buje nastupilo ekstremno sušno vrlo sušno ili sušno razdoblje.</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Odstupanje količine oborina za područje Grada Buje - Buie za razdoblje od 2009. – 2017. prikazano je u slijedećoj tablici. Prema raspodjeli percentila oborinske prilike bile su u kategorijama normalno, sušno, vrlo sušno, te kišno i vrlo kišno.</w:t>
      </w:r>
    </w:p>
    <w:p>
      <w:pPr>
        <w:pStyle w:val="Normal"/>
        <w:spacing w:before="0" w:after="0"/>
        <w:jc w:val="center"/>
        <w:rPr>
          <w:rFonts w:ascii="Arial Narrow" w:hAnsi="Arial Narrow"/>
          <w:b/>
          <w:b/>
          <w:bCs/>
          <w:color w:val="auto"/>
          <w:sz w:val="20"/>
          <w:szCs w:val="20"/>
        </w:rPr>
      </w:pPr>
      <w:r>
        <w:rPr>
          <w:rFonts w:ascii="Arial Narrow" w:hAnsi="Arial Narrow"/>
          <w:b/>
          <w:bCs/>
          <w:color w:val="auto"/>
          <w:sz w:val="20"/>
          <w:szCs w:val="20"/>
        </w:rPr>
      </w:r>
    </w:p>
    <w:p>
      <w:pPr>
        <w:pStyle w:val="Normal"/>
        <w:spacing w:before="0" w:after="0"/>
        <w:jc w:val="center"/>
        <w:rPr>
          <w:rFonts w:ascii="Arial Narrow" w:hAnsi="Arial Narrow"/>
          <w:b/>
          <w:b/>
          <w:bCs/>
          <w:color w:val="auto"/>
          <w:sz w:val="20"/>
          <w:szCs w:val="20"/>
        </w:rPr>
      </w:pPr>
      <w:r>
        <w:rPr>
          <w:rFonts w:ascii="Arial Narrow" w:hAnsi="Arial Narrow"/>
          <w:b/>
          <w:bCs/>
          <w:color w:val="auto"/>
          <w:sz w:val="20"/>
          <w:szCs w:val="20"/>
        </w:rPr>
      </w:r>
    </w:p>
    <w:p>
      <w:pPr>
        <w:pStyle w:val="Normal"/>
        <w:spacing w:before="0" w:after="0"/>
        <w:jc w:val="center"/>
        <w:rPr>
          <w:rFonts w:ascii="Arial Narrow" w:hAnsi="Arial Narrow"/>
          <w:b/>
          <w:b/>
          <w:bCs/>
          <w:color w:val="auto"/>
          <w:sz w:val="20"/>
          <w:szCs w:val="20"/>
        </w:rPr>
      </w:pPr>
      <w:r>
        <w:rPr>
          <w:rFonts w:ascii="Arial Narrow" w:hAnsi="Arial Narrow"/>
          <w:b/>
          <w:bCs/>
          <w:color w:val="auto"/>
          <w:sz w:val="20"/>
          <w:szCs w:val="20"/>
        </w:rPr>
      </w:r>
    </w:p>
    <w:p>
      <w:pPr>
        <w:pStyle w:val="Normal"/>
        <w:spacing w:before="0" w:after="0"/>
        <w:jc w:val="center"/>
        <w:rPr>
          <w:rFonts w:ascii="Arial Narrow" w:hAnsi="Arial Narrow" w:eastAsia="" w:eastAsiaTheme="minorEastAsia"/>
          <w:b/>
          <w:b/>
          <w:bCs/>
          <w:color w:val="76923C" w:themeColor="accent3" w:themeShade="bf"/>
          <w:sz w:val="20"/>
          <w:szCs w:val="22"/>
          <w:lang w:eastAsia="hr-HR"/>
        </w:rPr>
      </w:pPr>
      <w:r>
        <w:rPr>
          <w:rFonts w:ascii="Arial Narrow" w:hAnsi="Arial Narrow"/>
          <w:b/>
          <w:bCs/>
          <w:color w:val="76923C" w:themeColor="accent3" w:themeShade="bf"/>
          <w:sz w:val="20"/>
          <w:szCs w:val="20"/>
        </w:rPr>
        <w:t xml:space="preserve">Tablica </w:t>
      </w:r>
      <w:r>
        <w:rPr>
          <w:rFonts w:ascii="Arial Narrow" w:hAnsi="Arial Narrow"/>
          <w:b/>
          <w:bCs/>
          <w:color w:val="76923C"/>
          <w:sz w:val="20"/>
          <w:szCs w:val="20"/>
        </w:rPr>
        <w:fldChar w:fldCharType="begin"/>
      </w:r>
      <w:r>
        <w:rPr>
          <w:sz w:val="20"/>
          <w:b/>
          <w:szCs w:val="20"/>
          <w:bCs/>
          <w:rFonts w:ascii="Arial Narrow" w:hAnsi="Arial Narrow"/>
          <w:color w:val="76923C"/>
        </w:rPr>
        <w:instrText> SEQ Tablica \* ARABIC </w:instrText>
      </w:r>
      <w:r>
        <w:rPr>
          <w:sz w:val="20"/>
          <w:b/>
          <w:szCs w:val="20"/>
          <w:bCs/>
          <w:rFonts w:ascii="Arial Narrow" w:hAnsi="Arial Narrow"/>
          <w:color w:val="76923C"/>
        </w:rPr>
        <w:fldChar w:fldCharType="separate"/>
      </w:r>
      <w:r>
        <w:rPr>
          <w:sz w:val="20"/>
          <w:b/>
          <w:szCs w:val="20"/>
          <w:bCs/>
          <w:rFonts w:ascii="Arial Narrow" w:hAnsi="Arial Narrow"/>
          <w:color w:val="76923C"/>
        </w:rPr>
        <w:t>11</w:t>
      </w:r>
      <w:r>
        <w:rPr>
          <w:sz w:val="20"/>
          <w:b/>
          <w:szCs w:val="20"/>
          <w:bCs/>
          <w:rFonts w:ascii="Arial Narrow" w:hAnsi="Arial Narrow"/>
          <w:color w:val="76923C"/>
        </w:rPr>
        <w:fldChar w:fldCharType="end"/>
      </w:r>
      <w:r>
        <w:rPr>
          <w:rFonts w:ascii="Arial Narrow" w:hAnsi="Arial Narrow"/>
          <w:b/>
          <w:bCs/>
          <w:color w:val="76923C" w:themeColor="accent3" w:themeShade="bf"/>
          <w:sz w:val="20"/>
          <w:szCs w:val="20"/>
        </w:rPr>
        <w:t>. Odstupanje količine oborina za područje Grada Buje - Buie za razdoblje od 2009. – 2017. godine</w:t>
      </w:r>
    </w:p>
    <w:tbl>
      <w:tblPr>
        <w:tblStyle w:val="TableGrid"/>
        <w:tblW w:w="8097" w:type="dxa"/>
        <w:jc w:val="center"/>
        <w:tblInd w:w="0" w:type="dxa"/>
        <w:tblCellMar>
          <w:top w:w="0" w:type="dxa"/>
          <w:left w:w="108" w:type="dxa"/>
          <w:bottom w:w="0" w:type="dxa"/>
          <w:right w:w="108" w:type="dxa"/>
        </w:tblCellMar>
        <w:tblLook w:firstRow="1" w:noVBand="1" w:lastRow="0" w:firstColumn="1" w:lastColumn="0" w:noHBand="0" w:val="04a0"/>
      </w:tblPr>
      <w:tblGrid>
        <w:gridCol w:w="2599"/>
        <w:gridCol w:w="2910"/>
        <w:gridCol w:w="2588"/>
      </w:tblGrid>
      <w:tr>
        <w:trPr>
          <w:trHeight w:val="603" w:hRule="atLeast"/>
        </w:trPr>
        <w:tc>
          <w:tcPr>
            <w:tcW w:w="8097" w:type="dxa"/>
            <w:gridSpan w:val="3"/>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spacing w:lineRule="auto" w:line="240" w:before="0" w:after="0"/>
              <w:jc w:val="center"/>
              <w:rPr>
                <w:rFonts w:ascii="Arial Narrow" w:hAnsi="Arial Narrow" w:eastAsia="" w:eastAsiaTheme="minorEastAsia"/>
                <w:b/>
                <w:b/>
                <w:color w:val="auto"/>
                <w:sz w:val="20"/>
                <w:szCs w:val="22"/>
              </w:rPr>
            </w:pPr>
            <w:r>
              <w:rPr>
                <w:rFonts w:eastAsia="" w:cs="Times New Roman" w:ascii="Arial Narrow" w:hAnsi="Arial Narrow" w:eastAsiaTheme="minorEastAsia"/>
                <w:b/>
                <w:color w:val="auto"/>
                <w:sz w:val="20"/>
                <w:szCs w:val="22"/>
                <w:lang w:eastAsia="hr-HR"/>
              </w:rPr>
              <w:t>Grad Buje -Buie</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spacing w:lineRule="auto" w:line="276" w:before="0" w:after="0"/>
              <w:jc w:val="center"/>
              <w:rPr>
                <w:rFonts w:ascii="Arial Narrow" w:hAnsi="Arial Narrow" w:eastAsia="" w:eastAsiaTheme="minorEastAsia"/>
                <w:b/>
                <w:b/>
                <w:color w:val="auto"/>
                <w:sz w:val="20"/>
                <w:szCs w:val="22"/>
              </w:rPr>
            </w:pPr>
            <w:r>
              <w:rPr>
                <w:rFonts w:eastAsia="" w:cs="Times New Roman" w:ascii="Arial Narrow" w:hAnsi="Arial Narrow" w:eastAsiaTheme="minorEastAsia"/>
                <w:b/>
                <w:color w:val="auto"/>
                <w:sz w:val="20"/>
                <w:szCs w:val="22"/>
                <w:lang w:eastAsia="hr-HR"/>
              </w:rPr>
              <w:t>Godina</w:t>
            </w:r>
          </w:p>
        </w:tc>
        <w:tc>
          <w:tcPr>
            <w:tcW w:w="2910"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spacing w:lineRule="auto" w:line="276" w:before="0" w:after="0"/>
              <w:jc w:val="center"/>
              <w:rPr>
                <w:rFonts w:ascii="Arial Narrow" w:hAnsi="Arial Narrow" w:eastAsia="" w:eastAsiaTheme="minorEastAsia"/>
                <w:b/>
                <w:b/>
                <w:color w:val="auto"/>
                <w:sz w:val="20"/>
                <w:szCs w:val="22"/>
              </w:rPr>
            </w:pPr>
            <w:r>
              <w:rPr>
                <w:rFonts w:eastAsia="" w:cs="Times New Roman" w:ascii="Arial Narrow" w:hAnsi="Arial Narrow" w:eastAsiaTheme="minorEastAsia"/>
                <w:b/>
                <w:color w:val="auto"/>
                <w:sz w:val="20"/>
                <w:szCs w:val="22"/>
                <w:lang w:eastAsia="hr-HR"/>
              </w:rPr>
              <w:t>Proljeće</w:t>
            </w:r>
          </w:p>
        </w:tc>
        <w:tc>
          <w:tcPr>
            <w:tcW w:w="2588"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vAlign w:val="center"/>
          </w:tcPr>
          <w:p>
            <w:pPr>
              <w:pStyle w:val="Normal"/>
              <w:spacing w:lineRule="auto" w:line="276" w:before="0" w:after="0"/>
              <w:jc w:val="center"/>
              <w:rPr>
                <w:rFonts w:ascii="Arial Narrow" w:hAnsi="Arial Narrow" w:eastAsia="" w:eastAsiaTheme="minorEastAsia"/>
                <w:b/>
                <w:b/>
                <w:color w:val="auto"/>
                <w:sz w:val="20"/>
                <w:szCs w:val="22"/>
              </w:rPr>
            </w:pPr>
            <w:r>
              <w:rPr>
                <w:rFonts w:eastAsia="" w:cs="Times New Roman" w:ascii="Arial Narrow" w:hAnsi="Arial Narrow" w:eastAsiaTheme="minorEastAsia"/>
                <w:b/>
                <w:color w:val="auto"/>
                <w:sz w:val="20"/>
                <w:szCs w:val="22"/>
                <w:lang w:eastAsia="hr-HR"/>
              </w:rPr>
              <w:t>Ljeto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2017.</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2016.</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Kišno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2015.</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Vrlo sušno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r>
      <w:tr>
        <w:trPr>
          <w:trHeight w:val="383"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2014.</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2013.</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Kišno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2012.</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Ekstremno sušno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2011.</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2010.</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r>
        <w:trPr>
          <w:trHeight w:val="362" w:hRule="atLeast"/>
        </w:trPr>
        <w:tc>
          <w:tcPr>
            <w:tcW w:w="2599"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2009.</w:t>
            </w:r>
          </w:p>
        </w:tc>
        <w:tc>
          <w:tcPr>
            <w:tcW w:w="2910"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Sušno</w:t>
            </w:r>
          </w:p>
        </w:tc>
        <w:tc>
          <w:tcPr>
            <w:tcW w:w="2588" w:type="dxa"/>
            <w:tcBorders>
              <w:top w:val="single" w:sz="4" w:space="0" w:color="76923C"/>
              <w:left w:val="single" w:sz="4" w:space="0" w:color="76923C"/>
              <w:bottom w:val="single" w:sz="4" w:space="0" w:color="76923C"/>
              <w:right w:val="single" w:sz="4" w:space="0" w:color="76923C"/>
            </w:tcBorders>
          </w:tcPr>
          <w:p>
            <w:pPr>
              <w:pStyle w:val="Normal"/>
              <w:spacing w:lineRule="auto" w:line="276" w:before="0" w:after="0"/>
              <w:jc w:val="center"/>
              <w:rPr>
                <w:rFonts w:eastAsia="" w:eastAsiaTheme="minorEastAsia"/>
                <w:color w:val="auto"/>
                <w:sz w:val="20"/>
                <w:szCs w:val="22"/>
              </w:rPr>
            </w:pPr>
            <w:r>
              <w:rPr>
                <w:rFonts w:eastAsia="" w:cs="Times New Roman" w:ascii="Times New Roman" w:hAnsi="Times New Roman" w:eastAsiaTheme="minorEastAsia"/>
                <w:color w:val="auto"/>
                <w:sz w:val="20"/>
                <w:szCs w:val="22"/>
                <w:lang w:eastAsia="hr-HR"/>
              </w:rPr>
              <w:t>Normalno</w:t>
            </w:r>
          </w:p>
        </w:tc>
      </w:tr>
    </w:tbl>
    <w:p>
      <w:pPr>
        <w:pStyle w:val="Normal"/>
        <w:rPr/>
      </w:pPr>
      <w:r>
        <w:rPr/>
      </w:r>
    </w:p>
    <w:p>
      <w:pPr>
        <w:pStyle w:val="Normal"/>
        <w:keepNext w:val="true"/>
        <w:spacing w:lineRule="auto" w:line="240" w:before="120" w:after="120"/>
        <w:jc w:val="center"/>
        <w:rPr>
          <w:b/>
          <w:b/>
          <w:bCs/>
          <w:i/>
          <w:i/>
          <w:color w:val="54883D"/>
          <w:sz w:val="20"/>
          <w:szCs w:val="18"/>
          <w:lang w:bidi="en-US"/>
        </w:rPr>
      </w:pPr>
      <w:r>
        <w:rPr>
          <w:b/>
          <w:bCs/>
          <w:i/>
          <w:color w:val="54883D"/>
          <w:sz w:val="20"/>
          <w:szCs w:val="18"/>
          <w:lang w:bidi="en-US"/>
        </w:rPr>
        <w:t>Slika 16.</w:t>
      </w:r>
      <w:r>
        <w:rPr>
          <w:b/>
        </w:rPr>
        <w:t xml:space="preserve"> </w:t>
      </w:r>
      <w:r>
        <w:rPr>
          <w:b/>
          <w:bCs/>
          <w:i/>
          <w:color w:val="54883D"/>
          <w:sz w:val="20"/>
          <w:szCs w:val="18"/>
          <w:lang w:bidi="en-US"/>
        </w:rPr>
        <w:t>Oborinske prilike tijekom kolovoza 2019. godine</w:t>
      </w:r>
    </w:p>
    <w:p>
      <w:pPr>
        <w:pStyle w:val="Normal"/>
        <w:keepNext w:val="true"/>
        <w:spacing w:lineRule="auto" w:line="240" w:before="120" w:after="120"/>
        <w:jc w:val="center"/>
        <w:rPr>
          <w:b/>
          <w:b/>
          <w:bCs/>
          <w:i/>
          <w:i/>
          <w:color w:val="54883D"/>
          <w:sz w:val="20"/>
          <w:szCs w:val="18"/>
          <w:highlight w:val="yellow"/>
          <w:lang w:bidi="en-US"/>
        </w:rPr>
      </w:pPr>
      <w:r>
        <w:rPr>
          <w:b/>
          <w:bCs/>
          <w:i/>
          <w:color w:val="54883D"/>
          <w:sz w:val="20"/>
          <w:szCs w:val="18"/>
          <w:highlight w:val="yellow"/>
          <w:lang w:bidi="en-US"/>
        </w:rPr>
        <w:drawing>
          <wp:anchor behindDoc="0" distT="0" distB="0" distL="0" distR="0" simplePos="0" locked="0" layoutInCell="1" allowOverlap="1" relativeHeight="50">
            <wp:simplePos x="0" y="0"/>
            <wp:positionH relativeFrom="margin">
              <wp:posOffset>-24130</wp:posOffset>
            </wp:positionH>
            <wp:positionV relativeFrom="paragraph">
              <wp:posOffset>119380</wp:posOffset>
            </wp:positionV>
            <wp:extent cx="6173470" cy="4930140"/>
            <wp:effectExtent l="0" t="0" r="0" b="0"/>
            <wp:wrapNone/>
            <wp:docPr id="158" name="Slik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lika7" descr=""/>
                    <pic:cNvPicPr>
                      <a:picLocks noChangeAspect="1" noChangeArrowheads="1"/>
                    </pic:cNvPicPr>
                  </pic:nvPicPr>
                  <pic:blipFill>
                    <a:blip r:embed="rId137"/>
                    <a:stretch>
                      <a:fillRect/>
                    </a:stretch>
                  </pic:blipFill>
                  <pic:spPr bwMode="auto">
                    <a:xfrm>
                      <a:off x="0" y="0"/>
                      <a:ext cx="6173470" cy="4930140"/>
                    </a:xfrm>
                    <a:prstGeom prst="rect">
                      <a:avLst/>
                    </a:prstGeom>
                  </pic:spPr>
                </pic:pic>
              </a:graphicData>
            </a:graphic>
          </wp:anchor>
        </w:drawing>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jc w:val="center"/>
        <w:rPr>
          <w:bCs/>
          <w:i/>
          <w:i/>
          <w:color w:val="54883D"/>
          <w:sz w:val="20"/>
          <w:szCs w:val="18"/>
        </w:rPr>
      </w:pPr>
      <w:r>
        <w:rPr>
          <w:bCs/>
          <w:i/>
          <w:color w:val="54883D"/>
          <w:sz w:val="20"/>
          <w:szCs w:val="18"/>
        </w:rPr>
      </w:r>
    </w:p>
    <w:p>
      <w:pPr>
        <w:pStyle w:val="Normal"/>
        <w:spacing w:before="0" w:after="0"/>
        <w:rPr>
          <w:b/>
          <w:b/>
          <w:bCs/>
          <w:i/>
          <w:i/>
          <w:color w:val="54883D"/>
          <w:sz w:val="20"/>
          <w:szCs w:val="18"/>
        </w:rPr>
      </w:pPr>
      <w:r>
        <w:rPr>
          <w:b/>
          <w:bCs/>
          <w:i/>
          <w:color w:val="54883D"/>
          <w:sz w:val="20"/>
          <w:szCs w:val="18"/>
        </w:rPr>
      </w:r>
    </w:p>
    <w:p>
      <w:pPr>
        <w:pStyle w:val="Normal"/>
        <w:spacing w:before="0" w:after="0"/>
        <w:jc w:val="center"/>
        <w:rPr>
          <w:b/>
          <w:b/>
          <w:bCs/>
          <w:i/>
          <w:i/>
          <w:color w:val="54883D"/>
          <w:sz w:val="20"/>
          <w:szCs w:val="18"/>
        </w:rPr>
      </w:pPr>
      <w:r>
        <w:rPr>
          <w:b/>
          <w:bCs/>
          <w:i/>
          <w:color w:val="54883D"/>
          <w:sz w:val="20"/>
          <w:szCs w:val="18"/>
        </w:rPr>
      </w:r>
    </w:p>
    <w:p>
      <w:pPr>
        <w:pStyle w:val="Stil1"/>
        <w:numPr>
          <w:ilvl w:val="2"/>
          <w:numId w:val="2"/>
        </w:numPr>
        <w:ind w:left="0" w:hanging="0"/>
        <w:rPr/>
      </w:pPr>
      <w:bookmarkStart w:id="319" w:name="_Toc492284963"/>
      <w:bookmarkStart w:id="320" w:name="_Toc496856119"/>
      <w:bookmarkStart w:id="321" w:name="_Toc503438848"/>
      <w:bookmarkStart w:id="322" w:name="_Toc99955744"/>
      <w:bookmarkStart w:id="323" w:name="_Toc116990192"/>
      <w:r>
        <w:rPr/>
        <w:t>Uzrok</w:t>
      </w:r>
      <w:bookmarkEnd w:id="319"/>
      <w:bookmarkEnd w:id="320"/>
      <w:bookmarkEnd w:id="321"/>
      <w:bookmarkEnd w:id="322"/>
      <w:bookmarkEnd w:id="323"/>
    </w:p>
    <w:p>
      <w:pPr>
        <w:pStyle w:val="Normal"/>
        <w:rPr/>
      </w:pPr>
      <w:r>
        <w:rPr/>
        <w:t xml:space="preserve">Meteorološka suša definirana je kao deficit oborina u određenom vremenskom razdoblju. Agrometerološka suša je uzrokovana manjkom vode u površinskom sloju tla. Hidrološka suša je definirana smanjenim protokom vode u rijekama te nižim razinama vode u jezerima i u podzemnim bunarima. Procesi isušivanja tla se mogu događati u mjestima s velikom ili malom količinom oborina. </w:t>
      </w:r>
    </w:p>
    <w:p>
      <w:pPr>
        <w:pStyle w:val="Normal"/>
        <w:rPr/>
      </w:pPr>
      <w:r>
        <w:rPr/>
        <w:t xml:space="preserve">Opadanje biološkog potencijala područja može se smatrati jednom od posljedica isušivanja tla. Nekoliko važnijih ljudskih aktivnosti koji utječu na stanje tla su kriva obrada tla, loše navodnjavanje tla, pretjerana sječa šuma i stočarstvo. Isušivanje područja može doprinijeti promjeni albeda zemljine površine, a ta promjena može imati utjecaja na lokalne i regionalne oborinske procese. Tijekom normalnog oborinskog razdoblja negativne posljedice ljudskog djelovanja nisu jasno zamijećene, no dolaskom sušnog razdoblja one postaju jasno vidljive. </w:t>
      </w:r>
    </w:p>
    <w:p>
      <w:pPr>
        <w:pStyle w:val="Normal"/>
        <w:rPr/>
      </w:pPr>
      <w:r>
        <w:rPr/>
        <w:t xml:space="preserve">Suša se događa polako, rijetko izaziva brze i dramatične gubitke u ljudskim životima ali zbog pojave može uzrokovati </w:t>
      </w:r>
      <w:hyperlink r:id="rId138" w:tgtFrame="Glad">
        <w:r>
          <w:rPr/>
          <w:t>glad</w:t>
        </w:r>
      </w:hyperlink>
      <w:r>
        <w:rPr/>
        <w:t xml:space="preserve"> kao direktnu posljedicu. Gubici u ljudskoj i životinjskoj populaciji ponekad su drastičniji od bilo koje druge </w:t>
      </w:r>
      <w:hyperlink r:id="rId139" w:tgtFrame="Prirodne katastrofe">
        <w:r>
          <w:rPr/>
          <w:t>prirodne katastrofe</w:t>
        </w:r>
      </w:hyperlink>
      <w:r>
        <w:rPr/>
        <w:t>.</w:t>
      </w:r>
    </w:p>
    <w:p>
      <w:pPr>
        <w:pStyle w:val="Normal"/>
        <w:spacing w:before="80" w:after="120"/>
        <w:rPr>
          <w:b/>
          <w:b/>
          <w:u w:val="single"/>
        </w:rPr>
      </w:pPr>
      <w:r>
        <w:rPr>
          <w:b/>
          <w:u w:val="single"/>
        </w:rPr>
      </w:r>
    </w:p>
    <w:p>
      <w:pPr>
        <w:pStyle w:val="Normal"/>
        <w:spacing w:before="80" w:after="120"/>
        <w:rPr>
          <w:b/>
          <w:b/>
          <w:u w:val="single"/>
        </w:rPr>
      </w:pPr>
      <w:r>
        <w:rPr>
          <w:b/>
          <w:u w:val="single"/>
        </w:rPr>
        <w:t>RAZVOJ DOGAĐAJA KOJI JE PRETHODIO VELIKOJ NESREĆI</w:t>
      </w:r>
    </w:p>
    <w:p>
      <w:pPr>
        <w:pStyle w:val="Normal"/>
        <w:spacing w:before="80" w:after="0"/>
        <w:rPr/>
      </w:pPr>
      <w:r>
        <w:rPr/>
        <w:t>Nedostatak oborina u duljem vremenskom razdoblju zbog duljeg zadržavanja anticiklone nad područja Grada. Prisutna je i povećana temperatura zraka u odnosu na prosječne temperaturne prilike na području Grada.</w:t>
      </w:r>
    </w:p>
    <w:p>
      <w:pPr>
        <w:pStyle w:val="Normal"/>
        <w:spacing w:before="80" w:after="0"/>
        <w:rPr/>
      </w:pPr>
      <w:r>
        <w:rPr/>
      </w:r>
    </w:p>
    <w:p>
      <w:pPr>
        <w:pStyle w:val="Normal"/>
        <w:spacing w:before="80" w:after="0"/>
        <w:rPr>
          <w:b/>
          <w:b/>
          <w:u w:val="single"/>
        </w:rPr>
      </w:pPr>
      <w:r>
        <w:rPr>
          <w:b/>
          <w:u w:val="single"/>
        </w:rPr>
        <w:t>OKIDAČ KOJI JE UZROKOVAO VELIKU NESREĆI</w:t>
      </w:r>
    </w:p>
    <w:p>
      <w:pPr>
        <w:pStyle w:val="Normal"/>
        <w:spacing w:before="80" w:after="0"/>
        <w:rPr/>
      </w:pPr>
      <w:r>
        <w:rPr/>
        <w:t>Meteorološka suša uzrokovana nedostatkom oborina.</w:t>
      </w:r>
    </w:p>
    <w:p>
      <w:pPr>
        <w:pStyle w:val="Normal"/>
        <w:spacing w:before="80" w:after="0"/>
        <w:rPr>
          <w:u w:val="single"/>
        </w:rPr>
      </w:pPr>
      <w:r>
        <w:rPr>
          <w:u w:val="single"/>
        </w:rPr>
      </w:r>
    </w:p>
    <w:p>
      <w:pPr>
        <w:pStyle w:val="Stil1"/>
        <w:numPr>
          <w:ilvl w:val="2"/>
          <w:numId w:val="2"/>
        </w:numPr>
        <w:ind w:left="0" w:hanging="0"/>
        <w:rPr/>
      </w:pPr>
      <w:bookmarkStart w:id="324" w:name="_Toc492284964"/>
      <w:bookmarkStart w:id="325" w:name="_Toc496856120"/>
      <w:bookmarkStart w:id="326" w:name="_Toc503438849"/>
      <w:bookmarkStart w:id="327" w:name="_Toc99955745"/>
      <w:bookmarkStart w:id="328" w:name="_Toc116990193"/>
      <w:r>
        <w:rPr/>
        <w:t>Događaj s najgorim mogućim posljedicama</w:t>
      </w:r>
      <w:bookmarkEnd w:id="324"/>
      <w:bookmarkEnd w:id="325"/>
      <w:bookmarkEnd w:id="326"/>
      <w:bookmarkEnd w:id="327"/>
      <w:bookmarkEnd w:id="328"/>
    </w:p>
    <w:p>
      <w:pPr>
        <w:pStyle w:val="Normal"/>
        <w:rPr/>
      </w:pPr>
      <w:r>
        <w:rPr/>
        <w:t>Događaj s najgorim mogućim posljedicama pretpostavlja dugotrajnu sušu koja je zahvatila čitavu županiju. Nastaju poremećaji u izdašnosti izvora što rezultira nestašicom vode. Kod veće suše nemoguće je transportirati vodu s jednog kraja na drugi zbog velikih duljina cjevovoda. U mjestima gdje nema javne vodoopskrbe potrebno je organizirati dovoz vode za piće cisternama.</w:t>
      </w:r>
    </w:p>
    <w:p>
      <w:pPr>
        <w:pStyle w:val="Normal"/>
        <w:rPr>
          <w:i/>
          <w:i/>
          <w:iCs/>
          <w:color w:val="54883D"/>
        </w:rPr>
      </w:pPr>
      <w:r>
        <w:rPr>
          <w:i/>
          <w:iCs/>
          <w:color w:val="54883D"/>
        </w:rPr>
      </w:r>
    </w:p>
    <w:p>
      <w:pPr>
        <w:pStyle w:val="Normal"/>
        <w:rPr>
          <w:b/>
          <w:b/>
          <w:iCs/>
          <w:u w:val="single"/>
        </w:rPr>
      </w:pPr>
      <w:r>
        <w:rPr>
          <w:b/>
          <w:iCs/>
          <w:u w:val="single"/>
        </w:rPr>
        <w:t>Posljedice</w:t>
      </w:r>
    </w:p>
    <w:p>
      <w:pPr>
        <w:pStyle w:val="Normal"/>
        <w:rPr>
          <w:i/>
          <w:i/>
          <w:color w:val="40883D"/>
        </w:rPr>
      </w:pPr>
      <w:r>
        <w:rPr>
          <w:i/>
          <w:color w:val="40883D"/>
        </w:rPr>
        <w:t>Život i zdravlje ljudi</w:t>
      </w:r>
    </w:p>
    <w:p>
      <w:pPr>
        <w:pStyle w:val="Normal"/>
        <w:rPr/>
      </w:pPr>
      <w:r>
        <w:rPr/>
        <w:t>Na području Grada Buja ne očekuju se ozbiljni negativni utjecaji na zdravlje i život ljudi u slučaju nastanka suše.</w:t>
      </w:r>
    </w:p>
    <w:p>
      <w:pPr>
        <w:pStyle w:val="Normal"/>
        <w:rPr/>
      </w:pPr>
      <w:r>
        <w:rPr/>
      </w:r>
    </w:p>
    <w:p>
      <w:pPr>
        <w:pStyle w:val="Normal"/>
        <w:spacing w:before="0" w:after="160"/>
        <w:jc w:val="center"/>
        <w:rPr>
          <w:b/>
          <w:b/>
          <w:bCs/>
          <w:i/>
          <w:i/>
          <w:color w:val="54883D"/>
          <w:sz w:val="20"/>
          <w:szCs w:val="18"/>
        </w:rPr>
      </w:pPr>
      <w:r>
        <w:rPr>
          <w:b/>
          <w:bCs/>
          <w:i/>
          <w:color w:val="54883D"/>
          <w:sz w:val="20"/>
          <w:szCs w:val="18"/>
        </w:rPr>
      </w:r>
    </w:p>
    <w:p>
      <w:pPr>
        <w:pStyle w:val="Normal"/>
        <w:spacing w:before="0" w:after="160"/>
        <w:jc w:val="center"/>
        <w:rPr>
          <w:b/>
          <w:b/>
          <w:bCs/>
          <w:i/>
          <w:i/>
          <w:color w:val="54883D"/>
          <w:sz w:val="20"/>
          <w:szCs w:val="18"/>
        </w:rPr>
      </w:pPr>
      <w:r>
        <w:rPr>
          <w:b/>
          <w:bCs/>
          <w:i/>
          <w:color w:val="54883D"/>
          <w:sz w:val="20"/>
          <w:szCs w:val="18"/>
        </w:rPr>
      </w:r>
    </w:p>
    <w:p>
      <w:pPr>
        <w:pStyle w:val="Normal"/>
        <w:spacing w:before="0" w:after="160"/>
        <w:jc w:val="center"/>
        <w:rPr>
          <w:b/>
          <w:b/>
          <w:bCs/>
          <w:i/>
          <w:i/>
          <w:color w:val="54883D"/>
          <w:sz w:val="20"/>
          <w:szCs w:val="18"/>
        </w:rPr>
      </w:pPr>
      <w:r>
        <w:rPr>
          <w:b/>
          <w:bCs/>
          <w:i/>
          <w:color w:val="54883D"/>
          <w:sz w:val="20"/>
          <w:szCs w:val="18"/>
        </w:rPr>
        <w:t xml:space="preserve">Tablica </w:t>
      </w:r>
      <w:r>
        <w:rPr>
          <w:b/>
          <w:bCs/>
          <w:i/>
          <w:color w:val="54883D"/>
          <w:sz w:val="20"/>
          <w:szCs w:val="18"/>
        </w:rPr>
        <w:fldChar w:fldCharType="begin"/>
      </w:r>
      <w:r>
        <w:rPr>
          <w:sz w:val="20"/>
          <w:i/>
          <w:b/>
          <w:szCs w:val="18"/>
          <w:bCs/>
          <w:color w:val="54883D"/>
        </w:rPr>
        <w:instrText> SEQ Tabela \* ARABIC </w:instrText>
      </w:r>
      <w:r>
        <w:rPr>
          <w:sz w:val="20"/>
          <w:i/>
          <w:b/>
          <w:szCs w:val="18"/>
          <w:bCs/>
          <w:color w:val="54883D"/>
        </w:rPr>
        <w:fldChar w:fldCharType="separate"/>
      </w:r>
      <w:r>
        <w:rPr>
          <w:sz w:val="20"/>
          <w:i/>
          <w:b/>
          <w:szCs w:val="18"/>
          <w:bCs/>
          <w:color w:val="54883D"/>
        </w:rPr>
        <w:t>55</w:t>
      </w:r>
      <w:r>
        <w:rPr>
          <w:sz w:val="20"/>
          <w:i/>
          <w:b/>
          <w:szCs w:val="18"/>
          <w:bCs/>
          <w:color w:val="54883D"/>
        </w:rPr>
        <w:fldChar w:fldCharType="end"/>
      </w:r>
      <w:r>
        <w:rPr>
          <w:b/>
          <w:bCs/>
          <w:i/>
          <w:color w:val="54883D"/>
          <w:sz w:val="20"/>
          <w:szCs w:val="18"/>
          <w:lang w:bidi="en-US"/>
        </w:rPr>
        <w:t>.</w:t>
      </w:r>
      <w:r>
        <w:rPr>
          <w:b/>
          <w:bCs/>
          <w:color w:val="54883D"/>
          <w:sz w:val="20"/>
          <w:szCs w:val="18"/>
        </w:rPr>
        <w:t xml:space="preserve"> </w:t>
      </w:r>
      <w:r>
        <w:rPr>
          <w:b/>
          <w:bCs/>
          <w:i/>
          <w:color w:val="54883D"/>
          <w:sz w:val="20"/>
          <w:szCs w:val="18"/>
        </w:rPr>
        <w:t>Vrijednost kriterija za posljedice na život i zdravlje ljudi po kategorijama - suša</w:t>
      </w:r>
    </w:p>
    <w:tbl>
      <w:tblPr>
        <w:tblStyle w:val="ivopisnatablicareetke6-isticanje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64"/>
        <w:gridCol w:w="2792"/>
        <w:gridCol w:w="2453"/>
        <w:gridCol w:w="2160"/>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792"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45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BROJ UGROŽENIH OSOBA %</w:t>
            </w:r>
          </w:p>
        </w:tc>
        <w:tc>
          <w:tcPr>
            <w:tcW w:w="2160"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1.</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&lt; 0,001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trPr>
          <w:trHeight w:val="243"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2.</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0,001 - 0,0046</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3.</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0,0047 - 0,011</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rHeight w:val="231" w:hRule="atLeast"/>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4.</w:t>
            </w:r>
          </w:p>
        </w:tc>
        <w:tc>
          <w:tcPr>
            <w:tcW w:w="2792"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45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rPr>
              <w:t>0,012 - 0,035</w:t>
            </w:r>
          </w:p>
        </w:tc>
        <w:tc>
          <w:tcPr>
            <w:tcW w:w="2160"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color w:val="000000"/>
                <w:sz w:val="20"/>
                <w:szCs w:val="20"/>
              </w:rPr>
            </w:pPr>
            <w:r>
              <w:rPr>
                <w:b/>
                <w:color w:val="000000"/>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664"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5.</w:t>
            </w:r>
          </w:p>
        </w:tc>
        <w:tc>
          <w:tcPr>
            <w:tcW w:w="2792"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45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rPr>
              <w:t>0,036 &gt;</w:t>
            </w:r>
          </w:p>
        </w:tc>
        <w:tc>
          <w:tcPr>
            <w:tcW w:w="2160"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bl>
    <w:p>
      <w:pPr>
        <w:pStyle w:val="Normal"/>
        <w:rPr/>
      </w:pPr>
      <w:r>
        <w:rPr/>
      </w:r>
    </w:p>
    <w:p>
      <w:pPr>
        <w:pStyle w:val="Normal"/>
        <w:rPr>
          <w:i/>
          <w:i/>
          <w:color w:val="40883D"/>
        </w:rPr>
      </w:pPr>
      <w:r>
        <w:rPr>
          <w:i/>
          <w:color w:val="40883D"/>
        </w:rPr>
        <w:t>Gospodarstvo</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 xml:space="preserve">Procjenjuje se da u velikim i dugotrajnim sušama šteta na sadnicama vinove loze, maslina, ratarskih kultura i voćaka može smanjiti urod do 50%. U takvim periodima plodovi se ne razvijaju do pune veličine, pa je i urod znatno smanjen. Od direktnih šteta nastat će smanjenje dobiti. </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U travnju 2012. godine proglašena je na cijelom području Istarske županije elementarna nepogoda izazvana sušom s ukupnom procijenjenom štetom od 193.235.411,58kn.</w:t>
      </w:r>
    </w:p>
    <w:p>
      <w:pPr>
        <w:pStyle w:val="Normal"/>
        <w:spacing w:before="0" w:after="160"/>
        <w:jc w:val="center"/>
        <w:rPr>
          <w:b/>
          <w:b/>
          <w:bCs/>
          <w:color w:val="54883D"/>
          <w:sz w:val="20"/>
          <w:szCs w:val="18"/>
        </w:rPr>
      </w:pPr>
      <w:r>
        <w:rPr>
          <w:b/>
          <w:bCs/>
          <w:color w:val="54883D"/>
          <w:sz w:val="20"/>
          <w:szCs w:val="18"/>
        </w:rPr>
      </w:r>
    </w:p>
    <w:p>
      <w:pPr>
        <w:pStyle w:val="Normal"/>
        <w:spacing w:before="0" w:after="160"/>
        <w:jc w:val="center"/>
        <w:rPr>
          <w:rFonts w:ascii="Calibri" w:hAnsi="Calibri"/>
          <w:b/>
          <w:b/>
          <w:bCs/>
          <w:color w:val="auto"/>
          <w:sz w:val="20"/>
          <w:szCs w:val="18"/>
        </w:rPr>
      </w:pPr>
      <w:r>
        <w:rPr>
          <w:b/>
          <w:bCs/>
          <w:color w:val="54883D"/>
          <w:sz w:val="20"/>
          <w:szCs w:val="18"/>
        </w:rPr>
        <w:t xml:space="preserve">Tablica </w:t>
      </w:r>
      <w:r>
        <w:rPr>
          <w:b/>
          <w:bCs/>
          <w:color w:val="54883D"/>
          <w:sz w:val="20"/>
          <w:szCs w:val="18"/>
        </w:rPr>
        <w:fldChar w:fldCharType="begin"/>
      </w:r>
      <w:r>
        <w:rPr>
          <w:sz w:val="20"/>
          <w:b/>
          <w:szCs w:val="18"/>
          <w:bCs/>
          <w:color w:val="54883D"/>
        </w:rPr>
        <w:instrText> SEQ Tabela \* ARABIC </w:instrText>
      </w:r>
      <w:r>
        <w:rPr>
          <w:sz w:val="20"/>
          <w:b/>
          <w:szCs w:val="18"/>
          <w:bCs/>
          <w:color w:val="54883D"/>
        </w:rPr>
        <w:fldChar w:fldCharType="separate"/>
      </w:r>
      <w:r>
        <w:rPr>
          <w:sz w:val="20"/>
          <w:b/>
          <w:szCs w:val="18"/>
          <w:bCs/>
          <w:color w:val="54883D"/>
        </w:rPr>
        <w:t>56</w:t>
      </w:r>
      <w:r>
        <w:rPr>
          <w:sz w:val="20"/>
          <w:b/>
          <w:szCs w:val="18"/>
          <w:bCs/>
          <w:color w:val="54883D"/>
        </w:rPr>
        <w:fldChar w:fldCharType="end"/>
      </w:r>
      <w:r>
        <w:rPr>
          <w:b/>
          <w:bCs/>
          <w:color w:val="54883D"/>
          <w:sz w:val="20"/>
          <w:szCs w:val="18"/>
        </w:rPr>
        <w:t>.</w:t>
      </w:r>
      <w:r>
        <w:rPr>
          <w:b/>
          <w:color w:val="000000"/>
        </w:rPr>
        <w:t xml:space="preserve"> </w:t>
      </w:r>
      <w:r>
        <w:rPr>
          <w:b/>
          <w:bCs/>
          <w:color w:val="54883D"/>
          <w:sz w:val="20"/>
          <w:szCs w:val="18"/>
        </w:rPr>
        <w:t>Vrijednost kriterija za posljedice na gospodarstvo po kategorijama - suša</w:t>
      </w:r>
    </w:p>
    <w:tbl>
      <w:tblPr>
        <w:tblStyle w:val="ivopisnatablicareetke6-isticanje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6"/>
        <w:gridCol w:w="2600"/>
        <w:gridCol w:w="3064"/>
        <w:gridCol w:w="1759"/>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600"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3064"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759"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1.</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265.321,03 – 530.642,06</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2.</w:t>
            </w:r>
          </w:p>
        </w:tc>
        <w:tc>
          <w:tcPr>
            <w:tcW w:w="2600"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064"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sz w:val="20"/>
                <w:szCs w:val="20"/>
              </w:rPr>
              <w:t>530.642,06– 2.653.210,29</w:t>
            </w:r>
          </w:p>
        </w:tc>
        <w:tc>
          <w:tcPr>
            <w:tcW w:w="1759" w:type="dxa"/>
            <w:tcBorders/>
            <w:shd w:color="auto" w:fill="FFFFFF" w:themeFill="background1"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3.</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2.653.210,29– 7.959.630,90</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t>x</w:t>
            </w:r>
          </w:p>
        </w:tc>
      </w:tr>
      <w:tr>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4.</w:t>
            </w:r>
          </w:p>
        </w:tc>
        <w:tc>
          <w:tcPr>
            <w:tcW w:w="2600"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064"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sz w:val="20"/>
                <w:szCs w:val="20"/>
              </w:rPr>
              <w:t>7.959.630,90– 13.266.051,44</w:t>
            </w:r>
          </w:p>
        </w:tc>
        <w:tc>
          <w:tcPr>
            <w:tcW w:w="1759"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color w:val="000000"/>
                <w:sz w:val="20"/>
                <w:szCs w:val="20"/>
              </w:rPr>
            </w:pPr>
            <w:r>
              <w:rPr>
                <w:b/>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5.</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&gt; 13.266.051,44</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u w:val="single"/>
        </w:rPr>
      </w:pPr>
      <w:r>
        <w:rPr>
          <w:u w:val="single"/>
        </w:rPr>
      </w:r>
    </w:p>
    <w:p>
      <w:pPr>
        <w:pStyle w:val="Normal"/>
        <w:rPr>
          <w:i/>
          <w:i/>
          <w:color w:val="40883D"/>
        </w:rPr>
      </w:pPr>
      <w:r>
        <w:rPr>
          <w:i/>
          <w:color w:val="40883D"/>
        </w:rPr>
        <w:t>Društvena stabilnost i politika</w:t>
      </w:r>
    </w:p>
    <w:p>
      <w:pPr>
        <w:pStyle w:val="Normal"/>
        <w:spacing w:before="80" w:after="0"/>
        <w:rPr>
          <w:b/>
          <w:b/>
          <w:szCs w:val="20"/>
          <w:u w:val="single"/>
        </w:rPr>
      </w:pPr>
      <w:r>
        <w:rPr>
          <w:b/>
          <w:szCs w:val="20"/>
          <w:u w:val="single"/>
        </w:rPr>
        <w:t xml:space="preserve">Posljedice na kritičnu infrastrukturu: </w:t>
      </w:r>
    </w:p>
    <w:p>
      <w:pPr>
        <w:pStyle w:val="Normal"/>
        <w:spacing w:before="120" w:after="120"/>
        <w:ind w:right="74" w:hanging="0"/>
        <w:rPr>
          <w:i/>
          <w:i/>
          <w:iCs/>
          <w:color w:val="54883D"/>
        </w:rPr>
      </w:pPr>
      <w:r>
        <w:rPr>
          <w:i/>
          <w:iCs/>
          <w:color w:val="54883D"/>
        </w:rPr>
      </w:r>
    </w:p>
    <w:p>
      <w:pPr>
        <w:pStyle w:val="Normal"/>
        <w:spacing w:before="120" w:after="120"/>
        <w:ind w:right="74" w:hanging="0"/>
        <w:rPr>
          <w:i/>
          <w:i/>
          <w:iCs/>
          <w:color w:val="54883D"/>
        </w:rPr>
      </w:pPr>
      <w:r>
        <w:rPr>
          <w:i/>
          <w:iCs/>
          <w:color w:val="54883D"/>
        </w:rPr>
        <w:t>Vodno gospodarstvo</w:t>
      </w:r>
    </w:p>
    <w:p>
      <w:pPr>
        <w:pStyle w:val="Normal"/>
        <w:rPr>
          <w:rFonts w:eastAsia="Calibri" w:eastAsiaTheme="minorHAnsi"/>
          <w:iCs/>
        </w:rPr>
      </w:pPr>
      <w:r>
        <w:rPr>
          <w:rFonts w:eastAsia="Calibri" w:eastAsiaTheme="minorHAnsi"/>
          <w:iCs/>
        </w:rPr>
        <w:t>Posljedice od suše očituju se smanjenjem  kapaciteta  vodocrpilišta, pritisak vode u sustavu pada te dolazi do poteškoća u opskrbi stanovništva vodom, ali ne u mjeri da remeti normalno funkcioniranje Grada.</w:t>
      </w:r>
    </w:p>
    <w:p>
      <w:pPr>
        <w:pStyle w:val="Normal"/>
        <w:rPr>
          <w:i/>
          <w:i/>
          <w:iCs/>
          <w:color w:val="54883D"/>
        </w:rPr>
      </w:pPr>
      <w:r>
        <w:rPr>
          <w:i/>
          <w:iCs/>
          <w:color w:val="54883D"/>
        </w:rPr>
        <w:t>Hrana</w:t>
      </w:r>
    </w:p>
    <w:p>
      <w:pPr>
        <w:pStyle w:val="Normal"/>
        <w:rPr/>
      </w:pPr>
      <w:r>
        <w:rPr>
          <w:rFonts w:eastAsia="Calibri" w:eastAsiaTheme="minorHAnsi"/>
          <w:iCs/>
        </w:rPr>
        <w:t xml:space="preserve">Štete na usjevima kao rezultat sušenja biljaka. Gubitak jednogodišnjih i višegodišnjih uroda, smanjeni prinosi, dio usjeva može biti uništen. Ove štete neće utjecati na </w:t>
      </w:r>
      <w:r>
        <w:rPr/>
        <w:t xml:space="preserve">distribuciju namirnica, ali može uzrokovati smanjenje količine namirnica. </w:t>
      </w:r>
    </w:p>
    <w:p>
      <w:pPr>
        <w:pStyle w:val="Normal"/>
        <w:rPr/>
      </w:pPr>
      <w:r>
        <w:rPr/>
      </w:r>
    </w:p>
    <w:p>
      <w:pPr>
        <w:pStyle w:val="Normal"/>
        <w:spacing w:before="0" w:after="0"/>
        <w:jc w:val="center"/>
        <w:rPr>
          <w:b/>
          <w:b/>
          <w:bCs/>
          <w:i/>
          <w:i/>
          <w:color w:val="54883D"/>
          <w:sz w:val="20"/>
          <w:szCs w:val="18"/>
        </w:rPr>
      </w:pPr>
      <w:r>
        <w:rPr>
          <w:b/>
          <w:color w:val="54883D"/>
          <w:sz w:val="20"/>
          <w:szCs w:val="18"/>
        </w:rPr>
        <w:t xml:space="preserve">Tablica </w:t>
      </w:r>
      <w:r>
        <w:rPr>
          <w:b/>
          <w:color w:val="54883D"/>
          <w:sz w:val="20"/>
          <w:szCs w:val="18"/>
        </w:rPr>
        <w:fldChar w:fldCharType="begin"/>
      </w:r>
      <w:r>
        <w:rPr>
          <w:sz w:val="20"/>
          <w:b/>
          <w:szCs w:val="18"/>
          <w:color w:val="54883D"/>
        </w:rPr>
        <w:instrText> SEQ Tabela \* ARABIC </w:instrText>
      </w:r>
      <w:r>
        <w:rPr>
          <w:sz w:val="20"/>
          <w:b/>
          <w:szCs w:val="18"/>
          <w:color w:val="54883D"/>
        </w:rPr>
        <w:fldChar w:fldCharType="separate"/>
      </w:r>
      <w:r>
        <w:rPr>
          <w:sz w:val="20"/>
          <w:b/>
          <w:szCs w:val="18"/>
          <w:color w:val="54883D"/>
        </w:rPr>
        <w:t>57</w:t>
      </w:r>
      <w:r>
        <w:rPr>
          <w:sz w:val="20"/>
          <w:b/>
          <w:szCs w:val="18"/>
          <w:color w:val="54883D"/>
        </w:rPr>
        <w:fldChar w:fldCharType="end"/>
      </w:r>
      <w:r>
        <w:rPr>
          <w:b/>
          <w:color w:val="54883D"/>
          <w:sz w:val="20"/>
          <w:szCs w:val="18"/>
        </w:rPr>
        <w:t>.</w:t>
      </w:r>
      <w:r>
        <w:rPr>
          <w:b/>
          <w:bCs/>
          <w:i/>
          <w:color w:val="54883D"/>
          <w:sz w:val="20"/>
          <w:szCs w:val="18"/>
        </w:rPr>
        <w:t xml:space="preserve"> Vrijednost kriterija za posljedice na društvenu stabilnost i politiku - oštećena kritična infrastruktura – suša</w:t>
      </w:r>
    </w:p>
    <w:tbl>
      <w:tblPr>
        <w:tblStyle w:val="ivopisnatablicareetke6-isticanje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2"/>
        <w:gridCol w:w="2468"/>
        <w:gridCol w:w="2996"/>
        <w:gridCol w:w="1963"/>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468"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2996"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963"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1.</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265.321,03 – 530.642,06</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2.</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530.642,06– 2.653.210,29</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color w:val="000000"/>
                <w:sz w:val="20"/>
                <w:szCs w:val="20"/>
              </w:rPr>
            </w:pPr>
            <w:r>
              <w:rPr>
                <w:b/>
                <w:color w:val="000000"/>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3.</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2.653.210,29– 7.959.630,90</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r>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4.</w:t>
            </w:r>
          </w:p>
        </w:tc>
        <w:tc>
          <w:tcPr>
            <w:tcW w:w="2468"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2996"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highlight w:val="yellow"/>
              </w:rPr>
            </w:pPr>
            <w:r>
              <w:rPr>
                <w:color w:val="FF0000"/>
                <w:sz w:val="20"/>
                <w:szCs w:val="20"/>
              </w:rPr>
              <w:t>7.959.630,90– 13.266.051,44</w:t>
            </w:r>
          </w:p>
        </w:tc>
        <w:tc>
          <w:tcPr>
            <w:tcW w:w="1963" w:type="dxa"/>
            <w:tcBorders/>
            <w:shd w:color="auto" w:fill="FFFFFF" w:themeFill="background1"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2"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40" w:before="80" w:after="0"/>
              <w:jc w:val="center"/>
              <w:rPr>
                <w:color w:val="000000"/>
                <w:sz w:val="20"/>
                <w:szCs w:val="20"/>
              </w:rPr>
            </w:pPr>
            <w:r>
              <w:rPr>
                <w:b/>
                <w:bCs/>
                <w:color w:val="000000"/>
                <w:sz w:val="20"/>
                <w:szCs w:val="20"/>
              </w:rPr>
              <w:t>5.</w:t>
            </w:r>
          </w:p>
        </w:tc>
        <w:tc>
          <w:tcPr>
            <w:tcW w:w="2468"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2996"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highlight w:val="yellow"/>
              </w:rPr>
            </w:pPr>
            <w:r>
              <w:rPr>
                <w:color w:val="FF0000"/>
                <w:sz w:val="20"/>
                <w:szCs w:val="20"/>
              </w:rPr>
              <w:t>&gt; 13.266.051,44</w:t>
            </w:r>
          </w:p>
        </w:tc>
        <w:tc>
          <w:tcPr>
            <w:tcW w:w="1963" w:type="dxa"/>
            <w:tcBorders/>
            <w:shd w:color="auto" w:fill="FFFFFF" w:themeFill="background1"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b/>
          <w:b/>
          <w:i/>
          <w:i/>
          <w:szCs w:val="20"/>
          <w:u w:val="single"/>
        </w:rPr>
      </w:pPr>
      <w:r>
        <w:rPr>
          <w:b/>
          <w:i/>
          <w:szCs w:val="20"/>
          <w:u w:val="single"/>
        </w:rPr>
      </w:r>
    </w:p>
    <w:p>
      <w:pPr>
        <w:pStyle w:val="Normal"/>
        <w:rPr>
          <w:b/>
          <w:b/>
          <w:szCs w:val="20"/>
          <w:u w:val="single"/>
        </w:rPr>
      </w:pPr>
      <w:r>
        <w:rPr>
          <w:b/>
          <w:szCs w:val="20"/>
          <w:u w:val="single"/>
        </w:rPr>
        <w:t xml:space="preserve">Posljedice na građevinama od javnog društvenog značaja: </w:t>
      </w:r>
    </w:p>
    <w:p>
      <w:pPr>
        <w:pStyle w:val="Normal"/>
        <w:rPr/>
      </w:pPr>
      <w:r>
        <w:rPr/>
        <w:t>U slučaju pojave suše ne očekuje se materijalna šteta na objektima kritične infrastrukture niti na ustanovama/građevinama od javnog društvenog značaja.</w:t>
      </w:r>
    </w:p>
    <w:p>
      <w:pPr>
        <w:pStyle w:val="Normal"/>
        <w:rPr/>
      </w:pPr>
      <w:r>
        <w:rPr/>
      </w:r>
    </w:p>
    <w:p>
      <w:pPr>
        <w:pStyle w:val="Normal"/>
        <w:spacing w:before="0" w:after="0"/>
        <w:jc w:val="center"/>
        <w:rPr>
          <w:b/>
          <w:b/>
          <w:bCs/>
          <w:i/>
          <w:i/>
          <w:color w:val="54883D"/>
          <w:sz w:val="20"/>
          <w:szCs w:val="18"/>
        </w:rPr>
      </w:pPr>
      <w:r>
        <w:rPr>
          <w:b/>
          <w:color w:val="54883D"/>
          <w:sz w:val="20"/>
          <w:szCs w:val="18"/>
        </w:rPr>
        <w:t xml:space="preserve">Tablica </w:t>
      </w:r>
      <w:r>
        <w:rPr>
          <w:b/>
          <w:color w:val="54883D"/>
          <w:sz w:val="20"/>
          <w:szCs w:val="18"/>
        </w:rPr>
        <w:fldChar w:fldCharType="begin"/>
      </w:r>
      <w:r>
        <w:rPr>
          <w:sz w:val="20"/>
          <w:b/>
          <w:szCs w:val="18"/>
          <w:color w:val="54883D"/>
        </w:rPr>
        <w:instrText> SEQ Tabela \* ARABIC </w:instrText>
      </w:r>
      <w:r>
        <w:rPr>
          <w:sz w:val="20"/>
          <w:b/>
          <w:szCs w:val="18"/>
          <w:color w:val="54883D"/>
        </w:rPr>
        <w:fldChar w:fldCharType="separate"/>
      </w:r>
      <w:r>
        <w:rPr>
          <w:sz w:val="20"/>
          <w:b/>
          <w:szCs w:val="18"/>
          <w:color w:val="54883D"/>
        </w:rPr>
        <w:t>58</w:t>
      </w:r>
      <w:r>
        <w:rPr>
          <w:sz w:val="20"/>
          <w:b/>
          <w:szCs w:val="18"/>
          <w:color w:val="54883D"/>
        </w:rPr>
        <w:fldChar w:fldCharType="end"/>
      </w:r>
      <w:r>
        <w:rPr>
          <w:b/>
          <w:color w:val="54883D"/>
          <w:sz w:val="20"/>
          <w:szCs w:val="18"/>
        </w:rPr>
        <w:t>.</w:t>
      </w:r>
      <w:r>
        <w:rPr>
          <w:b/>
          <w:bCs/>
          <w:i/>
          <w:color w:val="54883D"/>
          <w:sz w:val="20"/>
          <w:szCs w:val="18"/>
        </w:rPr>
        <w:t xml:space="preserve"> Vrijednost kriterija za posljedice na društvenu stabilnost i politiku  - štete/gubitci na ustanovama/građevinama javnog društvenog značaja - suša</w:t>
      </w:r>
    </w:p>
    <w:tbl>
      <w:tblPr>
        <w:tblStyle w:val="ivopisnatablicareetke6-isticanje31"/>
        <w:tblW w:w="5000" w:type="pct"/>
        <w:jc w:val="center"/>
        <w:tblInd w:w="0" w:type="dxa"/>
        <w:tblCellMar>
          <w:top w:w="0" w:type="dxa"/>
          <w:left w:w="108" w:type="dxa"/>
          <w:bottom w:w="0" w:type="dxa"/>
          <w:right w:w="108" w:type="dxa"/>
        </w:tblCellMar>
        <w:tblLook w:firstRow="1" w:noVBand="1" w:lastRow="0" w:firstColumn="1" w:lastColumn="0" w:noHBand="0" w:val="04a0"/>
      </w:tblPr>
      <w:tblGrid>
        <w:gridCol w:w="1646"/>
        <w:gridCol w:w="2600"/>
        <w:gridCol w:w="3064"/>
        <w:gridCol w:w="1759"/>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jc w:val="center"/>
              <w:rPr>
                <w:color w:val="000000"/>
                <w:sz w:val="20"/>
                <w:szCs w:val="20"/>
              </w:rPr>
            </w:pPr>
            <w:r>
              <w:rPr>
                <w:b/>
                <w:bCs/>
                <w:color w:val="000000"/>
                <w:sz w:val="20"/>
                <w:szCs w:val="20"/>
              </w:rPr>
              <w:t>KATEGORIJA</w:t>
            </w:r>
          </w:p>
        </w:tc>
        <w:tc>
          <w:tcPr>
            <w:tcW w:w="2600"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POSLJEDICE</w:t>
            </w:r>
          </w:p>
        </w:tc>
        <w:tc>
          <w:tcPr>
            <w:tcW w:w="3064"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KRITERIJ (kn)</w:t>
            </w:r>
          </w:p>
        </w:tc>
        <w:tc>
          <w:tcPr>
            <w:tcW w:w="1759" w:type="dxa"/>
            <w:tcBorders>
              <w:bottom w:val="single" w:sz="12" w:space="0" w:color="C2D69B"/>
            </w:tcBorders>
            <w:shd w:color="auto" w:fill="EAF1DD" w:themeFill="accent3" w:themeFillTint="33" w:val="clear"/>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Pr>
                <w:b/>
                <w:bCs/>
                <w:color w:val="000000"/>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1.</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Neznatne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265.321,03 – 530.642,06</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t>x</w:t>
            </w:r>
          </w:p>
        </w:tc>
      </w:tr>
      <w:tr>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2.</w:t>
            </w:r>
          </w:p>
        </w:tc>
        <w:tc>
          <w:tcPr>
            <w:tcW w:w="2600"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Male</w:t>
            </w:r>
          </w:p>
        </w:tc>
        <w:tc>
          <w:tcPr>
            <w:tcW w:w="3064"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sz w:val="20"/>
                <w:szCs w:val="20"/>
              </w:rPr>
              <w:t>530.642,06– 2.653.210,29</w:t>
            </w:r>
          </w:p>
        </w:tc>
        <w:tc>
          <w:tcPr>
            <w:tcW w:w="1759" w:type="dxa"/>
            <w:tcBorders/>
            <w:shd w:color="auto" w:fill="FFFFFF" w:themeFill="background1" w:val="clear"/>
            <w:vAlign w:val="cente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3.</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Umjerene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2.653.210,29– 7.959.630,90</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color w:val="000000"/>
                <w:sz w:val="20"/>
                <w:szCs w:val="20"/>
              </w:rPr>
            </w:pPr>
            <w:r>
              <w:rPr>
                <w:b/>
                <w:color w:val="000000"/>
                <w:sz w:val="20"/>
                <w:szCs w:val="20"/>
              </w:rPr>
            </w:r>
          </w:p>
        </w:tc>
      </w:tr>
      <w:tr>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4.</w:t>
            </w:r>
          </w:p>
        </w:tc>
        <w:tc>
          <w:tcPr>
            <w:tcW w:w="2600"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Značajne</w:t>
            </w:r>
          </w:p>
        </w:tc>
        <w:tc>
          <w:tcPr>
            <w:tcW w:w="3064"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sz w:val="20"/>
                <w:szCs w:val="20"/>
              </w:rPr>
              <w:t>7.959.630,90– 13.266.051,44</w:t>
            </w:r>
          </w:p>
        </w:tc>
        <w:tc>
          <w:tcPr>
            <w:tcW w:w="1759" w:type="dxa"/>
            <w:tcBorders/>
            <w:shd w:color="auto" w:fill="FFFFFF" w:themeFill="background1" w:val="clear"/>
            <w:vAlign w:val="cente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b/>
                <w:b/>
                <w:color w:val="000000"/>
                <w:sz w:val="20"/>
                <w:szCs w:val="20"/>
              </w:rPr>
            </w:pPr>
            <w:r>
              <w:rPr>
                <w:b/>
                <w:color w:val="000000"/>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646"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vAlign w:val="center"/>
          </w:tcPr>
          <w:p>
            <w:pPr>
              <w:pStyle w:val="Normal"/>
              <w:spacing w:lineRule="auto" w:line="240" w:before="80" w:after="0"/>
              <w:jc w:val="center"/>
              <w:rPr>
                <w:color w:val="000000"/>
                <w:sz w:val="20"/>
                <w:szCs w:val="20"/>
              </w:rPr>
            </w:pPr>
            <w:r>
              <w:rPr>
                <w:b/>
                <w:bCs/>
                <w:color w:val="000000"/>
                <w:sz w:val="20"/>
                <w:szCs w:val="20"/>
              </w:rPr>
              <w:t>5.</w:t>
            </w:r>
          </w:p>
        </w:tc>
        <w:tc>
          <w:tcPr>
            <w:tcW w:w="2600"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Katastrofalne</w:t>
            </w:r>
          </w:p>
        </w:tc>
        <w:tc>
          <w:tcPr>
            <w:tcW w:w="3064"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sz w:val="20"/>
                <w:szCs w:val="20"/>
              </w:rPr>
              <w:t>&gt; 13.266.051,44</w:t>
            </w:r>
          </w:p>
        </w:tc>
        <w:tc>
          <w:tcPr>
            <w:tcW w:w="1759" w:type="dxa"/>
            <w:tcBorders/>
            <w:shd w:color="auto" w:fill="FFFFFF" w:themeFill="background1" w:val="clear"/>
            <w:vAlign w:val="cente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r>
          </w:p>
        </w:tc>
      </w:tr>
    </w:tbl>
    <w:p>
      <w:pPr>
        <w:pStyle w:val="Normal"/>
        <w:rPr>
          <w:i/>
          <w:i/>
          <w:iCs/>
          <w:color w:val="54883D"/>
        </w:rPr>
      </w:pPr>
      <w:r>
        <w:rPr>
          <w:i/>
          <w:iCs/>
          <w:color w:val="54883D"/>
        </w:rPr>
      </w:r>
    </w:p>
    <w:p>
      <w:pPr>
        <w:pStyle w:val="Normal"/>
        <w:spacing w:before="0" w:after="0"/>
        <w:jc w:val="center"/>
        <w:rPr>
          <w:b/>
          <w:b/>
          <w:bCs/>
          <w:i/>
          <w:i/>
          <w:color w:val="54883D"/>
          <w:sz w:val="20"/>
          <w:szCs w:val="18"/>
        </w:rPr>
      </w:pPr>
      <w:r>
        <w:rPr>
          <w:b/>
          <w:color w:val="54883D"/>
          <w:sz w:val="20"/>
          <w:szCs w:val="18"/>
        </w:rPr>
        <w:t xml:space="preserve">Tablica </w:t>
      </w:r>
      <w:r>
        <w:rPr>
          <w:b/>
          <w:color w:val="54883D"/>
          <w:sz w:val="20"/>
          <w:szCs w:val="18"/>
        </w:rPr>
        <w:fldChar w:fldCharType="begin"/>
      </w:r>
      <w:r>
        <w:rPr>
          <w:sz w:val="20"/>
          <w:b/>
          <w:szCs w:val="18"/>
          <w:color w:val="54883D"/>
        </w:rPr>
        <w:instrText> SEQ Tabela \* ARABIC </w:instrText>
      </w:r>
      <w:r>
        <w:rPr>
          <w:sz w:val="20"/>
          <w:b/>
          <w:szCs w:val="18"/>
          <w:color w:val="54883D"/>
        </w:rPr>
        <w:fldChar w:fldCharType="separate"/>
      </w:r>
      <w:r>
        <w:rPr>
          <w:sz w:val="20"/>
          <w:b/>
          <w:szCs w:val="18"/>
          <w:color w:val="54883D"/>
        </w:rPr>
        <w:t>59</w:t>
      </w:r>
      <w:r>
        <w:rPr>
          <w:sz w:val="20"/>
          <w:b/>
          <w:szCs w:val="18"/>
          <w:color w:val="54883D"/>
        </w:rPr>
        <w:fldChar w:fldCharType="end"/>
      </w:r>
      <w:r>
        <w:rPr>
          <w:b/>
          <w:color w:val="54883D"/>
          <w:sz w:val="20"/>
          <w:szCs w:val="18"/>
        </w:rPr>
        <w:t>.</w:t>
      </w:r>
      <w:r>
        <w:rPr>
          <w:b/>
          <w:bCs/>
          <w:i/>
          <w:color w:val="54883D"/>
          <w:sz w:val="20"/>
          <w:szCs w:val="18"/>
        </w:rPr>
        <w:t xml:space="preserve"> Vrijednost kriterija za društvenu stabilnost i politiku</w:t>
      </w:r>
    </w:p>
    <w:p>
      <w:pPr>
        <w:pStyle w:val="Normal"/>
        <w:spacing w:before="0" w:after="0"/>
        <w:jc w:val="center"/>
        <w:rPr>
          <w:b/>
          <w:b/>
          <w:bCs/>
          <w:i/>
          <w:i/>
          <w:color w:val="54883D"/>
          <w:sz w:val="20"/>
          <w:szCs w:val="18"/>
        </w:rPr>
      </w:pPr>
      <w:r>
        <w:rPr>
          <w:b/>
          <w:bCs/>
          <w:i/>
          <w:color w:val="54883D"/>
          <w:sz w:val="20"/>
          <w:szCs w:val="18"/>
        </w:rPr>
        <w:t>- zbirno – suša</w:t>
      </w:r>
    </w:p>
    <w:tbl>
      <w:tblPr>
        <w:tblStyle w:val="ivopisnatablicareetke6-isticanje32"/>
        <w:tblW w:w="5000" w:type="pct"/>
        <w:jc w:val="center"/>
        <w:tblInd w:w="0" w:type="dxa"/>
        <w:tblCellMar>
          <w:top w:w="0" w:type="dxa"/>
          <w:left w:w="108" w:type="dxa"/>
          <w:bottom w:w="0" w:type="dxa"/>
          <w:right w:w="108" w:type="dxa"/>
        </w:tblCellMar>
        <w:tblLook w:firstRow="1" w:noVBand="1" w:lastRow="0" w:firstColumn="1" w:lastColumn="0" w:noHBand="0" w:val="04a0"/>
      </w:tblPr>
      <w:tblGrid>
        <w:gridCol w:w="1717"/>
        <w:gridCol w:w="2329"/>
        <w:gridCol w:w="3127"/>
        <w:gridCol w:w="1896"/>
      </w:tblGrid>
      <w:tr>
        <w:trPr>
          <w:cnfStyle w:val="100000000000" w:firstRow="1" w:lastRow="0" w:firstColumn="0" w:lastColumn="0" w:oddVBand="0" w:evenVBand="0" w:oddHBand="0"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76" w:before="80" w:after="0"/>
              <w:ind w:left="29" w:hanging="0"/>
              <w:jc w:val="center"/>
              <w:rPr>
                <w:sz w:val="20"/>
              </w:rPr>
            </w:pPr>
            <w:r>
              <w:rPr>
                <w:b/>
                <w:bCs/>
                <w:color w:val="76923C"/>
                <w:sz w:val="20"/>
              </w:rPr>
              <w:t>KATEGORIJA</w:t>
            </w:r>
          </w:p>
        </w:tc>
        <w:tc>
          <w:tcPr>
            <w:tcW w:w="2329" w:type="dxa"/>
            <w:tcBorders>
              <w:bottom w:val="single" w:sz="12" w:space="0" w:color="C2D69B"/>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KRITIČNA INFRASTRUKTURA</w:t>
            </w:r>
          </w:p>
        </w:tc>
        <w:tc>
          <w:tcPr>
            <w:tcW w:w="3127" w:type="dxa"/>
            <w:tcBorders>
              <w:bottom w:val="single" w:sz="12" w:space="0" w:color="C2D69B"/>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USTANOVE/GRAĐEVINE JAVNOG DRUŠTVENOG ZNAČAJA</w:t>
            </w:r>
          </w:p>
        </w:tc>
        <w:tc>
          <w:tcPr>
            <w:tcW w:w="1896" w:type="dxa"/>
            <w:tcBorders>
              <w:bottom w:val="single" w:sz="12" w:space="0" w:color="C2D69B"/>
            </w:tcBorders>
            <w:shd w:color="auto" w:fill="EAF1DD" w:themeFill="accent3" w:themeFillTint="33" w:val="clear"/>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sz w:val="20"/>
              </w:rPr>
            </w:pPr>
            <w:r>
              <w:rPr>
                <w:b/>
                <w:bCs/>
                <w:color w:val="76923C"/>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ind w:left="29" w:hanging="29"/>
              <w:jc w:val="center"/>
              <w:rPr>
                <w:sz w:val="20"/>
              </w:rPr>
            </w:pPr>
            <w:r>
              <w:rPr>
                <w:b/>
                <w:bCs/>
                <w:color w:val="76923C"/>
                <w:sz w:val="20"/>
              </w:rPr>
              <w:t>1.</w:t>
            </w:r>
          </w:p>
        </w:tc>
        <w:tc>
          <w:tcPr>
            <w:tcW w:w="2329"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3127"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t>x</w:t>
            </w:r>
          </w:p>
        </w:tc>
        <w:tc>
          <w:tcPr>
            <w:tcW w:w="1896"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r>
      <w:tr>
        <w:trPr/>
        <w:tc>
          <w:tcPr>
            <w:tcW w:w="171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ind w:left="29" w:hanging="29"/>
              <w:jc w:val="center"/>
              <w:rPr>
                <w:sz w:val="20"/>
              </w:rPr>
            </w:pPr>
            <w:r>
              <w:rPr>
                <w:b/>
                <w:bCs/>
                <w:color w:val="76923C"/>
                <w:sz w:val="20"/>
              </w:rPr>
              <w:t>2.</w:t>
            </w:r>
          </w:p>
        </w:tc>
        <w:tc>
          <w:tcPr>
            <w:tcW w:w="2329"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t>x</w:t>
            </w:r>
          </w:p>
        </w:tc>
        <w:tc>
          <w:tcPr>
            <w:tcW w:w="3127"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1896"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t>x</w:t>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ind w:left="29" w:hanging="29"/>
              <w:jc w:val="center"/>
              <w:rPr>
                <w:sz w:val="20"/>
              </w:rPr>
            </w:pPr>
            <w:r>
              <w:rPr>
                <w:b/>
                <w:bCs/>
                <w:color w:val="76923C"/>
                <w:sz w:val="20"/>
              </w:rPr>
              <w:t>3.</w:t>
            </w:r>
          </w:p>
        </w:tc>
        <w:tc>
          <w:tcPr>
            <w:tcW w:w="2329"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3127"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c>
          <w:tcPr>
            <w:tcW w:w="1896"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sz w:val="20"/>
              </w:rPr>
            </w:r>
          </w:p>
        </w:tc>
      </w:tr>
      <w:tr>
        <w:trPr/>
        <w:tc>
          <w:tcPr>
            <w:tcW w:w="171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ind w:left="29" w:hanging="29"/>
              <w:jc w:val="center"/>
              <w:rPr>
                <w:sz w:val="20"/>
              </w:rPr>
            </w:pPr>
            <w:r>
              <w:rPr>
                <w:b/>
                <w:bCs/>
                <w:color w:val="76923C"/>
                <w:sz w:val="20"/>
              </w:rPr>
              <w:t>4.</w:t>
            </w:r>
          </w:p>
        </w:tc>
        <w:tc>
          <w:tcPr>
            <w:tcW w:w="2329"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3127"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c>
          <w:tcPr>
            <w:tcW w:w="1896" w:type="dxa"/>
            <w:tcBorders/>
            <w:shd w:color="auto" w:fill="FFFFFF" w:themeFill="background1" w:val="clear"/>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sz w:val="20"/>
              </w:rPr>
            </w:r>
          </w:p>
        </w:tc>
      </w:tr>
      <w:tr>
        <w:trPr>
          <w:cnfStyle w:val="000000100000" w:firstRow="0" w:lastRow="0" w:firstColumn="0" w:lastColumn="0" w:oddVBand="0" w:evenVBand="0" w:oddHBand="1" w:evenHBand="0" w:firstRowFirstColumn="0" w:firstRowLastColumn="0" w:lastRowFirstColumn="0" w:lastRowLastColumn="0"/>
        </w:trPr>
        <w:tc>
          <w:tcPr>
            <w:tcW w:w="1717"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ind w:left="29" w:hanging="29"/>
              <w:jc w:val="center"/>
              <w:rPr>
                <w:sz w:val="20"/>
              </w:rPr>
            </w:pPr>
            <w:r>
              <w:rPr>
                <w:b/>
                <w:bCs/>
                <w:color w:val="76923C"/>
                <w:sz w:val="20"/>
              </w:rPr>
              <w:t>5.</w:t>
            </w:r>
          </w:p>
        </w:tc>
        <w:tc>
          <w:tcPr>
            <w:tcW w:w="2329"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sz w:val="20"/>
              </w:rPr>
            </w:r>
          </w:p>
        </w:tc>
        <w:tc>
          <w:tcPr>
            <w:tcW w:w="3127"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sz w:val="20"/>
              </w:rPr>
            </w:r>
          </w:p>
        </w:tc>
        <w:tc>
          <w:tcPr>
            <w:tcW w:w="1896" w:type="dxa"/>
            <w:tcBorders/>
            <w:shd w:color="auto" w:fill="FFFFFF" w:themeFill="background1"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sz w:val="20"/>
              </w:rPr>
            </w:r>
          </w:p>
        </w:tc>
      </w:tr>
    </w:tbl>
    <w:p>
      <w:pPr>
        <w:pStyle w:val="Normal"/>
        <w:rPr>
          <w:i/>
          <w:i/>
          <w:iCs/>
          <w:color w:val="54883D"/>
        </w:rPr>
      </w:pPr>
      <w:r>
        <w:rPr>
          <w:i/>
          <w:iCs/>
          <w:color w:val="54883D"/>
        </w:rPr>
      </w:r>
    </w:p>
    <w:p>
      <w:pPr>
        <w:pStyle w:val="Normal"/>
        <w:rPr>
          <w:i/>
          <w:i/>
          <w:iCs/>
          <w:color w:val="54883D"/>
        </w:rPr>
      </w:pPr>
      <w:r>
        <w:rPr>
          <w:i/>
          <w:iCs/>
          <w:color w:val="54883D"/>
        </w:rPr>
        <w:t>Vjerojatnost događaja</w:t>
      </w:r>
    </w:p>
    <w:p>
      <w:pPr>
        <w:pStyle w:val="Normal"/>
        <w:rPr/>
      </w:pPr>
      <w:r>
        <w:rPr/>
        <w:t>Frekvencija događaja temelji se na podacima o pojavnosti suše u zadnjih 10 godina na području Grada.</w:t>
      </w:r>
    </w:p>
    <w:p>
      <w:pPr>
        <w:pStyle w:val="Normal"/>
        <w:spacing w:before="0" w:after="0"/>
        <w:jc w:val="center"/>
        <w:rPr>
          <w:b/>
          <w:b/>
          <w:color w:val="54883D"/>
          <w:sz w:val="20"/>
          <w:szCs w:val="18"/>
        </w:rPr>
      </w:pPr>
      <w:r>
        <w:rPr>
          <w:b/>
          <w:color w:val="54883D"/>
          <w:sz w:val="20"/>
          <w:szCs w:val="18"/>
        </w:rPr>
      </w:r>
    </w:p>
    <w:p>
      <w:pPr>
        <w:pStyle w:val="Normal"/>
        <w:spacing w:before="0" w:after="0"/>
        <w:jc w:val="center"/>
        <w:rPr>
          <w:b/>
          <w:b/>
          <w:color w:val="54883D"/>
          <w:sz w:val="20"/>
          <w:szCs w:val="18"/>
        </w:rPr>
      </w:pPr>
      <w:r>
        <w:rPr>
          <w:b/>
          <w:color w:val="54883D"/>
          <w:sz w:val="20"/>
          <w:szCs w:val="18"/>
        </w:rPr>
      </w:r>
    </w:p>
    <w:p>
      <w:pPr>
        <w:pStyle w:val="Normal"/>
        <w:spacing w:before="0" w:after="0"/>
        <w:jc w:val="center"/>
        <w:rPr>
          <w:b/>
          <w:b/>
          <w:color w:val="54883D"/>
          <w:sz w:val="20"/>
          <w:szCs w:val="18"/>
        </w:rPr>
      </w:pPr>
      <w:r>
        <w:rPr>
          <w:b/>
          <w:color w:val="54883D"/>
          <w:sz w:val="20"/>
          <w:szCs w:val="18"/>
        </w:rPr>
      </w:r>
    </w:p>
    <w:p>
      <w:pPr>
        <w:pStyle w:val="Normal"/>
        <w:spacing w:before="0" w:after="0"/>
        <w:jc w:val="center"/>
        <w:rPr>
          <w:b/>
          <w:b/>
          <w:color w:val="54883D"/>
          <w:sz w:val="20"/>
          <w:szCs w:val="18"/>
        </w:rPr>
      </w:pPr>
      <w:r>
        <w:rPr>
          <w:b/>
          <w:color w:val="54883D"/>
          <w:sz w:val="20"/>
          <w:szCs w:val="18"/>
        </w:rPr>
      </w:r>
    </w:p>
    <w:p>
      <w:pPr>
        <w:pStyle w:val="Normal"/>
        <w:spacing w:before="0" w:after="0"/>
        <w:jc w:val="center"/>
        <w:rPr>
          <w:b/>
          <w:b/>
          <w:bCs/>
          <w:i/>
          <w:i/>
          <w:color w:val="54883D"/>
          <w:sz w:val="20"/>
          <w:szCs w:val="18"/>
        </w:rPr>
      </w:pPr>
      <w:r>
        <w:rPr>
          <w:b/>
          <w:color w:val="54883D"/>
          <w:sz w:val="20"/>
          <w:szCs w:val="18"/>
        </w:rPr>
        <w:t xml:space="preserve">Tablica </w:t>
      </w:r>
      <w:r>
        <w:rPr>
          <w:b/>
          <w:color w:val="54883D"/>
          <w:sz w:val="20"/>
          <w:szCs w:val="18"/>
        </w:rPr>
        <w:fldChar w:fldCharType="begin"/>
      </w:r>
      <w:r>
        <w:rPr>
          <w:sz w:val="20"/>
          <w:b/>
          <w:szCs w:val="18"/>
          <w:color w:val="54883D"/>
        </w:rPr>
        <w:instrText> SEQ Tabela \* ARABIC </w:instrText>
      </w:r>
      <w:r>
        <w:rPr>
          <w:sz w:val="20"/>
          <w:b/>
          <w:szCs w:val="18"/>
          <w:color w:val="54883D"/>
        </w:rPr>
        <w:fldChar w:fldCharType="separate"/>
      </w:r>
      <w:r>
        <w:rPr>
          <w:sz w:val="20"/>
          <w:b/>
          <w:szCs w:val="18"/>
          <w:color w:val="54883D"/>
        </w:rPr>
        <w:t>60</w:t>
      </w:r>
      <w:r>
        <w:rPr>
          <w:sz w:val="20"/>
          <w:b/>
          <w:szCs w:val="18"/>
          <w:color w:val="54883D"/>
        </w:rPr>
        <w:fldChar w:fldCharType="end"/>
      </w:r>
      <w:r>
        <w:rPr>
          <w:b/>
          <w:color w:val="54883D"/>
          <w:sz w:val="20"/>
          <w:szCs w:val="18"/>
        </w:rPr>
        <w:t>.</w:t>
      </w:r>
      <w:r>
        <w:rPr>
          <w:b/>
          <w:bCs/>
          <w:i/>
          <w:color w:val="54883D"/>
          <w:sz w:val="20"/>
          <w:szCs w:val="18"/>
        </w:rPr>
        <w:t xml:space="preserve"> Vjerojatnost/frekvencija - suša</w:t>
      </w:r>
    </w:p>
    <w:tbl>
      <w:tblPr>
        <w:tblStyle w:val="ivopisnatablicareetke6-isticanje32"/>
        <w:tblW w:w="5000" w:type="pct"/>
        <w:jc w:val="left"/>
        <w:tblInd w:w="0" w:type="dxa"/>
        <w:tblCellMar>
          <w:top w:w="0" w:type="dxa"/>
          <w:left w:w="108" w:type="dxa"/>
          <w:bottom w:w="0" w:type="dxa"/>
          <w:right w:w="108" w:type="dxa"/>
        </w:tblCellMar>
        <w:tblLook w:firstRow="1" w:noVBand="1" w:lastRow="0" w:firstColumn="1" w:lastColumn="0" w:noHBand="0" w:val="04a0"/>
      </w:tblPr>
      <w:tblGrid>
        <w:gridCol w:w="1529"/>
        <w:gridCol w:w="1696"/>
        <w:gridCol w:w="1829"/>
        <w:gridCol w:w="2620"/>
        <w:gridCol w:w="1396"/>
      </w:tblGrid>
      <w:tr>
        <w:trPr>
          <w:trHeight w:val="254" w:hRule="atLeast"/>
          <w:cnfStyle w:val="100000000000" w:firstRow="1" w:lastRow="0" w:firstColumn="0" w:lastColumn="0" w:oddVBand="0" w:evenVBand="0" w:oddHBand="0" w:evenHBand="0" w:firstRowFirstColumn="0" w:firstRowLastColumn="0" w:lastRowFirstColumn="0" w:lastRowLastColumn="0"/>
        </w:trPr>
        <w:tc>
          <w:tcPr>
            <w:tcW w:w="1529"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vAlign w:val="center"/>
          </w:tcPr>
          <w:p>
            <w:pPr>
              <w:pStyle w:val="Normal"/>
              <w:spacing w:lineRule="auto" w:line="276" w:before="80" w:after="0"/>
              <w:jc w:val="center"/>
              <w:rPr>
                <w:sz w:val="20"/>
                <w:szCs w:val="20"/>
              </w:rPr>
            </w:pPr>
            <w:r>
              <w:rPr>
                <w:b/>
                <w:bCs/>
                <w:color w:val="76923C"/>
                <w:sz w:val="20"/>
                <w:szCs w:val="20"/>
              </w:rPr>
              <w:t>KATEGORIJA</w:t>
            </w:r>
          </w:p>
        </w:tc>
        <w:tc>
          <w:tcPr>
            <w:tcW w:w="7541" w:type="dxa"/>
            <w:gridSpan w:val="4"/>
            <w:tcBorders>
              <w:bottom w:val="single" w:sz="12" w:space="0" w:color="C2D69B"/>
            </w:tcBorders>
            <w:shd w:color="auto" w:fill="EAF1DD" w:themeFill="accent3" w:themeFillTint="33" w:val="clear"/>
          </w:tcPr>
          <w:p>
            <w:pPr>
              <w:pStyle w:val="Normal"/>
              <w:spacing w:lineRule="auto" w:line="276"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sz w:val="20"/>
                <w:szCs w:val="20"/>
              </w:rPr>
              <w:t>VJEROJATNOST / FREKVENCIJA</w:t>
            </w:r>
          </w:p>
        </w:tc>
      </w:tr>
      <w:tr>
        <w:trPr>
          <w:trHeight w:val="152" w:hRule="atLeast"/>
          <w:cnfStyle w:val="000000100000" w:firstRow="0" w:lastRow="0" w:firstColumn="0" w:lastColumn="0" w:oddVBand="0" w:evenVBand="0" w:oddHBand="1" w:evenHBand="0" w:firstRowFirstColumn="0" w:firstRowLastColumn="0" w:lastRowFirstColumn="0" w:lastRowLastColumn="0"/>
        </w:trPr>
        <w:tc>
          <w:tcPr>
            <w:tcW w:w="1529" w:type="dxa"/>
            <w:vMerge w:val="continue"/>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rPr>
                <w:sz w:val="20"/>
                <w:szCs w:val="20"/>
              </w:rPr>
            </w:pPr>
            <w:r>
              <w:rPr>
                <w:b/>
                <w:bCs/>
                <w:color w:val="76923C"/>
                <w:sz w:val="20"/>
                <w:szCs w:val="20"/>
              </w:rPr>
            </w:r>
          </w:p>
        </w:tc>
        <w:tc>
          <w:tcPr>
            <w:tcW w:w="1696"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KVALITATIVNO</w:t>
            </w:r>
          </w:p>
        </w:tc>
        <w:tc>
          <w:tcPr>
            <w:tcW w:w="1829"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VJEROJATNOST</w:t>
            </w:r>
          </w:p>
        </w:tc>
        <w:tc>
          <w:tcPr>
            <w:tcW w:w="2620"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FREKVENCIJA</w:t>
            </w:r>
          </w:p>
        </w:tc>
        <w:tc>
          <w:tcPr>
            <w:tcW w:w="1396"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sz w:val="20"/>
                <w:szCs w:val="20"/>
              </w:rPr>
              <w:t>ODABRANO</w:t>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sz w:val="20"/>
                <w:szCs w:val="20"/>
              </w:rPr>
            </w:pPr>
            <w:r>
              <w:rPr>
                <w:b/>
                <w:bCs/>
                <w:color w:val="76923C"/>
                <w:sz w:val="20"/>
                <w:szCs w:val="20"/>
              </w:rPr>
              <w:t>1</w:t>
            </w:r>
          </w:p>
        </w:tc>
        <w:tc>
          <w:tcPr>
            <w:tcW w:w="16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mala</w:t>
            </w:r>
          </w:p>
        </w:tc>
        <w:tc>
          <w:tcPr>
            <w:tcW w:w="1829"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&lt;1 %</w:t>
            </w:r>
          </w:p>
        </w:tc>
        <w:tc>
          <w:tcPr>
            <w:tcW w:w="2620"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100 godina i rjeđe</w:t>
            </w:r>
          </w:p>
        </w:tc>
        <w:tc>
          <w:tcPr>
            <w:tcW w:w="13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sz w:val="20"/>
                <w:szCs w:val="20"/>
              </w:rPr>
            </w:pPr>
            <w:r>
              <w:rPr>
                <w:b/>
                <w:bCs/>
                <w:color w:val="76923C"/>
                <w:sz w:val="20"/>
                <w:szCs w:val="20"/>
              </w:rPr>
              <w:t>2</w:t>
            </w:r>
          </w:p>
        </w:tc>
        <w:tc>
          <w:tcPr>
            <w:tcW w:w="1696"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Mala</w:t>
            </w:r>
          </w:p>
        </w:tc>
        <w:tc>
          <w:tcPr>
            <w:tcW w:w="1829"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 5 %</w:t>
            </w:r>
          </w:p>
        </w:tc>
        <w:tc>
          <w:tcPr>
            <w:tcW w:w="2620"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događaj u 20 do 100 godina</w:t>
            </w:r>
          </w:p>
        </w:tc>
        <w:tc>
          <w:tcPr>
            <w:tcW w:w="1396"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r>
          </w:p>
        </w:tc>
      </w:tr>
      <w:tr>
        <w:trPr>
          <w:trHeight w:val="254"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sz w:val="20"/>
                <w:szCs w:val="20"/>
              </w:rPr>
            </w:pPr>
            <w:r>
              <w:rPr>
                <w:b/>
                <w:bCs/>
                <w:color w:val="76923C"/>
                <w:sz w:val="20"/>
                <w:szCs w:val="20"/>
              </w:rPr>
              <w:t>3</w:t>
            </w:r>
          </w:p>
        </w:tc>
        <w:tc>
          <w:tcPr>
            <w:tcW w:w="16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Umjerena</w:t>
            </w:r>
          </w:p>
        </w:tc>
        <w:tc>
          <w:tcPr>
            <w:tcW w:w="1829"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5 – 50 %</w:t>
            </w:r>
          </w:p>
        </w:tc>
        <w:tc>
          <w:tcPr>
            <w:tcW w:w="2620"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u 2 do 20 godina</w:t>
            </w:r>
          </w:p>
        </w:tc>
        <w:tc>
          <w:tcPr>
            <w:tcW w:w="13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sz w:val="20"/>
                <w:szCs w:val="20"/>
              </w:rPr>
              <w:t>x</w:t>
            </w:r>
          </w:p>
        </w:tc>
      </w:tr>
      <w:tr>
        <w:trPr>
          <w:trHeight w:val="254" w:hRule="atLeast"/>
          <w:cnfStyle w:val="000000100000" w:firstRow="0" w:lastRow="0" w:firstColumn="0" w:lastColumn="0" w:oddVBand="0" w:evenVBand="0" w:oddHBand="1" w:evenHBand="0" w:firstRowFirstColumn="0" w:firstRowLastColumn="0" w:lastRowFirstColumn="0" w:lastRowLastColumn="0"/>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sz w:val="20"/>
                <w:szCs w:val="20"/>
              </w:rPr>
            </w:pPr>
            <w:r>
              <w:rPr>
                <w:b/>
                <w:bCs/>
                <w:color w:val="76923C"/>
                <w:sz w:val="20"/>
                <w:szCs w:val="20"/>
              </w:rPr>
              <w:t>4</w:t>
            </w:r>
          </w:p>
        </w:tc>
        <w:tc>
          <w:tcPr>
            <w:tcW w:w="1696"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Velika</w:t>
            </w:r>
          </w:p>
        </w:tc>
        <w:tc>
          <w:tcPr>
            <w:tcW w:w="1829"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51 – 98 %</w:t>
            </w:r>
          </w:p>
        </w:tc>
        <w:tc>
          <w:tcPr>
            <w:tcW w:w="2620"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t>1 događaj 1 do 2 godine</w:t>
            </w:r>
          </w:p>
        </w:tc>
        <w:tc>
          <w:tcPr>
            <w:tcW w:w="1396" w:type="dxa"/>
            <w:tcBorders/>
            <w:shd w:color="auto" w:fill="FFFFFF" w:themeFill="background1"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sz w:val="20"/>
                <w:szCs w:val="20"/>
              </w:rPr>
            </w:r>
          </w:p>
        </w:tc>
      </w:tr>
      <w:tr>
        <w:trPr>
          <w:trHeight w:val="270" w:hRule="atLeast"/>
        </w:trPr>
        <w:tc>
          <w:tcPr>
            <w:tcW w:w="1529" w:type="dxa"/>
            <w:cnfStyle w:val="001000000000" w:firstRow="0" w:lastRow="0" w:firstColumn="1" w:lastColumn="0" w:oddVBand="0" w:evenVBand="0" w:oddHBand="0" w:evenHBand="0" w:firstRowFirstColumn="0" w:firstRowLastColumn="0" w:lastRowFirstColumn="0" w:lastRowLastColumn="0"/>
            <w:tcBorders/>
            <w:shd w:color="auto" w:fill="FFFFFF" w:themeFill="background1" w:val="clear"/>
          </w:tcPr>
          <w:p>
            <w:pPr>
              <w:pStyle w:val="Normal"/>
              <w:spacing w:lineRule="auto" w:line="276" w:before="80" w:after="0"/>
              <w:jc w:val="center"/>
              <w:rPr>
                <w:sz w:val="20"/>
                <w:szCs w:val="20"/>
              </w:rPr>
            </w:pPr>
            <w:r>
              <w:rPr>
                <w:b/>
                <w:bCs/>
                <w:color w:val="76923C"/>
                <w:sz w:val="20"/>
                <w:szCs w:val="20"/>
              </w:rPr>
              <w:t>5</w:t>
            </w:r>
          </w:p>
        </w:tc>
        <w:tc>
          <w:tcPr>
            <w:tcW w:w="16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Iznimno velika</w:t>
            </w:r>
          </w:p>
        </w:tc>
        <w:tc>
          <w:tcPr>
            <w:tcW w:w="1829"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&gt; 98 %</w:t>
            </w:r>
          </w:p>
        </w:tc>
        <w:tc>
          <w:tcPr>
            <w:tcW w:w="2620"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sz w:val="20"/>
                <w:szCs w:val="20"/>
              </w:rPr>
              <w:t>1 događaj godišnje ili češće</w:t>
            </w:r>
          </w:p>
        </w:tc>
        <w:tc>
          <w:tcPr>
            <w:tcW w:w="1396" w:type="dxa"/>
            <w:tcBorders/>
            <w:shd w:color="auto" w:fill="FFFFFF" w:themeFill="background1" w:val="clear"/>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b/>
                <w:b/>
                <w:sz w:val="20"/>
                <w:szCs w:val="20"/>
              </w:rPr>
            </w:pPr>
            <w:r>
              <w:rPr>
                <w:b/>
                <w:color w:val="76923C"/>
                <w:sz w:val="20"/>
                <w:szCs w:val="20"/>
              </w:rPr>
            </w:r>
          </w:p>
        </w:tc>
      </w:tr>
    </w:tbl>
    <w:p>
      <w:pPr>
        <w:pStyle w:val="Normal"/>
        <w:rPr/>
      </w:pPr>
      <w:r>
        <w:rPr/>
      </w:r>
    </w:p>
    <w:p>
      <w:pPr>
        <w:pStyle w:val="Normal"/>
        <w:rPr/>
      </w:pPr>
      <w:r>
        <w:rPr/>
      </w:r>
    </w:p>
    <w:p>
      <w:pPr>
        <w:pStyle w:val="Normal"/>
        <w:rPr/>
      </w:pPr>
      <w:r>
        <w:rPr/>
      </w:r>
    </w:p>
    <w:p>
      <w:pPr>
        <w:pStyle w:val="Normal"/>
        <w:rPr/>
      </w:pPr>
      <w:r>
        <w:rPr/>
      </w:r>
    </w:p>
    <w:p>
      <w:pPr>
        <w:pStyle w:val="Stil1"/>
        <w:numPr>
          <w:ilvl w:val="2"/>
          <w:numId w:val="2"/>
        </w:numPr>
        <w:ind w:left="0" w:hanging="0"/>
        <w:rPr/>
      </w:pPr>
      <w:bookmarkStart w:id="329" w:name="_Toc492284965"/>
      <w:bookmarkStart w:id="330" w:name="_Toc496856121"/>
      <w:bookmarkStart w:id="331" w:name="_Toc503438850"/>
      <w:bookmarkStart w:id="332" w:name="_Toc99955746"/>
      <w:bookmarkStart w:id="333" w:name="_Toc116990194"/>
      <w:r>
        <w:rPr/>
        <w:t>Podaci, izvori i metode proračuna</w:t>
      </w:r>
      <w:bookmarkEnd w:id="329"/>
      <w:bookmarkEnd w:id="330"/>
      <w:bookmarkEnd w:id="331"/>
      <w:bookmarkEnd w:id="332"/>
      <w:bookmarkEnd w:id="333"/>
    </w:p>
    <w:p>
      <w:pPr>
        <w:pStyle w:val="Normal"/>
        <w:rPr/>
      </w:pPr>
      <w:r>
        <w:rPr/>
        <w:t>Prilikom izračuna zona ugroženosti i procjene rizika korišteni su podaci iz:</w:t>
      </w:r>
    </w:p>
    <w:p>
      <w:pPr>
        <w:pStyle w:val="ListParagraph"/>
        <w:numPr>
          <w:ilvl w:val="0"/>
          <w:numId w:val="5"/>
        </w:numPr>
        <w:rPr/>
      </w:pPr>
      <w:r>
        <w:rPr/>
        <w:t>Procjene ugroženosti stanovništva, materijalnih i kulturnih dobara te okoliša za područje Grada Buja (2015.),</w:t>
      </w:r>
    </w:p>
    <w:p>
      <w:pPr>
        <w:pStyle w:val="Normal"/>
        <w:numPr>
          <w:ilvl w:val="0"/>
          <w:numId w:val="5"/>
        </w:numPr>
        <w:tabs>
          <w:tab w:val="clear" w:pos="708"/>
          <w:tab w:val="left" w:pos="2445" w:leader="none"/>
        </w:tabs>
        <w:spacing w:before="72" w:after="72"/>
        <w:contextualSpacing/>
        <w:jc w:val="left"/>
        <w:rPr>
          <w:lang w:eastAsia="hr-HR"/>
        </w:rPr>
      </w:pPr>
      <w:r>
        <w:rPr>
          <w:lang w:eastAsia="hr-HR"/>
        </w:rPr>
        <w:t>Procjena rizika od katastrofa za Republiku Hrvatsku,</w:t>
      </w:r>
    </w:p>
    <w:p>
      <w:pPr>
        <w:pStyle w:val="Normal"/>
        <w:numPr>
          <w:ilvl w:val="0"/>
          <w:numId w:val="5"/>
        </w:numPr>
        <w:tabs>
          <w:tab w:val="clear" w:pos="708"/>
          <w:tab w:val="left" w:pos="2445" w:leader="none"/>
        </w:tabs>
        <w:spacing w:before="72" w:after="72"/>
        <w:contextualSpacing/>
        <w:jc w:val="left"/>
        <w:rPr>
          <w:lang w:eastAsia="hr-HR"/>
        </w:rPr>
      </w:pPr>
      <w:r>
        <w:rPr>
          <w:lang w:eastAsia="hr-HR"/>
        </w:rPr>
        <w:t>Državni hidrometeorološki zavod,</w:t>
      </w:r>
    </w:p>
    <w:p>
      <w:pPr>
        <w:pStyle w:val="Normal"/>
        <w:numPr>
          <w:ilvl w:val="0"/>
          <w:numId w:val="5"/>
        </w:numPr>
        <w:tabs>
          <w:tab w:val="clear" w:pos="708"/>
          <w:tab w:val="left" w:pos="2445" w:leader="none"/>
        </w:tabs>
        <w:spacing w:before="72" w:after="72"/>
        <w:contextualSpacing/>
        <w:jc w:val="left"/>
        <w:rPr>
          <w:lang w:eastAsia="hr-HR"/>
        </w:rPr>
      </w:pPr>
      <w:r>
        <w:rPr>
          <w:lang w:eastAsia="hr-HR"/>
        </w:rPr>
        <w:t>Državni zavod za statistiku</w:t>
      </w:r>
    </w:p>
    <w:p>
      <w:pPr>
        <w:pStyle w:val="Normal"/>
        <w:numPr>
          <w:ilvl w:val="0"/>
          <w:numId w:val="5"/>
        </w:numPr>
        <w:tabs>
          <w:tab w:val="clear" w:pos="708"/>
          <w:tab w:val="left" w:pos="2445" w:leader="none"/>
        </w:tabs>
        <w:spacing w:before="72" w:after="72"/>
        <w:contextualSpacing/>
        <w:jc w:val="left"/>
        <w:rPr>
          <w:lang w:eastAsia="hr-HR"/>
        </w:rPr>
      </w:pPr>
      <w:r>
        <w:rPr>
          <w:lang w:eastAsia="hr-HR"/>
        </w:rPr>
        <w:t>Grad Buje.</w:t>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ind w:left="720" w:hanging="0"/>
        <w:rPr/>
      </w:pPr>
      <w:r>
        <w:rPr/>
      </w:r>
    </w:p>
    <w:p>
      <w:pPr>
        <w:pStyle w:val="Normal"/>
        <w:rPr/>
      </w:pPr>
      <w:r>
        <w:rPr/>
      </w:r>
    </w:p>
    <w:p>
      <w:pPr>
        <w:pStyle w:val="Stil1"/>
        <w:numPr>
          <w:ilvl w:val="2"/>
          <w:numId w:val="2"/>
        </w:numPr>
        <w:ind w:left="0" w:hanging="0"/>
        <w:rPr/>
      </w:pPr>
      <w:bookmarkStart w:id="334" w:name="_Toc492284966"/>
      <w:bookmarkStart w:id="335" w:name="_Toc496856122"/>
      <w:bookmarkStart w:id="336" w:name="_Toc503438851"/>
      <w:bookmarkStart w:id="337" w:name="_Toc99955747"/>
      <w:bookmarkStart w:id="338" w:name="_Toc116990195"/>
      <w:r>
        <w:rPr/>
        <w:t>Matrice rizika</w:t>
      </w:r>
      <w:bookmarkEnd w:id="334"/>
      <w:bookmarkEnd w:id="335"/>
      <w:bookmarkEnd w:id="336"/>
      <w:bookmarkEnd w:id="337"/>
      <w:bookmarkEnd w:id="338"/>
    </w:p>
    <w:p>
      <w:pPr>
        <w:pStyle w:val="Normal"/>
        <w:rPr>
          <w:lang w:eastAsia="hr-HR"/>
        </w:rPr>
      </w:pPr>
      <w:r>
        <w:rPr>
          <w:lang w:eastAsia="hr-HR"/>
        </w:rPr>
        <w:t>Rizik: Suša</w:t>
      </w:r>
    </w:p>
    <w:p>
      <w:pPr>
        <w:pStyle w:val="Normal"/>
        <w:rPr>
          <w:lang w:eastAsia="hr-HR"/>
        </w:rPr>
      </w:pPr>
      <w:r>
        <w:rPr>
          <w:lang w:eastAsia="hr-HR"/>
        </w:rPr>
        <w:t>Naziv scenarija: Pojava suše na području Grada Buja</w:t>
      </w:r>
    </w:p>
    <w:p>
      <w:pPr>
        <w:pStyle w:val="Normal"/>
        <w:rPr/>
      </w:pPr>
      <w:r>
        <w:rPr/>
      </w:r>
    </w:p>
    <w:p>
      <w:pPr>
        <w:pStyle w:val="Normal"/>
        <w:rPr/>
      </w:pPr>
      <w:r>
        <w:rPr/>
        <w:drawing>
          <wp:inline distT="0" distB="0" distL="0" distR="0">
            <wp:extent cx="5210175" cy="4443730"/>
            <wp:effectExtent l="0" t="0" r="0" b="0"/>
            <wp:docPr id="160" name="Picture 3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312" descr=""/>
                    <pic:cNvPicPr>
                      <a:picLocks noChangeAspect="1" noChangeArrowheads="1"/>
                    </pic:cNvPicPr>
                  </pic:nvPicPr>
                  <pic:blipFill>
                    <a:blip r:embed="rId140"/>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40" wp14:anchorId="27AC02FB">
                <wp:simplePos x="0" y="0"/>
                <wp:positionH relativeFrom="column">
                  <wp:posOffset>2434590</wp:posOffset>
                </wp:positionH>
                <wp:positionV relativeFrom="paragraph">
                  <wp:posOffset>2369820</wp:posOffset>
                </wp:positionV>
                <wp:extent cx="266700" cy="254000"/>
                <wp:effectExtent l="19050" t="0" r="20955" b="13970"/>
                <wp:wrapNone/>
                <wp:docPr id="159" name="Hexagon 119"/>
                <a:graphic xmlns:a="http://schemas.openxmlformats.org/drawingml/2006/main">
                  <a:graphicData uri="http://schemas.microsoft.com/office/word/2010/wordprocessingShape">
                    <wps:wsp>
                      <wps:cNvSpPr/>
                      <wps:spPr>
                        <a:xfrm>
                          <a:off x="0" y="0"/>
                          <a:ext cx="266040" cy="253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119" fillcolor="#4f81bd" stroked="t" style="position:absolute;margin-left:191.7pt;margin-top:186.6pt;width:20.9pt;height:19.9pt" wp14:anchorId="27AC02FB" type="shapetype_9">
                <w10:wrap type="none"/>
                <v:fill o:detectmouseclick="t" type="solid" color2="#b07e42"/>
                <v:stroke color="#4f81bd" weight="9360" joinstyle="miter" endcap="flat"/>
              </v:shape>
            </w:pict>
          </mc:Fallback>
        </mc:AlternateContent>
      </w:r>
    </w:p>
    <w:p>
      <w:pPr>
        <w:pStyle w:val="Normal"/>
        <w:rPr>
          <w:b/>
          <w:b/>
          <w:sz w:val="20"/>
        </w:rPr>
      </w:pPr>
      <w:r>
        <w:rPr>
          <w:b/>
          <w:sz w:val="20"/>
        </w:rPr>
        <w:t xml:space="preserve">           </w:t>
      </w:r>
      <w:r>
        <w:rPr>
          <w:b/>
          <w:sz w:val="20"/>
        </w:rPr>
        <w:t>Život i zdravlje ljudi</w:t>
        <w:tab/>
        <w:tab/>
        <w:t xml:space="preserve">       Gospodarstvo</w:t>
        <w:tab/>
        <w:t xml:space="preserve">          Društvena stabilnost i politika</w:t>
      </w:r>
    </w:p>
    <w:p>
      <w:pPr>
        <w:pStyle w:val="Normal"/>
        <w:rPr/>
      </w:pPr>
      <w:r>
        <mc:AlternateContent>
          <mc:Choice Requires="wps">
            <w:drawing>
              <wp:anchor behindDoc="0" distT="0" distB="0" distL="0" distR="0" simplePos="0" locked="0" layoutInCell="1" allowOverlap="1" relativeHeight="39" wp14:anchorId="663371E3">
                <wp:simplePos x="0" y="0"/>
                <wp:positionH relativeFrom="column">
                  <wp:posOffset>878205</wp:posOffset>
                </wp:positionH>
                <wp:positionV relativeFrom="paragraph">
                  <wp:posOffset>1088390</wp:posOffset>
                </wp:positionV>
                <wp:extent cx="100965" cy="92075"/>
                <wp:effectExtent l="19050" t="0" r="34290" b="23495"/>
                <wp:wrapNone/>
                <wp:docPr id="161" name="Hexagon 122"/>
                <a:graphic xmlns:a="http://schemas.openxmlformats.org/drawingml/2006/main">
                  <a:graphicData uri="http://schemas.microsoft.com/office/word/2010/wordprocessingShape">
                    <wps:wsp>
                      <wps:cNvSpPr/>
                      <wps:spPr>
                        <a:xfrm>
                          <a:off x="0" y="0"/>
                          <a:ext cx="10044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122" fillcolor="#4f81bd" stroked="t" style="position:absolute;margin-left:69.15pt;margin-top:85.7pt;width:7.85pt;height:7.15pt" wp14:anchorId="663371E3"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41" wp14:anchorId="7A1B4024">
                <wp:simplePos x="0" y="0"/>
                <wp:positionH relativeFrom="margin">
                  <wp:posOffset>2781300</wp:posOffset>
                </wp:positionH>
                <wp:positionV relativeFrom="paragraph">
                  <wp:posOffset>644525</wp:posOffset>
                </wp:positionV>
                <wp:extent cx="100965" cy="92075"/>
                <wp:effectExtent l="19050" t="0" r="34290" b="23495"/>
                <wp:wrapNone/>
                <wp:docPr id="162" name="Hexagon 273"/>
                <a:graphic xmlns:a="http://schemas.openxmlformats.org/drawingml/2006/main">
                  <a:graphicData uri="http://schemas.microsoft.com/office/word/2010/wordprocessingShape">
                    <wps:wsp>
                      <wps:cNvSpPr/>
                      <wps:spPr>
                        <a:xfrm>
                          <a:off x="0" y="0"/>
                          <a:ext cx="10044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73" fillcolor="#4f81bd" stroked="t" style="position:absolute;margin-left:219pt;margin-top:50.75pt;width:7.85pt;height:7.15pt;mso-position-horizontal-relative:margin" wp14:anchorId="7A1B4024"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42" wp14:anchorId="2FBEF41C">
                <wp:simplePos x="0" y="0"/>
                <wp:positionH relativeFrom="column">
                  <wp:posOffset>4734560</wp:posOffset>
                </wp:positionH>
                <wp:positionV relativeFrom="paragraph">
                  <wp:posOffset>878205</wp:posOffset>
                </wp:positionV>
                <wp:extent cx="100965" cy="92075"/>
                <wp:effectExtent l="19050" t="0" r="34290" b="23495"/>
                <wp:wrapNone/>
                <wp:docPr id="163" name="Hexagon 274"/>
                <a:graphic xmlns:a="http://schemas.openxmlformats.org/drawingml/2006/main">
                  <a:graphicData uri="http://schemas.microsoft.com/office/word/2010/wordprocessingShape">
                    <wps:wsp>
                      <wps:cNvSpPr/>
                      <wps:spPr>
                        <a:xfrm>
                          <a:off x="0" y="0"/>
                          <a:ext cx="10044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74" fillcolor="#4f81bd" stroked="t" style="position:absolute;margin-left:372.8pt;margin-top:69.15pt;width:7.85pt;height:7.15pt" wp14:anchorId="2FBEF41C"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164" name="Picture 3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313" descr=""/>
                    <pic:cNvPicPr>
                      <a:picLocks noChangeAspect="1" noChangeArrowheads="1"/>
                    </pic:cNvPicPr>
                  </pic:nvPicPr>
                  <pic:blipFill>
                    <a:blip r:embed="rId141"/>
                    <a:stretch>
                      <a:fillRect/>
                    </a:stretch>
                  </pic:blipFill>
                  <pic:spPr bwMode="auto">
                    <a:xfrm>
                      <a:off x="0" y="0"/>
                      <a:ext cx="1828800" cy="1554480"/>
                    </a:xfrm>
                    <a:prstGeom prst="rect">
                      <a:avLst/>
                    </a:prstGeom>
                  </pic:spPr>
                </pic:pic>
              </a:graphicData>
            </a:graphic>
          </wp:inline>
        </w:drawing>
      </w:r>
      <w:r>
        <w:rPr/>
        <w:t xml:space="preserve">  </w:t>
      </w:r>
      <w:r>
        <w:rPr/>
        <w:drawing>
          <wp:inline distT="0" distB="0" distL="0" distR="0">
            <wp:extent cx="1905000" cy="1619250"/>
            <wp:effectExtent l="0" t="0" r="0" b="0"/>
            <wp:docPr id="165" name="Picture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27" descr=""/>
                    <pic:cNvPicPr>
                      <a:picLocks noChangeAspect="1" noChangeArrowheads="1"/>
                    </pic:cNvPicPr>
                  </pic:nvPicPr>
                  <pic:blipFill>
                    <a:blip r:embed="rId142"/>
                    <a:stretch>
                      <a:fillRect/>
                    </a:stretch>
                  </pic:blipFill>
                  <pic:spPr bwMode="auto">
                    <a:xfrm>
                      <a:off x="0" y="0"/>
                      <a:ext cx="1905000" cy="1619250"/>
                    </a:xfrm>
                    <a:prstGeom prst="rect">
                      <a:avLst/>
                    </a:prstGeom>
                  </pic:spPr>
                </pic:pic>
              </a:graphicData>
            </a:graphic>
          </wp:inline>
        </w:drawing>
      </w:r>
      <w:r>
        <w:rPr/>
        <w:t xml:space="preserve">  </w:t>
      </w:r>
      <w:r>
        <w:rPr/>
        <w:drawing>
          <wp:inline distT="0" distB="0" distL="0" distR="0">
            <wp:extent cx="1906270" cy="1620520"/>
            <wp:effectExtent l="0" t="0" r="0" b="0"/>
            <wp:docPr id="166" name="Picture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260" descr=""/>
                    <pic:cNvPicPr>
                      <a:picLocks noChangeAspect="1" noChangeArrowheads="1"/>
                    </pic:cNvPicPr>
                  </pic:nvPicPr>
                  <pic:blipFill>
                    <a:blip r:embed="rId143"/>
                    <a:stretch>
                      <a:fillRect/>
                    </a:stretch>
                  </pic:blipFill>
                  <pic:spPr bwMode="auto">
                    <a:xfrm>
                      <a:off x="0" y="0"/>
                      <a:ext cx="1906270" cy="1620520"/>
                    </a:xfrm>
                    <a:prstGeom prst="rect">
                      <a:avLst/>
                    </a:prstGeom>
                  </pic:spPr>
                </pic:pic>
              </a:graphicData>
            </a:graphic>
          </wp:inline>
        </w:drawing>
      </w:r>
    </w:p>
    <w:p>
      <w:pPr>
        <w:pStyle w:val="Normal"/>
        <w:rPr>
          <w:color w:val="FF0000"/>
          <w:szCs w:val="22"/>
        </w:rPr>
      </w:pPr>
      <w:r>
        <w:rPr>
          <w:color w:val="FF0000"/>
          <w:szCs w:val="22"/>
        </w:rPr>
      </w:r>
    </w:p>
    <w:p>
      <w:pPr>
        <w:pStyle w:val="Normal"/>
        <w:rPr>
          <w:color w:val="FF0000"/>
          <w:szCs w:val="22"/>
        </w:rPr>
      </w:pPr>
      <w:r>
        <w:rPr>
          <w:color w:val="FF0000"/>
          <w:szCs w:val="22"/>
        </w:rPr>
      </w:r>
    </w:p>
    <w:p>
      <w:pPr>
        <w:pStyle w:val="Normal"/>
        <w:rPr>
          <w:color w:val="FF0000"/>
          <w:szCs w:val="22"/>
        </w:rPr>
      </w:pPr>
      <w:r>
        <w:rPr>
          <w:color w:val="FF0000"/>
          <w:szCs w:val="22"/>
        </w:rPr>
      </w:r>
    </w:p>
    <w:p>
      <w:pPr>
        <w:pStyle w:val="Normal"/>
        <w:rPr>
          <w:color w:val="FF0000"/>
          <w:szCs w:val="22"/>
        </w:rPr>
      </w:pPr>
      <w:r>
        <w:rPr>
          <w:color w:val="FF0000"/>
          <w:szCs w:val="22"/>
        </w:rPr>
      </w:r>
    </w:p>
    <w:p>
      <w:pPr>
        <w:pStyle w:val="Stilnaslova2"/>
        <w:numPr>
          <w:ilvl w:val="1"/>
          <w:numId w:val="2"/>
        </w:numPr>
        <w:rPr/>
      </w:pPr>
      <w:bookmarkStart w:id="339" w:name="_Toc99955748"/>
      <w:bookmarkStart w:id="340" w:name="_Toc116990196"/>
      <w:r>
        <w:rPr/>
        <w:t>Tuča</w:t>
      </w:r>
      <w:bookmarkEnd w:id="339"/>
      <w:bookmarkEnd w:id="340"/>
    </w:p>
    <w:p>
      <w:pPr>
        <w:pStyle w:val="Stilnaslova3"/>
        <w:numPr>
          <w:ilvl w:val="2"/>
          <w:numId w:val="2"/>
        </w:numPr>
        <w:ind w:left="709" w:hanging="721"/>
        <w:rPr/>
      </w:pPr>
      <w:bookmarkStart w:id="341" w:name="_Toc99955749"/>
      <w:bookmarkStart w:id="342" w:name="_Toc116990197"/>
      <w:r>
        <w:rPr/>
        <w:t>Naziv scenarija</w:t>
      </w:r>
      <w:bookmarkEnd w:id="341"/>
      <w:bookmarkEnd w:id="342"/>
    </w:p>
    <w:tbl>
      <w:tblPr>
        <w:tblStyle w:val="ivopisnatablicareetke6-isticanje33"/>
        <w:tblW w:w="5000" w:type="pct"/>
        <w:jc w:val="left"/>
        <w:tblInd w:w="0" w:type="dxa"/>
        <w:tblCellMar>
          <w:top w:w="0" w:type="dxa"/>
          <w:left w:w="108" w:type="dxa"/>
          <w:bottom w:w="0" w:type="dxa"/>
          <w:right w:w="108" w:type="dxa"/>
        </w:tblCellMar>
        <w:tblLook w:firstRow="1" w:noVBand="1" w:lastRow="0" w:firstColumn="1" w:lastColumn="0" w:noHBand="0" w:val="04a0"/>
      </w:tblPr>
      <w:tblGrid>
        <w:gridCol w:w="1817"/>
        <w:gridCol w:w="7252"/>
      </w:tblGrid>
      <w:tr>
        <w:trPr>
          <w:cnfStyle w:val="100000000000" w:firstRow="1" w:lastRow="0" w:firstColumn="0" w:lastColumn="0" w:oddVBand="0" w:evenVBand="0" w:oddHBand="0"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12" w:space="0" w:color="C2D69B"/>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Naziv scenarija</w:t>
            </w:r>
          </w:p>
        </w:tc>
        <w:tc>
          <w:tcPr>
            <w:tcW w:w="7252" w:type="dxa"/>
            <w:tcBorders>
              <w:top w:val="single" w:sz="4" w:space="0" w:color="54883D"/>
              <w:left w:val="single" w:sz="4" w:space="0" w:color="54883D"/>
              <w:bottom w:val="single" w:sz="12" w:space="0" w:color="C2D69B"/>
              <w:right w:val="single" w:sz="4" w:space="0" w:color="54883D"/>
            </w:tcBorders>
            <w:shd w:color="auto" w:fill="auto" w:val="clear"/>
          </w:tcPr>
          <w:p>
            <w:pPr>
              <w:pStyle w:val="Normal"/>
              <w:spacing w:lineRule="auto" w:line="240" w:before="80" w:after="0"/>
              <w:cnfStyle w:val="100000000000" w:firstRow="1" w:lastRow="0" w:firstColumn="0" w:lastColumn="0" w:oddVBand="0" w:evenVBand="0" w:oddHBand="0" w:evenHBand="0" w:firstRowFirstColumn="0" w:firstRowLastColumn="0" w:lastRowFirstColumn="0" w:lastRowLastColumn="0"/>
              <w:rPr>
                <w:b w:val="false"/>
                <w:b w:val="false"/>
                <w:bCs w:val="false"/>
                <w:szCs w:val="20"/>
              </w:rPr>
            </w:pPr>
            <w:r>
              <w:rPr>
                <w:b w:val="false"/>
                <w:bCs/>
                <w:color w:val="76923C" w:themeColor="accent3" w:themeShade="bf"/>
                <w:szCs w:val="20"/>
              </w:rPr>
              <w:t>Pojava tuče na području Grada Buja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Grupa rizika</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Ekstremne vremenske pojave</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Rizik</w:t>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76923C" w:themeColor="accent3" w:themeShade="bf"/>
                <w:szCs w:val="20"/>
              </w:rPr>
              <w:t>Tuča</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r>
          </w:p>
        </w:tc>
        <w:tc>
          <w:tcPr>
            <w:tcW w:w="725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80" w:after="0"/>
              <w:ind w:left="29" w:hanging="0"/>
              <w:cnfStyle w:val="000000100000" w:firstRow="0" w:lastRow="0" w:firstColumn="0" w:lastColumn="0" w:oddVBand="0" w:evenVBand="0" w:oddHBand="1" w:evenHBand="0" w:firstRowFirstColumn="0" w:firstRowLastColumn="0" w:lastRowFirstColumn="0" w:lastRowLastColumn="0"/>
              <w:rPr>
                <w:bCs/>
                <w:szCs w:val="20"/>
              </w:rPr>
            </w:pPr>
            <w:r>
              <w:rPr>
                <w:bCs/>
                <w:color w:val="76923C" w:themeColor="accent3" w:themeShade="bf"/>
                <w:szCs w:val="20"/>
              </w:rPr>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rPr>
            </w:pPr>
            <w:r>
              <w:rPr>
                <w:b/>
                <w:bCs/>
                <w:color w:val="76923C" w:themeColor="accent3" w:themeShade="bf"/>
                <w:szCs w:val="20"/>
              </w:rPr>
              <w:t>Radna skupina</w:t>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szCs w:val="20"/>
              </w:rPr>
            </w:pPr>
            <w:r>
              <w:rPr>
                <w:bCs/>
                <w:color w:val="auto" w:themeColor="accent3" w:themeShade="bf"/>
                <w:szCs w:val="20"/>
              </w:rPr>
              <w:t>Elvis Glavičić, voditelj</w:t>
            </w:r>
          </w:p>
        </w:tc>
      </w:tr>
      <w:tr>
        <w:trPr>
          <w:cnfStyle w:val="000000100000" w:firstRow="0" w:lastRow="0" w:firstColumn="0" w:lastColumn="0" w:oddVBand="0" w:evenVBand="0" w:oddHBand="1" w:evenHBand="0" w:firstRowFirstColumn="0" w:firstRowLastColumn="0" w:lastRowFirstColumn="0" w:lastRowLastColumn="0"/>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shd w:color="auto" w:fill="EAF1DD" w:themeFill="accent3" w:themeFillTint="33" w:val="clear"/>
          </w:tcPr>
          <w:p>
            <w:pPr>
              <w:pStyle w:val="Normal"/>
              <w:spacing w:lineRule="auto" w:line="240" w:before="80" w:after="0"/>
              <w:ind w:left="29" w:hanging="0"/>
              <w:rPr>
                <w:szCs w:val="20"/>
                <w:highlight w:val="yellow"/>
              </w:rPr>
            </w:pPr>
            <w:r>
              <w:rPr>
                <w:b/>
                <w:bCs/>
                <w:color w:val="76923C" w:themeColor="accent3" w:themeShade="bf"/>
                <w:szCs w:val="20"/>
                <w:highlight w:val="yellow"/>
              </w:rPr>
            </w:r>
          </w:p>
        </w:tc>
        <w:tc>
          <w:tcPr>
            <w:tcW w:w="7252" w:type="dxa"/>
            <w:tcBorders>
              <w:top w:val="single" w:sz="4" w:space="0" w:color="54883D"/>
              <w:left w:val="single" w:sz="4" w:space="0" w:color="9BBB59"/>
              <w:bottom w:val="single" w:sz="4" w:space="0" w:color="54883D"/>
              <w:right w:val="single" w:sz="4" w:space="0" w:color="9BBB59"/>
            </w:tcBorders>
            <w:shd w:color="auto" w:fill="FFFFFF" w:themeFill="background1"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bCs/>
                <w:szCs w:val="20"/>
              </w:rPr>
            </w:pPr>
            <w:r>
              <w:rPr>
                <w:bCs/>
                <w:color w:val="auto" w:themeColor="accent3" w:themeShade="bf"/>
                <w:szCs w:val="20"/>
              </w:rPr>
              <w:t>Denis Stipanov, član</w:t>
            </w:r>
          </w:p>
        </w:tc>
      </w:tr>
      <w:tr>
        <w:trPr/>
        <w:tc>
          <w:tcPr>
            <w:tcW w:w="1817" w:type="dxa"/>
            <w:cnfStyle w:val="001000000000" w:firstRow="0" w:lastRow="0" w:firstColumn="1" w:lastColumn="0" w:oddVBand="0" w:evenVBand="0" w:oddHBand="0" w:evenHBand="0" w:firstRowFirstColumn="0" w:firstRowLastColumn="0" w:lastRowFirstColumn="0" w:lastRowLastColumn="0"/>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b w:val="false"/>
                <w:b w:val="false"/>
                <w:color w:val="FF0000"/>
                <w:sz w:val="20"/>
                <w:szCs w:val="20"/>
              </w:rPr>
            </w:pPr>
            <w:r>
              <w:rPr>
                <w:b w:val="false"/>
                <w:bCs/>
                <w:color w:val="FF0000"/>
                <w:sz w:val="20"/>
                <w:szCs w:val="20"/>
              </w:rPr>
            </w:r>
          </w:p>
        </w:tc>
        <w:tc>
          <w:tcPr>
            <w:tcW w:w="7252" w:type="dxa"/>
            <w:tcBorders>
              <w:top w:val="single" w:sz="4" w:space="0" w:color="54883D"/>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bCs/>
                <w:color w:val="FF0000"/>
                <w:sz w:val="20"/>
                <w:szCs w:val="20"/>
              </w:rPr>
            </w:pPr>
            <w:r>
              <w:rPr>
                <w:bCs/>
                <w:color w:val="auto" w:themeColor="accent3" w:themeShade="bf"/>
                <w:szCs w:val="20"/>
              </w:rPr>
              <w:t>Davor Lakošeljac, član</w:t>
            </w:r>
          </w:p>
        </w:tc>
      </w:tr>
    </w:tbl>
    <w:p>
      <w:pPr>
        <w:pStyle w:val="Normal"/>
        <w:rPr>
          <w:lang w:bidi="en-US"/>
        </w:rPr>
      </w:pPr>
      <w:r>
        <w:rPr>
          <w:lang w:bidi="en-US"/>
        </w:rPr>
      </w:r>
    </w:p>
    <w:p>
      <w:pPr>
        <w:pStyle w:val="Stilnaslova3"/>
        <w:numPr>
          <w:ilvl w:val="2"/>
          <w:numId w:val="2"/>
        </w:numPr>
        <w:ind w:left="709" w:hanging="721"/>
        <w:rPr/>
      </w:pPr>
      <w:bookmarkStart w:id="343" w:name="_Toc99955750"/>
      <w:bookmarkStart w:id="344" w:name="_Toc116990198"/>
      <w:r>
        <w:rPr/>
        <w:t>Uvod</w:t>
      </w:r>
      <w:bookmarkEnd w:id="343"/>
      <w:bookmarkEnd w:id="344"/>
    </w:p>
    <w:p>
      <w:pPr>
        <w:pStyle w:val="Normal"/>
        <w:rPr>
          <w:lang w:bidi="en-US"/>
        </w:rPr>
      </w:pPr>
      <w:r>
        <w:rPr>
          <w:lang w:bidi="en-US"/>
        </w:rPr>
        <w:t>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Cumulonimbusa,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koje padaju pri temperaturi oko ili ispod 0°C. Pojave tuče, sugradice i ledenih zrna zajedničkim imenom zovu se kruta oborina. Svojim intenzitetom nanose velike štete pokretnoj i nepokretnoj imovini, kao i poljoprivredi.</w:t>
      </w:r>
    </w:p>
    <w:p>
      <w:pPr>
        <w:pStyle w:val="Normal"/>
        <w:rPr>
          <w:lang w:bidi="en-US"/>
        </w:rPr>
      </w:pPr>
      <w:r>
        <w:rPr>
          <w:lang w:bidi="en-US"/>
        </w:rPr>
        <w:t>Prema Koeppenu ova klima se naziva klima kamelije. Planinsko zaleđe ima uglavnom planinsku klimu s kratkim i svježim ljetom, te oštrom i dugom zimom s dosta sniježnih oborina ali, općenito, bez izrazitog suhog razdoblja. To je prema Koeppenovoj klasifikaciji umjereno topla kišna klima s toplim ljetom (Cfb) ili klima bukve.</w:t>
      </w:r>
    </w:p>
    <w:p>
      <w:pPr>
        <w:pStyle w:val="Normal"/>
        <w:rPr>
          <w:lang w:bidi="en-US"/>
        </w:rPr>
      </w:pPr>
      <w:r>
        <w:rPr>
          <w:lang w:bidi="en-US"/>
        </w:rPr>
        <w:t>Njezine karakteristike su da je srednja temperatura najtoplijeg mjeseca u godini manja od 22°C, uz barem četiri mjeseca u godini sa srednjom temperaturom iznad 10°C. Najmanje oborina i kod ove klime ima ljeti.</w:t>
      </w:r>
    </w:p>
    <w:p>
      <w:pPr>
        <w:pStyle w:val="Stilnaslova3"/>
        <w:numPr>
          <w:ilvl w:val="2"/>
          <w:numId w:val="2"/>
        </w:numPr>
        <w:ind w:left="709" w:hanging="721"/>
        <w:rPr/>
      </w:pPr>
      <w:bookmarkStart w:id="345" w:name="_Toc99955751"/>
      <w:bookmarkStart w:id="346" w:name="_Toc116990199"/>
      <w:r>
        <w:rPr/>
        <w:t>Prikaz utjecaja na kritičnu infrastrukturu</w:t>
      </w:r>
      <w:bookmarkEnd w:id="345"/>
      <w:bookmarkEnd w:id="346"/>
    </w:p>
    <w:tbl>
      <w:tblPr>
        <w:tblStyle w:val="GridTable6Colorful-Accent3"/>
        <w:tblW w:w="9423" w:type="dxa"/>
        <w:jc w:val="left"/>
        <w:tblInd w:w="0" w:type="dxa"/>
        <w:tblCellMar>
          <w:top w:w="0" w:type="dxa"/>
          <w:left w:w="108" w:type="dxa"/>
          <w:bottom w:w="0" w:type="dxa"/>
          <w:right w:w="108" w:type="dxa"/>
        </w:tblCellMar>
        <w:tblLook w:firstRow="1" w:noVBand="1" w:lastRow="0" w:firstColumn="1" w:lastColumn="0" w:noHBand="0" w:val="04a0"/>
      </w:tblPr>
      <w:tblGrid>
        <w:gridCol w:w="1126"/>
        <w:gridCol w:w="8296"/>
      </w:tblGrid>
      <w:tr>
        <w:trPr>
          <w:trHeight w:val="517" w:hRule="atLeast"/>
          <w:cnfStyle w:val="100000000000" w:firstRow="1" w:lastRow="0" w:firstColumn="0" w:lastColumn="0" w:oddVBand="0" w:evenVBand="0" w:oddHBand="0"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40" w:before="80" w:after="0"/>
              <w:jc w:val="center"/>
              <w:rPr>
                <w:b w:val="false"/>
                <w:b w:val="false"/>
                <w:sz w:val="20"/>
              </w:rPr>
            </w:pPr>
            <w:r>
              <w:rPr>
                <w:b w:val="false"/>
                <w:bCs/>
                <w:color w:val="76923C" w:themeColor="accent3" w:themeShade="bf"/>
                <w:sz w:val="20"/>
              </w:rPr>
              <w:t>UTJECAJ</w:t>
            </w:r>
          </w:p>
        </w:tc>
        <w:tc>
          <w:tcPr>
            <w:tcW w:w="8296"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val="false"/>
                <w:bCs/>
                <w:color w:val="76923C" w:themeColor="accent3" w:themeShade="bf"/>
                <w:sz w:val="20"/>
              </w:rPr>
              <w:t>SEKTOR</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shd w:color="auto" w:fill="EAF1DD" w:themeFill="accent3" w:themeFillTint="33"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Energetika (transport energenata i energije, sustavi za distribuciju)</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Komunikacijska i informacijska tehnologija (elektroničke komunikacije, prijenos podataka, informacijski sustavi, pružanje audio i audiovizualnih usluga)</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shd w:color="auto" w:fill="EAF1DD" w:themeFill="accent3" w:themeFillTint="33"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Promet (cestovni)</w:t>
            </w:r>
          </w:p>
        </w:tc>
      </w:tr>
      <w:tr>
        <w:trPr>
          <w:trHeight w:val="384" w:hRule="atLeast"/>
        </w:trPr>
        <w:tc>
          <w:tcPr>
            <w:tcW w:w="11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Zdravstvo (zdravstvena zaštita)</w:t>
            </w:r>
          </w:p>
        </w:tc>
      </w:tr>
      <w:tr>
        <w:trPr>
          <w:trHeight w:val="38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shd w:color="auto" w:fill="EAF1DD" w:themeFill="accent3" w:themeFillTint="33"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Vodno gospodarstvo (regulacijske i zaštitne vodne građevine i komunalne vodne građevine)</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b/>
                <w:bCs/>
                <w:color w:val="76923C" w:themeColor="accent3" w:themeShade="bf"/>
              </w:rPr>
            </w:pPr>
            <w:r>
              <w:rPr>
                <w:b/>
                <w:bCs/>
                <w:color w:val="76923C" w:themeColor="accent3" w:themeShade="bf"/>
              </w:rPr>
              <w:t>x</w:t>
            </w:r>
          </w:p>
        </w:tc>
        <w:tc>
          <w:tcPr>
            <w:tcW w:w="8296" w:type="dxa"/>
            <w:tcBorders/>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 xml:space="preserve">Hrana (proizvodnja i opskrba hranom) </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shd w:color="auto" w:fill="EAF1DD" w:themeFill="accent3" w:themeFillTint="33"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Financije (bankarstvo, pošta)</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Prijevoz opasnih tvari (kemijski, biološki, radiološki i nuklearni materijali)</w:t>
            </w:r>
          </w:p>
        </w:tc>
      </w:tr>
      <w:tr>
        <w:trPr>
          <w:trHeight w:val="394" w:hRule="atLeast"/>
          <w:cnfStyle w:val="000000100000" w:firstRow="0" w:lastRow="0" w:firstColumn="0" w:lastColumn="0" w:oddVBand="0" w:evenVBand="0" w:oddHBand="1" w:evenHBand="0" w:firstRowFirstColumn="0" w:firstRowLastColumn="0" w:lastRowFirstColumn="0" w:lastRowLastColumn="0"/>
        </w:trPr>
        <w:tc>
          <w:tcPr>
            <w:tcW w:w="11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b/>
                <w:bCs/>
                <w:color w:val="76923C" w:themeColor="accent3" w:themeShade="bf"/>
              </w:rPr>
            </w:pPr>
            <w:r>
              <w:rPr>
                <w:b/>
                <w:bCs/>
                <w:color w:val="76923C" w:themeColor="accent3" w:themeShade="bf"/>
              </w:rPr>
            </w:r>
          </w:p>
        </w:tc>
        <w:tc>
          <w:tcPr>
            <w:tcW w:w="8296" w:type="dxa"/>
            <w:tcBorders/>
            <w:shd w:color="auto" w:fill="EAF1DD" w:themeFill="accent3" w:themeFillTint="33" w:val="clear"/>
          </w:tcPr>
          <w:p>
            <w:pPr>
              <w:pStyle w:val="Normal"/>
              <w:spacing w:lineRule="auto" w:line="240" w:before="80" w:after="0"/>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Javne službe (škola, osiguravanje javnog reda i mira, zaštita i spašavanje, hitna medicinska pomoć)</w:t>
            </w:r>
          </w:p>
        </w:tc>
      </w:tr>
      <w:tr>
        <w:trPr>
          <w:trHeight w:val="394" w:hRule="atLeast"/>
        </w:trPr>
        <w:tc>
          <w:tcPr>
            <w:tcW w:w="11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b/>
                <w:bCs/>
                <w:color w:val="76923C" w:themeColor="accent3" w:themeShade="bf"/>
              </w:rPr>
            </w:pPr>
            <w:r>
              <w:rPr>
                <w:b/>
                <w:bCs/>
                <w:color w:val="76923C" w:themeColor="accent3" w:themeShade="bf"/>
              </w:rPr>
              <w:t>x</w:t>
            </w:r>
          </w:p>
        </w:tc>
        <w:tc>
          <w:tcPr>
            <w:tcW w:w="8296" w:type="dxa"/>
            <w:tcBorders/>
          </w:tcPr>
          <w:p>
            <w:pPr>
              <w:pStyle w:val="Normal"/>
              <w:spacing w:lineRule="auto" w:line="240" w:before="80" w:after="0"/>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Nacionalni spomenici i vrijednosti</w:t>
            </w:r>
          </w:p>
        </w:tc>
      </w:tr>
    </w:tbl>
    <w:p>
      <w:pPr>
        <w:pStyle w:val="Normal"/>
        <w:rPr>
          <w:lang w:bidi="en-US"/>
        </w:rPr>
      </w:pPr>
      <w:r>
        <w:rPr>
          <w:lang w:bidi="en-US"/>
        </w:rPr>
      </w:r>
    </w:p>
    <w:p>
      <w:pPr>
        <w:pStyle w:val="Stilnaslova3"/>
        <w:numPr>
          <w:ilvl w:val="2"/>
          <w:numId w:val="2"/>
        </w:numPr>
        <w:ind w:left="709" w:hanging="721"/>
        <w:rPr/>
      </w:pPr>
      <w:bookmarkStart w:id="347" w:name="_Toc99955752"/>
      <w:bookmarkStart w:id="348" w:name="_Toc116990200"/>
      <w:r>
        <w:rPr/>
        <w:t>Kontekst</w:t>
      </w:r>
      <w:bookmarkEnd w:id="347"/>
      <w:bookmarkEnd w:id="348"/>
    </w:p>
    <w:p>
      <w:pPr>
        <w:pStyle w:val="Normal"/>
        <w:rPr>
          <w:lang w:bidi="en-US"/>
        </w:rPr>
      </w:pPr>
      <w:r>
        <w:rPr>
          <w:lang w:bidi="en-US"/>
        </w:rPr>
        <w:t>Tuča je najkrupnije vrsta padalina koja dolazi iz atmosfere i često je praćena jakom i dugotrajnom grmljavinom, pljuskovima kiše i pojačanim vjetrom. Tuča obično pada u obliku nepravilnih kuglica promjera od 0,5 cm (zrno graška) do 5 cm (kokošje jaje), no u teškim olujama javljaju se i veće gromade. U usporedbi s drugim atmosferskim pojavama, tuča je vrlo rijetka.</w:t>
      </w:r>
    </w:p>
    <w:p>
      <w:pPr>
        <w:pStyle w:val="Normal"/>
        <w:rPr>
          <w:lang w:bidi="en-US"/>
        </w:rPr>
      </w:pPr>
      <w:r>
        <w:rPr>
          <w:lang w:bidi="en-US"/>
        </w:rPr>
        <w:t>Područje Hrvatske nalazi se u umjerenim geografskim širinama gdje ej pojava tuče i sugradice relativno česta. Državni hidrometeorološki zavod provodi obranu od tuče na ukupnoj površini od 24.100 km2. Sezona obrane od tuče traje od 1. svibnja do 30. rujna kada tuča može prouzročiti velike štete na poljoprivrednim kulturama i ostaloj imovini.</w:t>
      </w:r>
    </w:p>
    <w:p>
      <w:pPr>
        <w:pStyle w:val="Normal"/>
        <w:rPr>
          <w:lang w:bidi="en-US"/>
        </w:rPr>
      </w:pPr>
      <w:r>
        <w:rPr>
          <w:lang w:bidi="en-US"/>
        </w:rPr>
      </w:r>
    </w:p>
    <w:p>
      <w:pPr>
        <w:pStyle w:val="Normal"/>
        <w:keepNext w:val="true"/>
        <w:spacing w:before="120" w:after="120"/>
        <w:jc w:val="center"/>
        <w:rPr>
          <w:b/>
          <w:b/>
          <w:bCs/>
          <w:color w:val="54883D"/>
          <w:sz w:val="20"/>
          <w:szCs w:val="18"/>
        </w:rPr>
      </w:pPr>
      <w:r>
        <w:rPr>
          <w:b/>
          <w:bCs/>
          <w:color w:val="54883D"/>
          <w:sz w:val="20"/>
          <w:szCs w:val="18"/>
        </w:rPr>
        <w:t xml:space="preserve">Tablica </w:t>
      </w:r>
      <w:r>
        <w:rPr>
          <w:b/>
          <w:bCs/>
          <w:color w:val="54883D"/>
          <w:sz w:val="20"/>
          <w:szCs w:val="18"/>
        </w:rPr>
        <w:fldChar w:fldCharType="begin"/>
      </w:r>
      <w:r>
        <w:rPr>
          <w:sz w:val="20"/>
          <w:b/>
          <w:szCs w:val="18"/>
          <w:bCs/>
          <w:color w:val="54883D"/>
        </w:rPr>
        <w:instrText> SEQ Tablica \* ARABIC </w:instrText>
      </w:r>
      <w:r>
        <w:rPr>
          <w:sz w:val="20"/>
          <w:b/>
          <w:szCs w:val="18"/>
          <w:bCs/>
          <w:color w:val="54883D"/>
        </w:rPr>
        <w:fldChar w:fldCharType="separate"/>
      </w:r>
      <w:r>
        <w:rPr>
          <w:sz w:val="20"/>
          <w:b/>
          <w:szCs w:val="18"/>
          <w:bCs/>
          <w:color w:val="54883D"/>
        </w:rPr>
        <w:t>12</w:t>
      </w:r>
      <w:r>
        <w:rPr>
          <w:sz w:val="20"/>
          <w:b/>
          <w:szCs w:val="18"/>
          <w:bCs/>
          <w:color w:val="54883D"/>
        </w:rPr>
        <w:fldChar w:fldCharType="end"/>
      </w:r>
      <w:r>
        <w:rPr>
          <w:b/>
          <w:bCs/>
          <w:color w:val="54883D"/>
          <w:sz w:val="20"/>
          <w:szCs w:val="18"/>
        </w:rPr>
        <w:t>: Broj dana s tučom</w:t>
      </w:r>
    </w:p>
    <w:tbl>
      <w:tblPr>
        <w:tblStyle w:val="TableGrid"/>
        <w:tblW w:w="9060" w:type="dxa"/>
        <w:jc w:val="center"/>
        <w:tblInd w:w="0" w:type="dxa"/>
        <w:tblCellMar>
          <w:top w:w="0" w:type="dxa"/>
          <w:left w:w="108" w:type="dxa"/>
          <w:bottom w:w="0" w:type="dxa"/>
          <w:right w:w="108" w:type="dxa"/>
        </w:tblCellMar>
        <w:tblLook w:firstRow="1" w:noVBand="1" w:lastRow="0" w:firstColumn="1" w:lastColumn="0" w:noHBand="0" w:val="04a0"/>
      </w:tblPr>
      <w:tblGrid>
        <w:gridCol w:w="817"/>
        <w:gridCol w:w="560"/>
        <w:gridCol w:w="560"/>
        <w:gridCol w:w="575"/>
        <w:gridCol w:w="621"/>
        <w:gridCol w:w="623"/>
        <w:gridCol w:w="621"/>
        <w:gridCol w:w="644"/>
        <w:gridCol w:w="622"/>
        <w:gridCol w:w="622"/>
        <w:gridCol w:w="701"/>
        <w:gridCol w:w="699"/>
        <w:gridCol w:w="668"/>
        <w:gridCol w:w="726"/>
      </w:tblGrid>
      <w:tr>
        <w:trPr>
          <w:tblHeader w:val="true"/>
          <w:trHeight w:val="332" w:hRule="atLeast"/>
        </w:trPr>
        <w:tc>
          <w:tcPr>
            <w:tcW w:w="81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b/>
                <w:b/>
                <w:smallCaps/>
                <w:sz w:val="20"/>
                <w:szCs w:val="20"/>
              </w:rPr>
            </w:pPr>
            <w:r>
              <w:rPr>
                <w:rFonts w:eastAsia="Calibri" w:cs="Times New Roman" w:ascii="Times New Roman" w:hAnsi="Times New Roman" w:eastAsiaTheme="minorHAnsi"/>
                <w:b/>
                <w:sz w:val="20"/>
                <w:szCs w:val="20"/>
                <w:lang w:eastAsia="hr-HR"/>
              </w:rPr>
              <w:t>MJES.</w:t>
            </w:r>
          </w:p>
        </w:tc>
        <w:tc>
          <w:tcPr>
            <w:tcW w:w="560"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560"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2</w:t>
            </w:r>
          </w:p>
        </w:tc>
        <w:tc>
          <w:tcPr>
            <w:tcW w:w="5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3</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4</w:t>
            </w:r>
          </w:p>
        </w:tc>
        <w:tc>
          <w:tcPr>
            <w:tcW w:w="62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5</w:t>
            </w:r>
          </w:p>
        </w:tc>
        <w:tc>
          <w:tcPr>
            <w:tcW w:w="62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6</w:t>
            </w:r>
          </w:p>
        </w:tc>
        <w:tc>
          <w:tcPr>
            <w:tcW w:w="6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7</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8</w:t>
            </w:r>
          </w:p>
        </w:tc>
        <w:tc>
          <w:tcPr>
            <w:tcW w:w="62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9</w:t>
            </w:r>
          </w:p>
        </w:tc>
        <w:tc>
          <w:tcPr>
            <w:tcW w:w="70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10</w:t>
            </w:r>
          </w:p>
        </w:tc>
        <w:tc>
          <w:tcPr>
            <w:tcW w:w="69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11</w:t>
            </w:r>
          </w:p>
        </w:tc>
        <w:tc>
          <w:tcPr>
            <w:tcW w:w="66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12</w:t>
            </w:r>
          </w:p>
        </w:tc>
        <w:tc>
          <w:tcPr>
            <w:tcW w:w="72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rFonts w:eastAsia="Calibri" w:eastAsiaTheme="minorHAnsi"/>
                <w:sz w:val="20"/>
                <w:szCs w:val="20"/>
              </w:rPr>
            </w:pPr>
            <w:r>
              <w:rPr>
                <w:rFonts w:eastAsia="Calibri" w:cs="Times New Roman" w:ascii="Times New Roman" w:hAnsi="Times New Roman" w:eastAsiaTheme="minorHAnsi"/>
                <w:sz w:val="20"/>
                <w:szCs w:val="20"/>
                <w:lang w:eastAsia="hr-HR"/>
              </w:rPr>
              <w:t>GOD.</w:t>
            </w:r>
          </w:p>
        </w:tc>
      </w:tr>
      <w:tr>
        <w:trPr>
          <w:tblHeader w:val="true"/>
          <w:trHeight w:val="332" w:hRule="atLeast"/>
        </w:trPr>
        <w:tc>
          <w:tcPr>
            <w:tcW w:w="9059" w:type="dxa"/>
            <w:gridSpan w:val="14"/>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sz w:val="20"/>
                <w:szCs w:val="20"/>
              </w:rPr>
            </w:pPr>
            <w:r>
              <w:rPr>
                <w:rFonts w:eastAsia="Calibri" w:cs="Times New Roman" w:ascii="Times New Roman" w:hAnsi="Times New Roman" w:eastAsiaTheme="minorHAnsi"/>
                <w:b/>
                <w:sz w:val="20"/>
                <w:szCs w:val="20"/>
                <w:lang w:eastAsia="hr-HR"/>
              </w:rPr>
              <w:t>Broj dana s tučom</w:t>
            </w:r>
          </w:p>
        </w:tc>
      </w:tr>
      <w:tr>
        <w:trPr>
          <w:tblHeader w:val="true"/>
          <w:trHeight w:val="332" w:hRule="atLeast"/>
        </w:trPr>
        <w:tc>
          <w:tcPr>
            <w:tcW w:w="81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b/>
                <w:b/>
                <w:smallCaps/>
                <w:sz w:val="20"/>
                <w:szCs w:val="20"/>
              </w:rPr>
            </w:pPr>
            <w:r>
              <w:rPr>
                <w:rFonts w:eastAsia="Times New Roman" w:cs="Times New Roman" w:ascii="Times New Roman" w:hAnsi="Times New Roman"/>
                <w:b/>
                <w:smallCaps/>
                <w:sz w:val="20"/>
                <w:szCs w:val="20"/>
                <w:lang w:eastAsia="hr-HR"/>
              </w:rPr>
              <w:t>SRED</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0,7</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0,6</w:t>
            </w:r>
          </w:p>
        </w:tc>
        <w:tc>
          <w:tcPr>
            <w:tcW w:w="57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0,6</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0,4</w:t>
            </w:r>
          </w:p>
        </w:tc>
        <w:tc>
          <w:tcPr>
            <w:tcW w:w="62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0,3</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0,3</w:t>
            </w:r>
          </w:p>
        </w:tc>
        <w:tc>
          <w:tcPr>
            <w:tcW w:w="64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0,1</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0,2</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0,1</w:t>
            </w:r>
          </w:p>
        </w:tc>
        <w:tc>
          <w:tcPr>
            <w:tcW w:w="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0,2</w:t>
            </w:r>
          </w:p>
        </w:tc>
        <w:tc>
          <w:tcPr>
            <w:tcW w:w="69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0,4</w:t>
            </w:r>
          </w:p>
        </w:tc>
        <w:tc>
          <w:tcPr>
            <w:tcW w:w="6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0,7</w:t>
            </w:r>
          </w:p>
        </w:tc>
        <w:tc>
          <w:tcPr>
            <w:tcW w:w="72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4,3</w:t>
            </w:r>
          </w:p>
        </w:tc>
      </w:tr>
      <w:tr>
        <w:trPr>
          <w:tblHeader w:val="true"/>
          <w:trHeight w:val="332" w:hRule="atLeast"/>
        </w:trPr>
        <w:tc>
          <w:tcPr>
            <w:tcW w:w="81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b/>
                <w:b/>
                <w:smallCaps/>
                <w:sz w:val="20"/>
                <w:szCs w:val="20"/>
              </w:rPr>
            </w:pPr>
            <w:r>
              <w:rPr>
                <w:rFonts w:eastAsia="Calibri" w:cs="Times New Roman" w:ascii="Times New Roman" w:hAnsi="Times New Roman" w:eastAsiaTheme="minorHAnsi"/>
                <w:b/>
                <w:sz w:val="20"/>
                <w:szCs w:val="20"/>
                <w:lang w:eastAsia="hr-HR"/>
              </w:rPr>
              <w:t>STD</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1,1</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57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1,1</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0,7</w:t>
            </w:r>
          </w:p>
        </w:tc>
        <w:tc>
          <w:tcPr>
            <w:tcW w:w="62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0,4</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0,5</w:t>
            </w:r>
          </w:p>
        </w:tc>
        <w:tc>
          <w:tcPr>
            <w:tcW w:w="64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0,3</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0,7</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0,3</w:t>
            </w:r>
          </w:p>
        </w:tc>
        <w:tc>
          <w:tcPr>
            <w:tcW w:w="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0,5</w:t>
            </w:r>
          </w:p>
        </w:tc>
        <w:tc>
          <w:tcPr>
            <w:tcW w:w="69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0,5</w:t>
            </w:r>
          </w:p>
        </w:tc>
        <w:tc>
          <w:tcPr>
            <w:tcW w:w="6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1,0</w:t>
            </w:r>
          </w:p>
        </w:tc>
        <w:tc>
          <w:tcPr>
            <w:tcW w:w="72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2,3</w:t>
            </w:r>
          </w:p>
        </w:tc>
      </w:tr>
      <w:tr>
        <w:trPr>
          <w:tblHeader w:val="true"/>
          <w:trHeight w:val="332" w:hRule="atLeast"/>
        </w:trPr>
        <w:tc>
          <w:tcPr>
            <w:tcW w:w="81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rFonts w:eastAsia="Calibri" w:eastAsiaTheme="minorHAnsi"/>
                <w:b/>
                <w:b/>
                <w:sz w:val="20"/>
                <w:szCs w:val="20"/>
              </w:rPr>
            </w:pPr>
            <w:r>
              <w:rPr>
                <w:rFonts w:eastAsia="Calibri" w:cs="Times New Roman" w:ascii="Times New Roman" w:hAnsi="Times New Roman" w:eastAsiaTheme="minorHAnsi"/>
                <w:b/>
                <w:sz w:val="20"/>
                <w:szCs w:val="20"/>
                <w:lang w:eastAsia="hr-HR"/>
              </w:rPr>
              <w:t>MIN</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57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2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4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9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6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c>
          <w:tcPr>
            <w:tcW w:w="72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0</w:t>
            </w:r>
          </w:p>
        </w:tc>
      </w:tr>
      <w:tr>
        <w:trPr>
          <w:tblHeader w:val="true"/>
          <w:trHeight w:val="332" w:hRule="atLeast"/>
        </w:trPr>
        <w:tc>
          <w:tcPr>
            <w:tcW w:w="81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60" w:after="60"/>
              <w:jc w:val="center"/>
              <w:rPr>
                <w:rFonts w:eastAsia="Calibri" w:eastAsiaTheme="minorHAnsi"/>
                <w:b/>
                <w:b/>
                <w:sz w:val="20"/>
                <w:szCs w:val="20"/>
              </w:rPr>
            </w:pPr>
            <w:r>
              <w:rPr>
                <w:rFonts w:eastAsia="Calibri" w:cs="Times New Roman" w:ascii="Times New Roman" w:hAnsi="Times New Roman" w:eastAsiaTheme="minorHAnsi"/>
                <w:b/>
                <w:sz w:val="20"/>
                <w:szCs w:val="20"/>
                <w:lang w:eastAsia="hr-HR"/>
              </w:rPr>
              <w:t>MAKS</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7</w:t>
            </w:r>
          </w:p>
        </w:tc>
        <w:tc>
          <w:tcPr>
            <w:tcW w:w="560"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2</w:t>
            </w:r>
          </w:p>
        </w:tc>
        <w:tc>
          <w:tcPr>
            <w:tcW w:w="575"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4</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2</w:t>
            </w:r>
          </w:p>
        </w:tc>
        <w:tc>
          <w:tcPr>
            <w:tcW w:w="623"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62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644"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3</w:t>
            </w:r>
          </w:p>
        </w:tc>
        <w:tc>
          <w:tcPr>
            <w:tcW w:w="622"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70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2</w:t>
            </w:r>
          </w:p>
        </w:tc>
        <w:tc>
          <w:tcPr>
            <w:tcW w:w="699"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w:t>
            </w:r>
          </w:p>
        </w:tc>
        <w:tc>
          <w:tcPr>
            <w:tcW w:w="668"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3</w:t>
            </w:r>
          </w:p>
        </w:tc>
        <w:tc>
          <w:tcPr>
            <w:tcW w:w="726"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lineRule="auto" w:line="240" w:before="60" w:after="60"/>
              <w:jc w:val="center"/>
              <w:rPr>
                <w:sz w:val="20"/>
                <w:szCs w:val="20"/>
              </w:rPr>
            </w:pPr>
            <w:r>
              <w:rPr>
                <w:rFonts w:eastAsia="Times New Roman" w:cs="Times New Roman" w:ascii="Times New Roman" w:hAnsi="Times New Roman"/>
                <w:sz w:val="20"/>
                <w:szCs w:val="20"/>
                <w:lang w:eastAsia="hr-HR"/>
              </w:rPr>
              <w:t>10</w:t>
            </w:r>
          </w:p>
        </w:tc>
      </w:tr>
    </w:tbl>
    <w:p>
      <w:pPr>
        <w:pStyle w:val="Normal"/>
        <w:jc w:val="center"/>
        <w:rPr>
          <w:bCs/>
          <w:i/>
          <w:i/>
          <w:color w:val="54883D"/>
          <w:sz w:val="20"/>
          <w:szCs w:val="20"/>
        </w:rPr>
      </w:pPr>
      <w:r>
        <w:rPr>
          <w:bCs/>
          <w:i/>
          <w:color w:val="54883D"/>
          <w:sz w:val="20"/>
          <w:szCs w:val="20"/>
        </w:rPr>
        <w:t>Izvor podataka: Državni hidrometeorološki zavod Republike Hrvatske</w:t>
      </w:r>
    </w:p>
    <w:p>
      <w:pPr>
        <w:pStyle w:val="Normal"/>
        <w:spacing w:before="120" w:after="120"/>
        <w:ind w:left="6" w:right="74" w:hanging="0"/>
        <w:rPr/>
      </w:pPr>
      <w:r>
        <w:rPr/>
        <w:t xml:space="preserve">Prema podacima srednji godišnji broj dana s krutom oborinom iznosi 4.3 dana. U prosjeku najviše takvih dana javlja se u siječnju 0.7 dana dok je srednji broj dana u ostalim mjesecima između 0.1 i 0.6 dana. Najkritičniji mjeseci u godini za pojavu tuče su svibanj, lipanj i srpanj. Posljedice tuče je teško predvidjeti, ali mogu se pretpostaviti s obzirom na prijašnja iskustva. </w:t>
      </w:r>
    </w:p>
    <w:p>
      <w:pPr>
        <w:pStyle w:val="Normal"/>
        <w:rPr>
          <w:color w:val="auto"/>
        </w:rPr>
      </w:pPr>
      <w:r>
        <w:rPr>
          <w:color w:val="auto"/>
        </w:rPr>
        <w:t>Tuča najveće štete uzrokuje na poljoprivrednim kulturama, voćarstvu, vinogradarstvu i šumarstvu te manja oštećenja na infrastrukturi i osobnoj imovini.</w:t>
      </w:r>
    </w:p>
    <w:p>
      <w:pPr>
        <w:pStyle w:val="Normal"/>
        <w:jc w:val="center"/>
        <w:rPr>
          <w:color w:val="auto"/>
        </w:rPr>
      </w:pPr>
      <w:r>
        <w:rPr/>
        <w:drawing>
          <wp:inline distT="0" distB="0" distL="0" distR="0">
            <wp:extent cx="3769995" cy="2516505"/>
            <wp:effectExtent l="0" t="0" r="0" b="0"/>
            <wp:docPr id="167" name="Slika 38" descr="Ilustracija (Arh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lika 38" descr="Ilustracija (Arhiva)"/>
                    <pic:cNvPicPr>
                      <a:picLocks noChangeAspect="1" noChangeArrowheads="1"/>
                    </pic:cNvPicPr>
                  </pic:nvPicPr>
                  <pic:blipFill>
                    <a:blip r:embed="rId144"/>
                    <a:stretch>
                      <a:fillRect/>
                    </a:stretch>
                  </pic:blipFill>
                  <pic:spPr bwMode="auto">
                    <a:xfrm>
                      <a:off x="0" y="0"/>
                      <a:ext cx="3769995" cy="2516505"/>
                    </a:xfrm>
                    <a:prstGeom prst="rect">
                      <a:avLst/>
                    </a:prstGeom>
                  </pic:spPr>
                </pic:pic>
              </a:graphicData>
            </a:graphic>
          </wp:inline>
        </w:drawing>
      </w:r>
      <w:r>
        <w:rPr/>
        <w:t xml:space="preserve"> </w:t>
      </w:r>
    </w:p>
    <w:p>
      <w:pPr>
        <w:pStyle w:val="Normal"/>
        <w:jc w:val="center"/>
        <w:rPr>
          <w:rFonts w:eastAsia="Calibri"/>
          <w:b/>
          <w:b/>
          <w:color w:val="54883D"/>
          <w:sz w:val="20"/>
          <w:szCs w:val="18"/>
          <w:lang w:bidi="en-US"/>
        </w:rPr>
      </w:pPr>
      <w:r>
        <w:rPr>
          <w:rFonts w:eastAsia="Calibri"/>
          <w:b/>
          <w:color w:val="54883D"/>
          <w:sz w:val="20"/>
          <w:szCs w:val="18"/>
          <w:lang w:bidi="en-US"/>
        </w:rPr>
        <w:t xml:space="preserve">Slika </w:t>
      </w:r>
      <w:r>
        <w:rPr>
          <w:rFonts w:eastAsia="Calibri"/>
          <w:b/>
          <w:color w:val="54883D"/>
          <w:sz w:val="20"/>
          <w:szCs w:val="18"/>
          <w:lang w:bidi="en-US"/>
        </w:rPr>
        <w:fldChar w:fldCharType="begin"/>
      </w:r>
      <w:r>
        <w:rPr>
          <w:sz w:val="20"/>
          <w:b/>
          <w:szCs w:val="18"/>
          <w:rFonts w:eastAsia="Calibri"/>
          <w:color w:val="54883D"/>
          <w:lang w:bidi="en-US"/>
        </w:rPr>
        <w:instrText> SEQ Slika \* ARABIC </w:instrText>
      </w:r>
      <w:r>
        <w:rPr>
          <w:sz w:val="20"/>
          <w:b/>
          <w:szCs w:val="18"/>
          <w:rFonts w:eastAsia="Calibri"/>
          <w:color w:val="54883D"/>
          <w:lang w:bidi="en-US"/>
        </w:rPr>
        <w:fldChar w:fldCharType="separate"/>
      </w:r>
      <w:r>
        <w:rPr>
          <w:sz w:val="20"/>
          <w:b/>
          <w:szCs w:val="18"/>
          <w:rFonts w:eastAsia="Calibri"/>
          <w:color w:val="54883D"/>
          <w:lang w:bidi="en-US"/>
        </w:rPr>
        <w:t>25</w:t>
      </w:r>
      <w:r>
        <w:rPr>
          <w:sz w:val="20"/>
          <w:b/>
          <w:szCs w:val="18"/>
          <w:rFonts w:eastAsia="Calibri"/>
          <w:color w:val="54883D"/>
          <w:lang w:bidi="en-US"/>
        </w:rPr>
        <w:fldChar w:fldCharType="end"/>
      </w:r>
      <w:r>
        <w:rPr>
          <w:rFonts w:eastAsia="Calibri"/>
          <w:b/>
          <w:color w:val="54883D"/>
          <w:sz w:val="20"/>
          <w:szCs w:val="18"/>
          <w:lang w:bidi="en-US"/>
        </w:rPr>
        <w:t>. Šteta uzrokovana tučom</w:t>
      </w:r>
    </w:p>
    <w:p>
      <w:pPr>
        <w:pStyle w:val="Normal"/>
        <w:jc w:val="center"/>
        <w:rPr>
          <w:b/>
          <w:b/>
          <w:highlight w:val="yellow"/>
        </w:rPr>
      </w:pPr>
      <w:r>
        <w:rPr>
          <w:b/>
          <w:highlight w:val="yellow"/>
        </w:rPr>
      </w:r>
    </w:p>
    <w:p>
      <w:pPr>
        <w:pStyle w:val="Stilnaslova3"/>
        <w:numPr>
          <w:ilvl w:val="2"/>
          <w:numId w:val="2"/>
        </w:numPr>
        <w:ind w:left="709" w:hanging="721"/>
        <w:rPr/>
      </w:pPr>
      <w:bookmarkStart w:id="349" w:name="_Toc99955753"/>
      <w:bookmarkStart w:id="350" w:name="_Toc116990201"/>
      <w:r>
        <w:rPr/>
        <w:t>Uzrok</w:t>
      </w:r>
      <w:bookmarkEnd w:id="349"/>
      <w:bookmarkEnd w:id="350"/>
    </w:p>
    <w:p>
      <w:pPr>
        <w:pStyle w:val="Normal"/>
        <w:rPr>
          <w:lang w:bidi="en-US"/>
        </w:rPr>
      </w:pPr>
      <w:r>
        <w:rPr>
          <w:lang w:bidi="en-US"/>
        </w:rPr>
        <w:t>Tuču uglavnom proizvode oblaci kumulonimbusi i to na prednjoj fronti olujnog sustava. Pri takvim olujama, ulazne struje zadržavaju kišu sprečavajući je da pada na zemlju. Ako oblak sadrži dovoljno pothlađenih kapi vode one se nakupljaju pod pritiskom ledene kuglice, dok je pri dnu oblaka ponovo ne zateče ulazna struja. Proces se ponavlja dok gromada grada ne postane dovoljno teška da je struje ne mogu više zadržavati u zraku te pada na zemlju.</w:t>
      </w:r>
    </w:p>
    <w:p>
      <w:pPr>
        <w:pStyle w:val="Normal"/>
        <w:rPr/>
      </w:pPr>
      <w:r>
        <w:rPr/>
        <w:t>Komadi leda svojim padom s velike visine nanose izravnu mehaničku štetu svim izloženim dijelovima biljke, pa nakon kratkog vremenskog roka usjevi mogu biti potpuno uništeni. U voćarstvu i vinogradarstvu tuča nanosi štete listu i plodovima u razvoju, pa se tako prinos može znatno smanjiti ili potpuno izgubiti.</w:t>
      </w:r>
    </w:p>
    <w:p>
      <w:pPr>
        <w:pStyle w:val="Normal"/>
        <w:rPr>
          <w:u w:val="single"/>
          <w:lang w:bidi="en-US"/>
        </w:rPr>
      </w:pPr>
      <w:r>
        <w:rPr>
          <w:u w:val="single"/>
          <w:lang w:bidi="en-US"/>
        </w:rPr>
        <w:t>RAZVOJ DOGAĐAJA KOJI JE PRETHODIO VELIKOJ NESREĆI</w:t>
      </w:r>
    </w:p>
    <w:p>
      <w:pPr>
        <w:pStyle w:val="Normal"/>
        <w:rPr>
          <w:lang w:bidi="en-US"/>
        </w:rPr>
      </w:pPr>
      <w:r>
        <w:rPr>
          <w:lang w:bidi="en-US"/>
        </w:rPr>
        <w:t xml:space="preserve">Krajem proljeća i početkom ljeta dolazi razdoblje gdje u našem podneblju postoji velika mogućnost od nastajanja tuče. Tuča se često javlja za vrijeme velikih vrućina i gotovo uvijek je praćena snažnom grmljavinom, sijevanjem munja i kišom. </w:t>
      </w:r>
    </w:p>
    <w:p>
      <w:pPr>
        <w:pStyle w:val="Normal"/>
        <w:rPr>
          <w:u w:val="single"/>
          <w:lang w:bidi="en-US"/>
        </w:rPr>
      </w:pPr>
      <w:r>
        <w:rPr>
          <w:u w:val="single"/>
          <w:lang w:bidi="en-US"/>
        </w:rPr>
        <w:t>OKIDAČ KOJI JE UZROKOVAO VELIKU NESREĆU</w:t>
      </w:r>
    </w:p>
    <w:p>
      <w:pPr>
        <w:pStyle w:val="Normal"/>
        <w:rPr>
          <w:lang w:bidi="en-US"/>
        </w:rPr>
      </w:pPr>
      <w:r>
        <w:rPr>
          <w:lang w:bidi="en-US"/>
        </w:rPr>
        <w:t>Tuča nastaje smrzavanjem kapljica koje na svom putu prema Zemlji prolaze kroz pojas hladnog zraka.</w:t>
      </w:r>
    </w:p>
    <w:p>
      <w:pPr>
        <w:pStyle w:val="Normal"/>
        <w:rPr>
          <w:lang w:bidi="en-US"/>
        </w:rPr>
      </w:pPr>
      <w:r>
        <w:rPr>
          <w:lang w:bidi="en-US"/>
        </w:rPr>
      </w:r>
    </w:p>
    <w:p>
      <w:pPr>
        <w:pStyle w:val="Stilnaslova3"/>
        <w:numPr>
          <w:ilvl w:val="2"/>
          <w:numId w:val="2"/>
        </w:numPr>
        <w:ind w:left="709" w:hanging="721"/>
        <w:rPr/>
      </w:pPr>
      <w:bookmarkStart w:id="351" w:name="_Toc99955754"/>
      <w:bookmarkStart w:id="352" w:name="_Toc116990202"/>
      <w:r>
        <w:rPr/>
        <w:t>Događaj s najgorim mogućim posljedicama</w:t>
      </w:r>
      <w:bookmarkEnd w:id="351"/>
      <w:bookmarkEnd w:id="352"/>
    </w:p>
    <w:p>
      <w:pPr>
        <w:pStyle w:val="Normal"/>
        <w:rPr>
          <w:lang w:bidi="en-US"/>
        </w:rPr>
      </w:pPr>
      <w:r>
        <w:rPr>
          <w:lang w:bidi="en-US"/>
        </w:rPr>
        <w:t>Događaj s najgorim mogućim posljedicama pretpostavlja pojavu tuče na području Grada Buja koja može prouzrokovati veće štete na gospodarstvo Grada. Ako se ledene kapljice za vrijeme padanja tuče sastanu s jakom strujom zraka koja se diže uvis, ona ponese sa sobom i ove smrznute kuglice, na koje se lijepe nove kišne kapljice. Prilikom ponovnog prolaza kroz hladni zračni pojas, nove nalijepljene kišne kapi oko njih stvaraju sloj koji se smrzava i tako se stvaraju veća zrna tuče. Ovaj proces dizanja i spuštanja ledenih kuglica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pPr>
        <w:pStyle w:val="Normal"/>
        <w:rPr>
          <w:i/>
          <w:i/>
          <w:iCs/>
          <w:color w:val="6EAA42"/>
        </w:rPr>
      </w:pPr>
      <w:r>
        <w:rPr>
          <w:i/>
          <w:iCs/>
          <w:color w:val="6EAA42"/>
        </w:rPr>
        <w:t>Posljedice</w:t>
      </w:r>
    </w:p>
    <w:p>
      <w:pPr>
        <w:pStyle w:val="Normal"/>
        <w:rPr>
          <w:u w:val="single"/>
        </w:rPr>
      </w:pPr>
      <w:r>
        <w:rPr>
          <w:u w:val="single"/>
        </w:rPr>
        <w:t>Život i zdravlje ljudi</w:t>
      </w:r>
    </w:p>
    <w:p>
      <w:pPr>
        <w:pStyle w:val="Normal"/>
        <w:rPr/>
      </w:pPr>
      <w:r>
        <w:rPr/>
        <w:t>Na području Grada Buje ne očekuju se ozbiljni negativni utjecaji na zdravlje i život ljudi u slučaju nastanka tuče.</w:t>
      </w:r>
    </w:p>
    <w:p>
      <w:pPr>
        <w:pStyle w:val="Normal"/>
        <w:spacing w:before="0" w:after="240"/>
        <w:jc w:val="center"/>
        <w:rPr>
          <w:b/>
          <w:b/>
          <w:bCs/>
          <w:i/>
          <w:i/>
          <w:color w:val="54883D"/>
          <w:sz w:val="20"/>
          <w:szCs w:val="18"/>
        </w:rPr>
      </w:pPr>
      <w:r>
        <w:rPr>
          <w:b/>
          <w:bCs/>
          <w:i/>
          <w:color w:val="54883D"/>
          <w:sz w:val="20"/>
          <w:szCs w:val="18"/>
        </w:rPr>
        <w:t>Tablica 98. Vrijednost kriterija za posljedice na život i zdravlje ljudi po kategorijama - tuča</w:t>
      </w:r>
    </w:p>
    <w:tbl>
      <w:tblPr>
        <w:tblStyle w:val="GridTable6Colorful-Accent3"/>
        <w:tblW w:w="8332" w:type="dxa"/>
        <w:jc w:val="center"/>
        <w:tblInd w:w="0" w:type="dxa"/>
        <w:tblCellMar>
          <w:top w:w="0" w:type="dxa"/>
          <w:left w:w="108" w:type="dxa"/>
          <w:bottom w:w="0" w:type="dxa"/>
          <w:right w:w="108" w:type="dxa"/>
        </w:tblCellMar>
        <w:tblLook w:firstRow="1" w:noVBand="1" w:lastRow="0" w:firstColumn="1" w:lastColumn="0" w:noHBand="0" w:val="04a0"/>
      </w:tblPr>
      <w:tblGrid>
        <w:gridCol w:w="1528"/>
        <w:gridCol w:w="2567"/>
        <w:gridCol w:w="2253"/>
        <w:gridCol w:w="1983"/>
      </w:tblGrid>
      <w:tr>
        <w:trPr>
          <w:trHeight w:val="231" w:hRule="atLeast"/>
          <w:cnfStyle w:val="100000000000" w:firstRow="1" w:lastRow="0" w:firstColumn="0" w:lastColumn="0" w:oddVBand="0" w:evenVBand="0" w:oddHBand="0"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40" w:before="80" w:after="0"/>
              <w:jc w:val="center"/>
              <w:rPr>
                <w:sz w:val="20"/>
                <w:szCs w:val="20"/>
              </w:rPr>
            </w:pPr>
            <w:r>
              <w:rPr>
                <w:b/>
                <w:bCs/>
                <w:color w:val="76923C" w:themeColor="accent3" w:themeShade="bf"/>
                <w:sz w:val="20"/>
                <w:szCs w:val="20"/>
              </w:rPr>
              <w:t>KATEGORIJA</w:t>
            </w:r>
          </w:p>
        </w:tc>
        <w:tc>
          <w:tcPr>
            <w:tcW w:w="2567"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2253"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 xml:space="preserve"> </w:t>
            </w:r>
            <w:r>
              <w:rPr>
                <w:b/>
                <w:bCs/>
                <w:color w:val="76923C" w:themeColor="accent3" w:themeShade="bf"/>
                <w:sz w:val="20"/>
                <w:szCs w:val="20"/>
              </w:rPr>
              <w:t xml:space="preserve">% OSOBA JLP(R)S </w:t>
            </w:r>
          </w:p>
        </w:tc>
        <w:tc>
          <w:tcPr>
            <w:tcW w:w="1983"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val="false"/>
                <w:b w:val="false"/>
                <w:sz w:val="20"/>
                <w:szCs w:val="20"/>
              </w:rPr>
            </w:pPr>
            <w:r>
              <w:rPr>
                <w:b w:val="false"/>
                <w:bCs/>
                <w:color w:val="76923C" w:themeColor="accent3" w:themeShade="bf"/>
                <w:sz w:val="20"/>
                <w:szCs w:val="20"/>
              </w:rPr>
              <w:t>1</w:t>
            </w:r>
          </w:p>
        </w:tc>
        <w:tc>
          <w:tcPr>
            <w:tcW w:w="256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25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&lt; 0,001</w:t>
            </w:r>
          </w:p>
        </w:tc>
        <w:tc>
          <w:tcPr>
            <w:tcW w:w="198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rHeight w:val="243" w:hRule="atLeast"/>
        </w:trPr>
        <w:tc>
          <w:tcPr>
            <w:tcW w:w="1528"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2</w:t>
            </w:r>
          </w:p>
        </w:tc>
        <w:tc>
          <w:tcPr>
            <w:tcW w:w="256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Malene</w:t>
            </w:r>
          </w:p>
        </w:tc>
        <w:tc>
          <w:tcPr>
            <w:tcW w:w="225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0,001 – 0,0046</w:t>
            </w:r>
          </w:p>
        </w:tc>
        <w:tc>
          <w:tcPr>
            <w:tcW w:w="198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val="false"/>
                <w:b w:val="false"/>
                <w:sz w:val="20"/>
                <w:szCs w:val="20"/>
              </w:rPr>
            </w:pPr>
            <w:r>
              <w:rPr>
                <w:b w:val="false"/>
                <w:bCs/>
                <w:color w:val="76923C" w:themeColor="accent3" w:themeShade="bf"/>
                <w:sz w:val="20"/>
                <w:szCs w:val="20"/>
              </w:rPr>
              <w:t>3</w:t>
            </w:r>
          </w:p>
        </w:tc>
        <w:tc>
          <w:tcPr>
            <w:tcW w:w="256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25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0,0046 – 0,011</w:t>
            </w:r>
          </w:p>
        </w:tc>
        <w:tc>
          <w:tcPr>
            <w:tcW w:w="198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231" w:hRule="atLeast"/>
        </w:trPr>
        <w:tc>
          <w:tcPr>
            <w:tcW w:w="1528"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4</w:t>
            </w:r>
          </w:p>
        </w:tc>
        <w:tc>
          <w:tcPr>
            <w:tcW w:w="256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25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0,012 – 0,035</w:t>
            </w:r>
          </w:p>
        </w:tc>
        <w:tc>
          <w:tcPr>
            <w:tcW w:w="198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64" w:hRule="atLeast"/>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val="false"/>
                <w:b w:val="false"/>
                <w:sz w:val="20"/>
                <w:szCs w:val="20"/>
              </w:rPr>
            </w:pPr>
            <w:r>
              <w:rPr>
                <w:b w:val="false"/>
                <w:bCs/>
                <w:color w:val="76923C" w:themeColor="accent3" w:themeShade="bf"/>
                <w:sz w:val="20"/>
                <w:szCs w:val="20"/>
              </w:rPr>
              <w:t>5</w:t>
            </w:r>
          </w:p>
        </w:tc>
        <w:tc>
          <w:tcPr>
            <w:tcW w:w="256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25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&gt; 0,036</w:t>
            </w:r>
          </w:p>
        </w:tc>
        <w:tc>
          <w:tcPr>
            <w:tcW w:w="198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lang w:bidi="en-US"/>
        </w:rPr>
      </w:pPr>
      <w:r>
        <w:rPr>
          <w:lang w:bidi="en-US"/>
        </w:rPr>
      </w:r>
    </w:p>
    <w:p>
      <w:pPr>
        <w:pStyle w:val="Normal"/>
        <w:rPr>
          <w:u w:val="single"/>
        </w:rPr>
      </w:pPr>
      <w:r>
        <w:rPr>
          <w:u w:val="single"/>
        </w:rPr>
        <w:t>Gospodarstvo</w:t>
      </w:r>
    </w:p>
    <w:p>
      <w:pPr>
        <w:pStyle w:val="Normal"/>
        <w:spacing w:before="120" w:after="120"/>
        <w:rPr>
          <w:szCs w:val="22"/>
        </w:rPr>
      </w:pPr>
      <w:r>
        <w:rPr/>
        <w:t xml:space="preserve">U slučaju pojave tuče može doći do šteta na usjevima i sušenja biljaka. Može doći do gubitka jednogodišnjih i višegodišnjih uroda, smanjenog prinosa i uništenja dijela usjeva. S obzirom da je na ovom području znatnije razvijeno vinogradarstvo, najveće štete od tuče se mogu očekivati na urodu grožđa. </w:t>
      </w:r>
      <w:r>
        <w:rPr>
          <w:szCs w:val="22"/>
        </w:rPr>
        <w:t>Procjenjuje se da u najgorim slučajevima može doći i do 100% štete na usjevima i zbog toga su odabrane katastrofalne posljedice na gospodarstvo.</w:t>
      </w:r>
    </w:p>
    <w:p>
      <w:pPr>
        <w:pStyle w:val="Normal"/>
        <w:spacing w:before="120" w:after="120"/>
        <w:rPr/>
      </w:pPr>
      <w:r>
        <w:rPr/>
        <w:t xml:space="preserve">Elementarne nepogode od tuče proglašene su u kolovozu 2008. godine na području cijele Istarske županije, također i  kolovozu 2008. godine. </w:t>
      </w:r>
      <w:r>
        <w:rPr>
          <w:szCs w:val="22"/>
        </w:rPr>
        <w:t xml:space="preserve">U travnju 2012. godine </w:t>
      </w:r>
      <w:r>
        <w:rPr>
          <w:rFonts w:eastAsia="" w:eastAsiaTheme="minorEastAsia"/>
          <w:color w:val="auto"/>
          <w:szCs w:val="22"/>
          <w:lang w:eastAsia="hr-HR"/>
        </w:rPr>
        <w:t>proglašena je na cijelom području Istarske županije elementarna nepogoda izazvana tučom s ukupnom procijenjenom štetom od 15.188.773,25 kn.</w:t>
      </w:r>
    </w:p>
    <w:p>
      <w:pPr>
        <w:pStyle w:val="Normal"/>
        <w:spacing w:before="0" w:after="240"/>
        <w:jc w:val="center"/>
        <w:rPr>
          <w:rFonts w:ascii="Calibri" w:hAnsi="Calibri"/>
          <w:b/>
          <w:b/>
          <w:bCs/>
          <w:i/>
          <w:i/>
          <w:color w:val="auto"/>
          <w:sz w:val="20"/>
          <w:szCs w:val="18"/>
        </w:rPr>
      </w:pPr>
      <w:r>
        <w:rPr>
          <w:b/>
          <w:bCs/>
          <w:i/>
          <w:color w:val="54883D"/>
          <w:sz w:val="20"/>
          <w:szCs w:val="18"/>
        </w:rPr>
        <w:t>Tablica 99. Vrijednost kriterija za posljedice na gospodarstvo po kategorijama - tuča</w:t>
      </w:r>
    </w:p>
    <w:tbl>
      <w:tblPr>
        <w:tblStyle w:val="GridTable6Colorful-Accent3"/>
        <w:tblW w:w="8439" w:type="dxa"/>
        <w:jc w:val="center"/>
        <w:tblInd w:w="0" w:type="dxa"/>
        <w:tblCellMar>
          <w:top w:w="0" w:type="dxa"/>
          <w:left w:w="108" w:type="dxa"/>
          <w:bottom w:w="0" w:type="dxa"/>
          <w:right w:w="108" w:type="dxa"/>
        </w:tblCellMar>
        <w:tblLook w:firstRow="1" w:noVBand="1" w:lastRow="0" w:firstColumn="1" w:lastColumn="0" w:noHBand="0" w:val="04a0"/>
      </w:tblPr>
      <w:tblGrid>
        <w:gridCol w:w="1526"/>
        <w:gridCol w:w="2155"/>
        <w:gridCol w:w="2930"/>
        <w:gridCol w:w="1827"/>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KATEGORIJA</w:t>
            </w:r>
          </w:p>
        </w:tc>
        <w:tc>
          <w:tcPr>
            <w:tcW w:w="2155"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POSLJEDICE</w:t>
            </w:r>
          </w:p>
        </w:tc>
        <w:tc>
          <w:tcPr>
            <w:tcW w:w="2930"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KRITERIJ (kn)</w:t>
            </w:r>
          </w:p>
        </w:tc>
        <w:tc>
          <w:tcPr>
            <w:tcW w:w="1827"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1.</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5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sz w:val="20"/>
                <w:szCs w:val="20"/>
              </w:rPr>
            </w:pPr>
            <w:r>
              <w:rPr>
                <w:b/>
                <w:bCs/>
                <w:color w:val="76923C" w:themeColor="accent3" w:themeShade="bf"/>
                <w:sz w:val="20"/>
                <w:szCs w:val="20"/>
              </w:rPr>
              <w:t>2.</w:t>
            </w:r>
          </w:p>
        </w:tc>
        <w:tc>
          <w:tcPr>
            <w:tcW w:w="2155"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30"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82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3.</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5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sz w:val="20"/>
                <w:szCs w:val="20"/>
              </w:rPr>
            </w:pPr>
            <w:r>
              <w:rPr>
                <w:b/>
                <w:bCs/>
                <w:color w:val="76923C" w:themeColor="accent3" w:themeShade="bf"/>
                <w:sz w:val="20"/>
                <w:szCs w:val="20"/>
              </w:rPr>
              <w:t>4.</w:t>
            </w:r>
          </w:p>
        </w:tc>
        <w:tc>
          <w:tcPr>
            <w:tcW w:w="2155"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30"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82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5.</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lang w:bidi="en-US"/>
        </w:rPr>
      </w:pPr>
      <w:r>
        <w:rPr>
          <w:lang w:bidi="en-US"/>
        </w:rPr>
      </w:r>
    </w:p>
    <w:p>
      <w:pPr>
        <w:pStyle w:val="Normal"/>
        <w:rPr>
          <w:u w:val="single"/>
        </w:rPr>
      </w:pPr>
      <w:r>
        <w:rPr>
          <w:u w:val="single"/>
        </w:rPr>
        <w:t>Društvena stabilnost i politika</w:t>
      </w:r>
    </w:p>
    <w:p>
      <w:pPr>
        <w:pStyle w:val="Normal"/>
        <w:rPr>
          <w:rFonts w:eastAsia="Calibri" w:eastAsiaTheme="minorHAnsi"/>
          <w:b/>
          <w:b/>
          <w:u w:val="single"/>
        </w:rPr>
      </w:pPr>
      <w:r>
        <w:rPr>
          <w:rFonts w:eastAsia="Calibri" w:eastAsiaTheme="minorHAnsi"/>
          <w:b/>
          <w:u w:val="single"/>
        </w:rPr>
        <w:t>Posljedice po kritičnu infrastrukturu:</w:t>
      </w:r>
    </w:p>
    <w:p>
      <w:pPr>
        <w:pStyle w:val="Normal"/>
        <w:spacing w:before="120" w:after="120"/>
        <w:rPr/>
      </w:pPr>
      <w:r>
        <w:rPr>
          <w:lang w:eastAsia="hr-HR"/>
        </w:rPr>
        <w:t>Tuča može nanijeti štetu na spomenicima ali ne u obimu velikih nesreća. U slučaju oštećene krovne konstrukcije pojedinih objekata može za posljedicu imati izloženost unutrašnjosti objekata kiši što može dovesti do oštećenja vrijednih slika, freski, oltara, vrijednih eksponata od tekstila, papira te niz dragocjenih izvornih dokumenata i ostalih vrijednosti unutar objekata.</w:t>
      </w:r>
    </w:p>
    <w:p>
      <w:pPr>
        <w:pStyle w:val="Normal"/>
        <w:spacing w:before="120" w:after="120"/>
        <w:rPr/>
      </w:pPr>
      <w:r>
        <w:rPr/>
        <w:t>U slučaju pojave tuče očekuje se umjerena materijalna šteta na objektima kritične infrastrukture. niti na ustanovama/građevinama od javnog društvenog značaja.</w:t>
      </w:r>
    </w:p>
    <w:p>
      <w:pPr>
        <w:pStyle w:val="Normal"/>
        <w:rPr>
          <w:i/>
          <w:i/>
          <w:iCs/>
          <w:color w:val="54883D"/>
        </w:rPr>
      </w:pPr>
      <w:r>
        <w:rPr>
          <w:i/>
          <w:iCs/>
          <w:color w:val="54883D"/>
        </w:rPr>
      </w:r>
    </w:p>
    <w:p>
      <w:pPr>
        <w:pStyle w:val="Normal"/>
        <w:rPr>
          <w:i/>
          <w:i/>
          <w:iCs/>
          <w:color w:val="54883D"/>
        </w:rPr>
      </w:pPr>
      <w:r>
        <w:rPr>
          <w:i/>
          <w:iCs/>
          <w:color w:val="54883D"/>
        </w:rPr>
        <w:t>Hrana</w:t>
      </w:r>
    </w:p>
    <w:p>
      <w:pPr>
        <w:pStyle w:val="Normal"/>
        <w:spacing w:before="120" w:after="120"/>
        <w:rPr/>
      </w:pPr>
      <w:r>
        <w:rPr>
          <w:rFonts w:eastAsia="Calibri" w:eastAsiaTheme="minorHAnsi"/>
          <w:iCs/>
        </w:rPr>
        <w:t xml:space="preserve">Štete na usjevima, voćkama i vinogradima kao rezultat tuče. Gubitak jednogodišnjih i višegodišnjih uroda, smanjeni prinosi, dio usjeva može biti uništen. Ove štete neće utjecati na </w:t>
      </w:r>
      <w:r>
        <w:rPr/>
        <w:t xml:space="preserve">distribuciju namirnica, ali može uzrokovati smanjenje količine namirnica. </w:t>
      </w:r>
    </w:p>
    <w:p>
      <w:pPr>
        <w:pStyle w:val="Normal"/>
        <w:spacing w:before="0" w:after="240"/>
        <w:jc w:val="center"/>
        <w:rPr>
          <w:rFonts w:ascii="Calibri" w:hAnsi="Calibri"/>
          <w:b/>
          <w:b/>
          <w:bCs/>
          <w:i/>
          <w:i/>
          <w:color w:val="auto"/>
          <w:sz w:val="20"/>
          <w:szCs w:val="18"/>
        </w:rPr>
      </w:pPr>
      <w:r>
        <w:rPr>
          <w:b/>
          <w:bCs/>
          <w:i/>
          <w:color w:val="54883D"/>
          <w:sz w:val="20"/>
          <w:szCs w:val="18"/>
        </w:rPr>
        <w:t>Tablica 99. Vrijednost kriterija za posljedice na društvenu stabilnost i politiku-oštećena kritična infrastruktura - tuča</w:t>
      </w:r>
    </w:p>
    <w:tbl>
      <w:tblPr>
        <w:tblStyle w:val="GridTable6Colorful-Accent3"/>
        <w:tblW w:w="8439" w:type="dxa"/>
        <w:jc w:val="center"/>
        <w:tblInd w:w="0" w:type="dxa"/>
        <w:tblCellMar>
          <w:top w:w="0" w:type="dxa"/>
          <w:left w:w="108" w:type="dxa"/>
          <w:bottom w:w="0" w:type="dxa"/>
          <w:right w:w="108" w:type="dxa"/>
        </w:tblCellMar>
        <w:tblLook w:firstRow="1" w:noVBand="1" w:lastRow="0" w:firstColumn="1" w:lastColumn="0" w:noHBand="0" w:val="04a0"/>
      </w:tblPr>
      <w:tblGrid>
        <w:gridCol w:w="1526"/>
        <w:gridCol w:w="2155"/>
        <w:gridCol w:w="2930"/>
        <w:gridCol w:w="1827"/>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KATEGORIJA</w:t>
            </w:r>
          </w:p>
        </w:tc>
        <w:tc>
          <w:tcPr>
            <w:tcW w:w="2155"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POSLJEDICE</w:t>
            </w:r>
          </w:p>
        </w:tc>
        <w:tc>
          <w:tcPr>
            <w:tcW w:w="2930"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KRITERIJ (kn)</w:t>
            </w:r>
          </w:p>
        </w:tc>
        <w:tc>
          <w:tcPr>
            <w:tcW w:w="1827" w:type="dxa"/>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1.</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265.321,03 – 530.642,06</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5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sz w:val="20"/>
                <w:szCs w:val="20"/>
              </w:rPr>
            </w:pPr>
            <w:r>
              <w:rPr>
                <w:b/>
                <w:bCs/>
                <w:color w:val="76923C" w:themeColor="accent3" w:themeShade="bf"/>
                <w:sz w:val="20"/>
                <w:szCs w:val="20"/>
              </w:rPr>
              <w:t>2.</w:t>
            </w:r>
          </w:p>
        </w:tc>
        <w:tc>
          <w:tcPr>
            <w:tcW w:w="2155"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2930"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530.642,06– 2.653.210,29</w:t>
            </w:r>
          </w:p>
        </w:tc>
        <w:tc>
          <w:tcPr>
            <w:tcW w:w="182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3.</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2.653.210,29– 7.959.630,90</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x</w:t>
            </w:r>
          </w:p>
        </w:tc>
      </w:tr>
      <w:tr>
        <w:trPr/>
        <w:tc>
          <w:tcPr>
            <w:tcW w:w="1526"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sz w:val="20"/>
                <w:szCs w:val="20"/>
              </w:rPr>
            </w:pPr>
            <w:r>
              <w:rPr>
                <w:b/>
                <w:bCs/>
                <w:color w:val="76923C" w:themeColor="accent3" w:themeShade="bf"/>
                <w:sz w:val="20"/>
                <w:szCs w:val="20"/>
              </w:rPr>
              <w:t>4.</w:t>
            </w:r>
          </w:p>
        </w:tc>
        <w:tc>
          <w:tcPr>
            <w:tcW w:w="2155"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2930"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FF0000" w:themeColor="accent3" w:themeShade="bf"/>
                <w:sz w:val="20"/>
                <w:szCs w:val="20"/>
              </w:rPr>
              <w:t>7.959.630,90– 13.266.051,44</w:t>
            </w:r>
          </w:p>
        </w:tc>
        <w:tc>
          <w:tcPr>
            <w:tcW w:w="1827"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526"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sz w:val="20"/>
                <w:szCs w:val="20"/>
              </w:rPr>
            </w:pPr>
            <w:r>
              <w:rPr>
                <w:b/>
                <w:bCs/>
                <w:color w:val="76923C" w:themeColor="accent3" w:themeShade="bf"/>
                <w:sz w:val="20"/>
                <w:szCs w:val="20"/>
              </w:rPr>
              <w:t>5.</w:t>
            </w:r>
          </w:p>
        </w:tc>
        <w:tc>
          <w:tcPr>
            <w:tcW w:w="2155"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2930"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FF0000" w:themeColor="accent3" w:themeShade="bf"/>
                <w:sz w:val="20"/>
                <w:szCs w:val="20"/>
              </w:rPr>
              <w:t>&gt; 13.266.051,44</w:t>
            </w:r>
          </w:p>
        </w:tc>
        <w:tc>
          <w:tcPr>
            <w:tcW w:w="1827"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bookmarkStart w:id="353" w:name="_GoBack"/>
            <w:bookmarkStart w:id="354" w:name="_GoBack"/>
            <w:bookmarkEnd w:id="354"/>
          </w:p>
        </w:tc>
      </w:tr>
    </w:tbl>
    <w:p>
      <w:pPr>
        <w:pStyle w:val="Normal"/>
        <w:spacing w:before="120" w:after="120"/>
        <w:rPr/>
      </w:pPr>
      <w:r>
        <w:rPr/>
      </w:r>
    </w:p>
    <w:p>
      <w:pPr>
        <w:pStyle w:val="Normal"/>
        <w:spacing w:before="80" w:after="0"/>
        <w:rPr>
          <w:b/>
          <w:b/>
          <w:i/>
          <w:i/>
          <w:szCs w:val="20"/>
          <w:u w:val="single"/>
        </w:rPr>
      </w:pPr>
      <w:r>
        <w:rPr>
          <w:b/>
          <w:i/>
          <w:szCs w:val="20"/>
          <w:u w:val="single"/>
        </w:rPr>
        <w:t xml:space="preserve">Posljedice na građevinama od javnog društvenog značaja: </w:t>
      </w:r>
    </w:p>
    <w:p>
      <w:pPr>
        <w:pStyle w:val="Normal"/>
        <w:rPr/>
      </w:pPr>
      <w:r>
        <w:rPr/>
        <w:t>U slučaju pojave tuče ne očekuje se značajna materijalna šteta na ustanovama/građevinama od javnog društvenog značaja.</w:t>
      </w:r>
    </w:p>
    <w:p>
      <w:pPr>
        <w:pStyle w:val="Normal"/>
        <w:spacing w:before="0" w:after="0"/>
        <w:jc w:val="center"/>
        <w:rPr>
          <w:b/>
          <w:b/>
          <w:bCs/>
          <w:i/>
          <w:i/>
          <w:color w:val="54883D"/>
          <w:sz w:val="20"/>
          <w:szCs w:val="18"/>
        </w:rPr>
      </w:pPr>
      <w:r>
        <w:rPr>
          <w:b/>
          <w:bCs/>
          <w:i/>
          <w:color w:val="54883D"/>
          <w:sz w:val="20"/>
          <w:szCs w:val="18"/>
        </w:rPr>
        <w:t xml:space="preserve">Tablica 101. Vrijednost kriterija za posljedice na društvenu stabilnost i politiku </w:t>
      </w:r>
    </w:p>
    <w:p>
      <w:pPr>
        <w:pStyle w:val="Normal"/>
        <w:spacing w:before="0" w:after="240"/>
        <w:jc w:val="center"/>
        <w:rPr>
          <w:b/>
          <w:b/>
          <w:bCs/>
          <w:i/>
          <w:i/>
          <w:color w:val="54883D"/>
          <w:sz w:val="20"/>
          <w:szCs w:val="18"/>
        </w:rPr>
      </w:pPr>
      <w:r>
        <w:rPr>
          <w:b/>
          <w:bCs/>
          <w:i/>
          <w:color w:val="54883D"/>
          <w:sz w:val="20"/>
          <w:szCs w:val="18"/>
        </w:rPr>
        <w:t xml:space="preserve"> </w:t>
      </w:r>
      <w:r>
        <w:rPr>
          <w:b/>
          <w:bCs/>
          <w:i/>
          <w:color w:val="54883D"/>
          <w:sz w:val="20"/>
          <w:szCs w:val="18"/>
        </w:rPr>
        <w:t>- štete/gubitci na ustanovama/građevinama javnog društvenog značaja - tuča</w:t>
      </w:r>
    </w:p>
    <w:tbl>
      <w:tblPr>
        <w:tblStyle w:val="GridTable6Colorful-Accent3"/>
        <w:tblW w:w="8439" w:type="dxa"/>
        <w:jc w:val="center"/>
        <w:tblInd w:w="0" w:type="dxa"/>
        <w:tblCellMar>
          <w:top w:w="0" w:type="dxa"/>
          <w:left w:w="108" w:type="dxa"/>
          <w:bottom w:w="0" w:type="dxa"/>
          <w:right w:w="108" w:type="dxa"/>
        </w:tblCellMar>
        <w:tblLook w:firstRow="1" w:noVBand="1" w:lastRow="0" w:firstColumn="1" w:lastColumn="0" w:noHBand="0" w:val="04a0"/>
      </w:tblPr>
      <w:tblGrid>
        <w:gridCol w:w="1528"/>
        <w:gridCol w:w="2010"/>
        <w:gridCol w:w="3073"/>
        <w:gridCol w:w="1827"/>
      </w:tblGrid>
      <w:tr>
        <w:trPr>
          <w:trHeight w:val="358" w:hRule="atLeast"/>
          <w:cnfStyle w:val="100000000000" w:firstRow="1" w:lastRow="0" w:firstColumn="0" w:lastColumn="0" w:oddVBand="0" w:evenVBand="0" w:oddHBand="0"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76" w:before="80" w:after="0"/>
              <w:jc w:val="center"/>
              <w:rPr>
                <w:sz w:val="20"/>
                <w:szCs w:val="20"/>
              </w:rPr>
            </w:pPr>
            <w:r>
              <w:rPr>
                <w:b/>
                <w:bCs/>
                <w:color w:val="76923C" w:themeColor="accent3" w:themeShade="bf"/>
                <w:sz w:val="20"/>
                <w:szCs w:val="20"/>
              </w:rPr>
              <w:t>KATEGORIJA</w:t>
            </w:r>
          </w:p>
        </w:tc>
        <w:tc>
          <w:tcPr>
            <w:tcW w:w="2010" w:type="dxa"/>
            <w:tcBorders>
              <w:bottom w:val="single" w:sz="12" w:space="0" w:color="C2D69B"/>
            </w:tcBorders>
          </w:tcPr>
          <w:p>
            <w:pPr>
              <w:pStyle w:val="Normal"/>
              <w:spacing w:lineRule="auto" w:line="276"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POSLJEDICE</w:t>
            </w:r>
          </w:p>
        </w:tc>
        <w:tc>
          <w:tcPr>
            <w:tcW w:w="3073" w:type="dxa"/>
            <w:tcBorders>
              <w:bottom w:val="single" w:sz="12" w:space="0" w:color="C2D69B"/>
            </w:tcBorders>
          </w:tcPr>
          <w:p>
            <w:pPr>
              <w:pStyle w:val="Normal"/>
              <w:spacing w:lineRule="auto" w:line="276"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KRITERIJ (kn)</w:t>
            </w:r>
          </w:p>
        </w:tc>
        <w:tc>
          <w:tcPr>
            <w:tcW w:w="1827" w:type="dxa"/>
            <w:tcBorders>
              <w:bottom w:val="single" w:sz="12" w:space="0" w:color="C2D69B"/>
            </w:tcBorders>
          </w:tcPr>
          <w:p>
            <w:pPr>
              <w:pStyle w:val="Normal"/>
              <w:spacing w:lineRule="auto" w:line="276" w:before="80" w:after="0"/>
              <w:jc w:val="center"/>
              <w:cnfStyle w:val="100000000000" w:firstRow="1" w:lastRow="0" w:firstColumn="0" w:lastColumn="0" w:oddVBand="0" w:evenVBand="0" w:oddHBand="0" w:evenHBand="0" w:firstRowFirstColumn="0" w:firstRowLastColumn="0" w:lastRowFirstColumn="0" w:lastRowLastColumn="0"/>
              <w:rPr>
                <w:sz w:val="20"/>
                <w:szCs w:val="20"/>
              </w:rPr>
            </w:pPr>
            <w:r>
              <w:rPr>
                <w:b/>
                <w:bCs/>
                <w:color w:val="76923C" w:themeColor="accent3" w:themeShade="bf"/>
                <w:sz w:val="20"/>
                <w:szCs w:val="20"/>
              </w:rPr>
              <w:t>ODABRANO</w:t>
            </w:r>
          </w:p>
        </w:tc>
      </w:tr>
      <w:tr>
        <w:trPr>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jc w:val="center"/>
              <w:rPr>
                <w:sz w:val="20"/>
                <w:szCs w:val="20"/>
              </w:rPr>
            </w:pPr>
            <w:r>
              <w:rPr>
                <w:b/>
                <w:bCs/>
                <w:color w:val="76923C" w:themeColor="accent3" w:themeShade="bf"/>
                <w:sz w:val="20"/>
                <w:szCs w:val="20"/>
              </w:rPr>
              <w:t>1.</w:t>
            </w:r>
          </w:p>
        </w:tc>
        <w:tc>
          <w:tcPr>
            <w:tcW w:w="2010"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Neznatne</w:t>
            </w:r>
          </w:p>
        </w:tc>
        <w:tc>
          <w:tcPr>
            <w:tcW w:w="3073"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themeColor="accent3" w:themeShade="bf"/>
                <w:sz w:val="20"/>
                <w:szCs w:val="20"/>
              </w:rPr>
              <w:t>217.542,32 – 435.084,65</w:t>
            </w:r>
          </w:p>
        </w:tc>
        <w:tc>
          <w:tcPr>
            <w:tcW w:w="1827"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x</w:t>
            </w:r>
          </w:p>
        </w:tc>
      </w:tr>
      <w:tr>
        <w:trPr/>
        <w:tc>
          <w:tcPr>
            <w:tcW w:w="1528"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76" w:before="80" w:after="0"/>
              <w:jc w:val="center"/>
              <w:rPr>
                <w:sz w:val="20"/>
                <w:szCs w:val="20"/>
              </w:rPr>
            </w:pPr>
            <w:r>
              <w:rPr>
                <w:b/>
                <w:bCs/>
                <w:color w:val="76923C" w:themeColor="accent3" w:themeShade="bf"/>
                <w:sz w:val="20"/>
                <w:szCs w:val="20"/>
              </w:rPr>
              <w:t>2.</w:t>
            </w:r>
          </w:p>
        </w:tc>
        <w:tc>
          <w:tcPr>
            <w:tcW w:w="2010" w:type="dxa"/>
            <w:tcBorders/>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Male</w:t>
            </w:r>
          </w:p>
        </w:tc>
        <w:tc>
          <w:tcPr>
            <w:tcW w:w="3073"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themeColor="accent3" w:themeShade="bf"/>
                <w:sz w:val="20"/>
                <w:szCs w:val="20"/>
              </w:rPr>
              <w:t>435.084,65 – 2.175.423,24</w:t>
            </w:r>
          </w:p>
        </w:tc>
        <w:tc>
          <w:tcPr>
            <w:tcW w:w="1827" w:type="dxa"/>
            <w:tcBorders/>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jc w:val="center"/>
              <w:rPr>
                <w:sz w:val="20"/>
                <w:szCs w:val="20"/>
              </w:rPr>
            </w:pPr>
            <w:r>
              <w:rPr>
                <w:b/>
                <w:bCs/>
                <w:color w:val="76923C" w:themeColor="accent3" w:themeShade="bf"/>
                <w:sz w:val="20"/>
                <w:szCs w:val="20"/>
              </w:rPr>
              <w:t>3.</w:t>
            </w:r>
          </w:p>
        </w:tc>
        <w:tc>
          <w:tcPr>
            <w:tcW w:w="2010"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Umjerene</w:t>
            </w:r>
          </w:p>
        </w:tc>
        <w:tc>
          <w:tcPr>
            <w:tcW w:w="3073"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themeColor="accent3" w:themeShade="bf"/>
                <w:sz w:val="20"/>
                <w:szCs w:val="20"/>
              </w:rPr>
              <w:t>2.175.423,24 – 6.526.269,72</w:t>
            </w:r>
          </w:p>
        </w:tc>
        <w:tc>
          <w:tcPr>
            <w:tcW w:w="1827"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c>
          <w:tcPr>
            <w:tcW w:w="1528"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76" w:before="80" w:after="0"/>
              <w:jc w:val="center"/>
              <w:rPr>
                <w:sz w:val="20"/>
                <w:szCs w:val="20"/>
              </w:rPr>
            </w:pPr>
            <w:r>
              <w:rPr>
                <w:b/>
                <w:bCs/>
                <w:color w:val="76923C" w:themeColor="accent3" w:themeShade="bf"/>
                <w:sz w:val="20"/>
                <w:szCs w:val="20"/>
              </w:rPr>
              <w:t>4.</w:t>
            </w:r>
          </w:p>
        </w:tc>
        <w:tc>
          <w:tcPr>
            <w:tcW w:w="2010" w:type="dxa"/>
            <w:tcBorders/>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Značajne</w:t>
            </w:r>
          </w:p>
        </w:tc>
        <w:tc>
          <w:tcPr>
            <w:tcW w:w="3073" w:type="dxa"/>
            <w:tcBorders/>
            <w:shd w:color="auto" w:fill="auto" w:val="clear"/>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Pr>
                <w:color w:val="000000" w:themeColor="accent3" w:themeShade="bf"/>
                <w:sz w:val="20"/>
                <w:szCs w:val="20"/>
              </w:rPr>
              <w:t>6.526.269,72 – 10.877.116,20</w:t>
            </w:r>
          </w:p>
        </w:tc>
        <w:tc>
          <w:tcPr>
            <w:tcW w:w="1827" w:type="dxa"/>
            <w:tcBorders/>
          </w:tcPr>
          <w:p>
            <w:pPr>
              <w:pStyle w:val="Normal"/>
              <w:spacing w:lineRule="auto" w:line="276"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cnfStyle w:val="000000100000" w:firstRow="0" w:lastRow="0" w:firstColumn="0" w:lastColumn="0" w:oddVBand="0" w:evenVBand="0" w:oddHBand="1" w:evenHBand="0" w:firstRowFirstColumn="0" w:firstRowLastColumn="0" w:lastRowFirstColumn="0" w:lastRowLastColumn="0"/>
        </w:trPr>
        <w:tc>
          <w:tcPr>
            <w:tcW w:w="1528"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jc w:val="center"/>
              <w:rPr>
                <w:sz w:val="20"/>
                <w:szCs w:val="20"/>
              </w:rPr>
            </w:pPr>
            <w:r>
              <w:rPr>
                <w:b/>
                <w:bCs/>
                <w:color w:val="76923C" w:themeColor="accent3" w:themeShade="bf"/>
                <w:sz w:val="20"/>
                <w:szCs w:val="20"/>
              </w:rPr>
              <w:t>5.</w:t>
            </w:r>
          </w:p>
        </w:tc>
        <w:tc>
          <w:tcPr>
            <w:tcW w:w="2010"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Katastrofalne</w:t>
            </w:r>
          </w:p>
        </w:tc>
        <w:tc>
          <w:tcPr>
            <w:tcW w:w="3073" w:type="dxa"/>
            <w:tcBorders/>
            <w:shd w:color="auto" w:fill="auto"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color w:val="000000" w:themeColor="accent3" w:themeShade="bf"/>
                <w:sz w:val="20"/>
                <w:szCs w:val="20"/>
              </w:rPr>
              <w:t>&gt; 10.877.116,20</w:t>
            </w:r>
          </w:p>
        </w:tc>
        <w:tc>
          <w:tcPr>
            <w:tcW w:w="1827" w:type="dxa"/>
            <w:tcBorders/>
            <w:shd w:color="auto" w:fill="EAF1DD" w:themeFill="accent3" w:themeFillTint="33" w:val="clear"/>
          </w:tcPr>
          <w:p>
            <w:pPr>
              <w:pStyle w:val="Normal"/>
              <w:spacing w:lineRule="auto" w:line="276"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bl>
    <w:p>
      <w:pPr>
        <w:pStyle w:val="Normal"/>
        <w:rPr>
          <w:i/>
          <w:i/>
          <w:iCs/>
          <w:color w:val="54883D"/>
        </w:rPr>
      </w:pPr>
      <w:r>
        <w:rPr>
          <w:i/>
          <w:iCs/>
          <w:color w:val="54883D"/>
        </w:rPr>
      </w:r>
    </w:p>
    <w:p>
      <w:pPr>
        <w:pStyle w:val="Normal"/>
        <w:spacing w:before="0" w:after="240"/>
        <w:jc w:val="center"/>
        <w:rPr>
          <w:b/>
          <w:b/>
          <w:bCs/>
          <w:i/>
          <w:i/>
          <w:color w:val="54883D"/>
          <w:sz w:val="20"/>
          <w:szCs w:val="18"/>
        </w:rPr>
      </w:pPr>
      <w:r>
        <w:rPr>
          <w:b/>
          <w:bCs/>
          <w:i/>
          <w:color w:val="54883D"/>
          <w:sz w:val="20"/>
          <w:szCs w:val="18"/>
        </w:rPr>
      </w:r>
    </w:p>
    <w:p>
      <w:pPr>
        <w:pStyle w:val="Normal"/>
        <w:spacing w:before="0" w:after="240"/>
        <w:jc w:val="center"/>
        <w:rPr>
          <w:b/>
          <w:b/>
          <w:bCs/>
          <w:i/>
          <w:i/>
          <w:color w:val="54883D"/>
          <w:sz w:val="20"/>
          <w:szCs w:val="18"/>
        </w:rPr>
      </w:pPr>
      <w:r>
        <w:rPr>
          <w:b/>
          <w:bCs/>
          <w:i/>
          <w:color w:val="54883D"/>
          <w:sz w:val="20"/>
          <w:szCs w:val="18"/>
        </w:rPr>
      </w:r>
    </w:p>
    <w:p>
      <w:pPr>
        <w:pStyle w:val="Normal"/>
        <w:spacing w:before="0" w:after="240"/>
        <w:jc w:val="center"/>
        <w:rPr>
          <w:b/>
          <w:b/>
          <w:bCs/>
          <w:i/>
          <w:i/>
          <w:color w:val="54883D"/>
          <w:sz w:val="20"/>
          <w:szCs w:val="18"/>
        </w:rPr>
      </w:pPr>
      <w:r>
        <w:rPr>
          <w:b/>
          <w:bCs/>
          <w:i/>
          <w:color w:val="54883D"/>
          <w:sz w:val="20"/>
          <w:szCs w:val="18"/>
        </w:rPr>
      </w:r>
    </w:p>
    <w:p>
      <w:pPr>
        <w:pStyle w:val="Normal"/>
        <w:spacing w:before="0" w:after="240"/>
        <w:jc w:val="center"/>
        <w:rPr>
          <w:b/>
          <w:b/>
          <w:bCs/>
          <w:i/>
          <w:i/>
          <w:color w:val="54883D"/>
          <w:sz w:val="20"/>
          <w:szCs w:val="18"/>
        </w:rPr>
      </w:pPr>
      <w:r>
        <w:rPr>
          <w:b/>
          <w:bCs/>
          <w:i/>
          <w:color w:val="54883D"/>
          <w:sz w:val="20"/>
          <w:szCs w:val="18"/>
        </w:rPr>
        <w:t>Tablica 102. Vrijednost kriterija za društvenu stabilnost i politiku - zbirno – tuča</w:t>
      </w:r>
    </w:p>
    <w:tbl>
      <w:tblPr>
        <w:tblStyle w:val="GridTable6Colorful-Accent3"/>
        <w:tblW w:w="8217" w:type="dxa"/>
        <w:jc w:val="center"/>
        <w:tblInd w:w="0" w:type="dxa"/>
        <w:tblCellMar>
          <w:top w:w="0" w:type="dxa"/>
          <w:left w:w="108" w:type="dxa"/>
          <w:bottom w:w="0" w:type="dxa"/>
          <w:right w:w="108" w:type="dxa"/>
        </w:tblCellMar>
        <w:tblLook w:firstRow="1" w:noVBand="1" w:lastRow="0" w:firstColumn="1" w:lastColumn="0" w:noHBand="0" w:val="04a0"/>
      </w:tblPr>
      <w:tblGrid>
        <w:gridCol w:w="1557"/>
        <w:gridCol w:w="2107"/>
        <w:gridCol w:w="2835"/>
        <w:gridCol w:w="1717"/>
      </w:tblGrid>
      <w:tr>
        <w:trPr>
          <w:cnfStyle w:val="100000000000" w:firstRow="1" w:lastRow="0" w:firstColumn="0" w:lastColumn="0" w:oddVBand="0" w:evenVBand="0" w:oddHBand="0" w:evenHBand="0" w:firstRowFirstColumn="0" w:firstRowLastColumn="0" w:lastRowFirstColumn="0" w:lastRowLastColumn="0"/>
        </w:trPr>
        <w:tc>
          <w:tcPr>
            <w:tcW w:w="155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vAlign w:val="center"/>
          </w:tcPr>
          <w:p>
            <w:pPr>
              <w:pStyle w:val="Normal"/>
              <w:spacing w:lineRule="auto" w:line="276" w:before="80" w:after="0"/>
              <w:ind w:left="29" w:hanging="0"/>
              <w:jc w:val="center"/>
              <w:rPr>
                <w:b w:val="false"/>
                <w:b w:val="false"/>
                <w:sz w:val="20"/>
              </w:rPr>
            </w:pPr>
            <w:r>
              <w:rPr>
                <w:b/>
                <w:bCs/>
                <w:color w:val="76923C" w:themeColor="accent3" w:themeShade="bf"/>
                <w:sz w:val="20"/>
              </w:rPr>
              <w:t>KATEGORIJA</w:t>
            </w:r>
          </w:p>
        </w:tc>
        <w:tc>
          <w:tcPr>
            <w:tcW w:w="2107" w:type="dxa"/>
            <w:tcBorders>
              <w:bottom w:val="single" w:sz="12" w:space="0" w:color="C2D69B"/>
            </w:tcBorders>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KRITIČNA INFRASTRUKTURA</w:t>
            </w:r>
          </w:p>
        </w:tc>
        <w:tc>
          <w:tcPr>
            <w:tcW w:w="2835" w:type="dxa"/>
            <w:tcBorders>
              <w:bottom w:val="single" w:sz="12" w:space="0" w:color="C2D69B"/>
            </w:tcBorders>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USTANOVE/GRAĐEVINE JAVNOG DRUŠTVENOG ZNAČAJA</w:t>
            </w:r>
          </w:p>
        </w:tc>
        <w:tc>
          <w:tcPr>
            <w:tcW w:w="1717" w:type="dxa"/>
            <w:tcBorders>
              <w:bottom w:val="single" w:sz="12" w:space="0" w:color="C2D69B"/>
            </w:tcBorders>
            <w:vAlign w:val="center"/>
          </w:tcPr>
          <w:p>
            <w:pPr>
              <w:pStyle w:val="Normal"/>
              <w:spacing w:lineRule="auto" w:line="276" w:before="80" w:after="0"/>
              <w:ind w:left="29" w:hanging="0"/>
              <w:jc w:val="center"/>
              <w:cnfStyle w:val="100000000000" w:firstRow="1" w:lastRow="0" w:firstColumn="0" w:lastColumn="0" w:oddVBand="0" w:evenVBand="0" w:oddHBand="0" w:evenHBand="0" w:firstRowFirstColumn="0" w:firstRowLastColumn="0" w:lastRowFirstColumn="0" w:lastRowLastColumn="0"/>
              <w:rPr>
                <w:b w:val="false"/>
                <w:b w:val="false"/>
                <w:sz w:val="20"/>
              </w:rPr>
            </w:pPr>
            <w:r>
              <w:rPr>
                <w:b/>
                <w:bCs/>
                <w:color w:val="76923C" w:themeColor="accent3" w:themeShade="bf"/>
                <w:sz w:val="20"/>
              </w:rPr>
              <w:t>ODABRANO</w:t>
            </w:r>
          </w:p>
        </w:tc>
      </w:tr>
      <w:tr>
        <w:trPr>
          <w:cnfStyle w:val="000000100000" w:firstRow="0" w:lastRow="0" w:firstColumn="0" w:lastColumn="0" w:oddVBand="0" w:evenVBand="0" w:oddHBand="1" w:evenHBand="0" w:firstRowFirstColumn="0" w:firstRowLastColumn="0" w:lastRowFirstColumn="0" w:lastRowLastColumn="0"/>
        </w:trPr>
        <w:tc>
          <w:tcPr>
            <w:tcW w:w="1557"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ind w:left="29" w:hanging="29"/>
              <w:jc w:val="center"/>
              <w:rPr>
                <w:sz w:val="20"/>
              </w:rPr>
            </w:pPr>
            <w:r>
              <w:rPr>
                <w:b/>
                <w:bCs/>
                <w:color w:val="76923C" w:themeColor="accent3" w:themeShade="bf"/>
                <w:sz w:val="20"/>
              </w:rPr>
              <w:t>1.</w:t>
            </w:r>
          </w:p>
        </w:tc>
        <w:tc>
          <w:tcPr>
            <w:tcW w:w="210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2835"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171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557"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76" w:before="80" w:after="0"/>
              <w:ind w:left="29" w:hanging="29"/>
              <w:jc w:val="center"/>
              <w:rPr>
                <w:sz w:val="20"/>
              </w:rPr>
            </w:pPr>
            <w:r>
              <w:rPr>
                <w:b/>
                <w:bCs/>
                <w:color w:val="76923C" w:themeColor="accent3" w:themeShade="bf"/>
                <w:sz w:val="20"/>
              </w:rPr>
              <w:t>2.</w:t>
            </w:r>
          </w:p>
        </w:tc>
        <w:tc>
          <w:tcPr>
            <w:tcW w:w="2107"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2835"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717"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t>x</w:t>
            </w:r>
          </w:p>
        </w:tc>
      </w:tr>
      <w:tr>
        <w:trPr>
          <w:cnfStyle w:val="000000100000" w:firstRow="0" w:lastRow="0" w:firstColumn="0" w:lastColumn="0" w:oddVBand="0" w:evenVBand="0" w:oddHBand="1" w:evenHBand="0" w:firstRowFirstColumn="0" w:firstRowLastColumn="0" w:lastRowFirstColumn="0" w:lastRowLastColumn="0"/>
        </w:trPr>
        <w:tc>
          <w:tcPr>
            <w:tcW w:w="1557"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ind w:left="29" w:hanging="29"/>
              <w:jc w:val="center"/>
              <w:rPr>
                <w:sz w:val="20"/>
              </w:rPr>
            </w:pPr>
            <w:r>
              <w:rPr>
                <w:b/>
                <w:bCs/>
                <w:color w:val="76923C" w:themeColor="accent3" w:themeShade="bf"/>
                <w:sz w:val="20"/>
              </w:rPr>
              <w:t>3.</w:t>
            </w:r>
          </w:p>
        </w:tc>
        <w:tc>
          <w:tcPr>
            <w:tcW w:w="210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t>x</w:t>
            </w:r>
          </w:p>
        </w:tc>
        <w:tc>
          <w:tcPr>
            <w:tcW w:w="2835"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c>
          <w:tcPr>
            <w:tcW w:w="171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Pr>
                <w:color w:val="76923C" w:themeColor="accent3" w:themeShade="bf"/>
                <w:sz w:val="20"/>
              </w:rPr>
            </w:r>
          </w:p>
        </w:tc>
      </w:tr>
      <w:tr>
        <w:trPr/>
        <w:tc>
          <w:tcPr>
            <w:tcW w:w="1557"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76" w:before="80" w:after="0"/>
              <w:ind w:left="29" w:hanging="29"/>
              <w:jc w:val="center"/>
              <w:rPr>
                <w:sz w:val="20"/>
              </w:rPr>
            </w:pPr>
            <w:r>
              <w:rPr>
                <w:b/>
                <w:bCs/>
                <w:color w:val="76923C" w:themeColor="accent3" w:themeShade="bf"/>
                <w:sz w:val="20"/>
              </w:rPr>
              <w:t>4.</w:t>
            </w:r>
          </w:p>
        </w:tc>
        <w:tc>
          <w:tcPr>
            <w:tcW w:w="2107"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2835"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c>
          <w:tcPr>
            <w:tcW w:w="1717" w:type="dxa"/>
            <w:tcBorders/>
          </w:tcPr>
          <w:p>
            <w:pPr>
              <w:pStyle w:val="Normal"/>
              <w:spacing w:lineRule="auto" w:line="276" w:before="80"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color w:val="76923C" w:themeColor="accent3" w:themeShade="bf"/>
                <w:sz w:val="20"/>
              </w:rPr>
            </w:r>
          </w:p>
        </w:tc>
      </w:tr>
      <w:tr>
        <w:trPr>
          <w:cnfStyle w:val="000000100000" w:firstRow="0" w:lastRow="0" w:firstColumn="0" w:lastColumn="0" w:oddVBand="0" w:evenVBand="0" w:oddHBand="1" w:evenHBand="0" w:firstRowFirstColumn="0" w:firstRowLastColumn="0" w:lastRowFirstColumn="0" w:lastRowLastColumn="0"/>
        </w:trPr>
        <w:tc>
          <w:tcPr>
            <w:tcW w:w="1557"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76" w:before="80" w:after="0"/>
              <w:ind w:left="29" w:hanging="29"/>
              <w:jc w:val="center"/>
              <w:rPr>
                <w:sz w:val="20"/>
              </w:rPr>
            </w:pPr>
            <w:r>
              <w:rPr>
                <w:b/>
                <w:bCs/>
                <w:color w:val="76923C" w:themeColor="accent3" w:themeShade="bf"/>
                <w:sz w:val="20"/>
              </w:rPr>
              <w:t>5.</w:t>
            </w:r>
          </w:p>
        </w:tc>
        <w:tc>
          <w:tcPr>
            <w:tcW w:w="210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c>
          <w:tcPr>
            <w:tcW w:w="2835"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c>
          <w:tcPr>
            <w:tcW w:w="1717" w:type="dxa"/>
            <w:tcBorders/>
            <w:shd w:color="auto" w:fill="EAF1DD" w:themeFill="accent3" w:themeFillTint="33" w:val="clear"/>
          </w:tcPr>
          <w:p>
            <w:pPr>
              <w:pStyle w:val="Normal"/>
              <w:spacing w:lineRule="auto" w:line="276" w:before="80" w:after="0"/>
              <w:ind w:left="29" w:hanging="29"/>
              <w:jc w:val="center"/>
              <w:cnfStyle w:val="000000100000" w:firstRow="0" w:lastRow="0" w:firstColumn="0" w:lastColumn="0" w:oddVBand="0" w:evenVBand="0" w:oddHBand="1" w:evenHBand="0" w:firstRowFirstColumn="0" w:firstRowLastColumn="0" w:lastRowFirstColumn="0" w:lastRowLastColumn="0"/>
              <w:rPr>
                <w:b/>
                <w:b/>
                <w:sz w:val="20"/>
              </w:rPr>
            </w:pPr>
            <w:r>
              <w:rPr>
                <w:b/>
                <w:color w:val="76923C" w:themeColor="accent3" w:themeShade="bf"/>
                <w:sz w:val="20"/>
              </w:rPr>
            </w:r>
          </w:p>
        </w:tc>
      </w:tr>
    </w:tbl>
    <w:p>
      <w:pPr>
        <w:pStyle w:val="Normal"/>
        <w:rPr>
          <w:lang w:bidi="en-US"/>
        </w:rPr>
      </w:pPr>
      <w:r>
        <w:rPr>
          <w:lang w:bidi="en-US"/>
        </w:rPr>
      </w:r>
    </w:p>
    <w:p>
      <w:pPr>
        <w:pStyle w:val="Normal"/>
        <w:rPr>
          <w:i/>
          <w:i/>
          <w:iCs/>
          <w:color w:val="54883D"/>
        </w:rPr>
      </w:pPr>
      <w:r>
        <w:rPr>
          <w:i/>
          <w:iCs/>
          <w:color w:val="54883D"/>
        </w:rPr>
        <w:t>Vjerojatnost događaja</w:t>
      </w:r>
    </w:p>
    <w:p>
      <w:pPr>
        <w:pStyle w:val="Normal"/>
        <w:spacing w:before="0" w:after="240"/>
        <w:jc w:val="center"/>
        <w:rPr>
          <w:b/>
          <w:b/>
          <w:bCs/>
          <w:i/>
          <w:i/>
          <w:color w:val="54883D"/>
          <w:sz w:val="20"/>
          <w:szCs w:val="18"/>
        </w:rPr>
      </w:pPr>
      <w:r>
        <w:rPr>
          <w:b/>
          <w:bCs/>
          <w:i/>
          <w:color w:val="54883D"/>
          <w:sz w:val="20"/>
          <w:szCs w:val="18"/>
        </w:rPr>
        <w:t>Tablica 103. Vjerojatnost/frekvencija - tuča</w:t>
      </w:r>
    </w:p>
    <w:tbl>
      <w:tblPr>
        <w:tblStyle w:val="GridTable6Colorful-Accent3"/>
        <w:tblW w:w="9588" w:type="dxa"/>
        <w:jc w:val="left"/>
        <w:tblInd w:w="0" w:type="dxa"/>
        <w:tblCellMar>
          <w:top w:w="0" w:type="dxa"/>
          <w:left w:w="108" w:type="dxa"/>
          <w:bottom w:w="0" w:type="dxa"/>
          <w:right w:w="108" w:type="dxa"/>
        </w:tblCellMar>
        <w:tblLook w:firstRow="1" w:noVBand="1" w:lastRow="0" w:firstColumn="1" w:lastColumn="0" w:noHBand="0" w:val="04a0"/>
      </w:tblPr>
      <w:tblGrid>
        <w:gridCol w:w="1687"/>
        <w:gridCol w:w="1692"/>
        <w:gridCol w:w="1834"/>
        <w:gridCol w:w="2963"/>
        <w:gridCol w:w="1412"/>
      </w:tblGrid>
      <w:tr>
        <w:trPr>
          <w:trHeight w:val="410" w:hRule="atLeast"/>
          <w:cnfStyle w:val="100000000000" w:firstRow="1" w:lastRow="0" w:firstColumn="0" w:lastColumn="0" w:oddVBand="0" w:evenVBand="0" w:oddHBand="0" w:evenHBand="0" w:firstRowFirstColumn="0" w:firstRowLastColumn="0" w:lastRowFirstColumn="0" w:lastRowLastColumn="0"/>
        </w:trPr>
        <w:tc>
          <w:tcPr>
            <w:tcW w:w="1687" w:type="dxa"/>
            <w:vMerge w:val="restart"/>
            <w:cnfStyle w:val="001000000000" w:firstRow="0" w:lastRow="0" w:firstColumn="1" w:lastColumn="0" w:oddVBand="0" w:evenVBand="0" w:oddHBand="0" w:evenHBand="0" w:firstRowFirstColumn="0" w:firstRowLastColumn="0" w:lastRowFirstColumn="0" w:lastRowLastColumn="0"/>
            <w:tcBorders>
              <w:bottom w:val="single" w:sz="12" w:space="0" w:color="C2D69B"/>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KATEGORIJA</w:t>
            </w:r>
          </w:p>
        </w:tc>
        <w:tc>
          <w:tcPr>
            <w:tcW w:w="7901" w:type="dxa"/>
            <w:gridSpan w:val="4"/>
            <w:tcBorders>
              <w:bottom w:val="single" w:sz="12" w:space="0" w:color="C2D69B"/>
            </w:tcBorders>
          </w:tcPr>
          <w:p>
            <w:pPr>
              <w:pStyle w:val="Normal"/>
              <w:spacing w:lineRule="auto" w:line="240" w:before="80" w:after="0"/>
              <w:jc w:val="center"/>
              <w:cnfStyle w:val="100000000000" w:firstRow="1" w:lastRow="0" w:firstColumn="0" w:lastColumn="0" w:oddVBand="0" w:evenVBand="0" w:oddHBand="0" w:evenHBand="0" w:firstRowFirstColumn="0" w:firstRowLastColumn="0" w:lastRowFirstColumn="0" w:lastRowLastColumn="0"/>
              <w:rPr>
                <w:b w:val="false"/>
                <w:b w:val="false"/>
                <w:sz w:val="20"/>
                <w:szCs w:val="20"/>
              </w:rPr>
            </w:pPr>
            <w:r>
              <w:rPr>
                <w:b w:val="false"/>
                <w:bCs/>
                <w:color w:val="76923C" w:themeColor="accent3" w:themeShade="bf"/>
                <w:sz w:val="20"/>
                <w:szCs w:val="20"/>
              </w:rPr>
              <w:t>VJEROJATNOST/FREKVENCIJA</w:t>
            </w:r>
          </w:p>
        </w:tc>
      </w:tr>
      <w:tr>
        <w:trPr>
          <w:trHeight w:val="245" w:hRule="atLeast"/>
          <w:cnfStyle w:val="000000100000" w:firstRow="0" w:lastRow="0" w:firstColumn="0" w:lastColumn="0" w:oddVBand="0" w:evenVBand="0" w:oddHBand="1" w:evenHBand="0" w:firstRowFirstColumn="0" w:firstRowLastColumn="0" w:lastRowFirstColumn="0" w:lastRowLastColumn="0"/>
        </w:trPr>
        <w:tc>
          <w:tcPr>
            <w:tcW w:w="1687" w:type="dxa"/>
            <w:vMerge w:val="continue"/>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rPr>
                <w:b w:val="false"/>
                <w:b w:val="false"/>
                <w:sz w:val="20"/>
                <w:szCs w:val="20"/>
              </w:rPr>
            </w:pPr>
            <w:r>
              <w:rPr>
                <w:b w:val="false"/>
                <w:bCs/>
                <w:color w:val="76923C" w:themeColor="accent3" w:themeShade="bf"/>
                <w:sz w:val="20"/>
                <w:szCs w:val="20"/>
              </w:rPr>
            </w:r>
          </w:p>
        </w:tc>
        <w:tc>
          <w:tcPr>
            <w:tcW w:w="169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KVALITATIVNO</w:t>
            </w:r>
          </w:p>
        </w:tc>
        <w:tc>
          <w:tcPr>
            <w:tcW w:w="1834"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VJEROJATNOST</w:t>
            </w:r>
          </w:p>
        </w:tc>
        <w:tc>
          <w:tcPr>
            <w:tcW w:w="296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FREKVENCIJA</w:t>
            </w:r>
          </w:p>
        </w:tc>
        <w:tc>
          <w:tcPr>
            <w:tcW w:w="141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b/>
                <w:b/>
                <w:sz w:val="20"/>
                <w:szCs w:val="20"/>
              </w:rPr>
            </w:pPr>
            <w:r>
              <w:rPr>
                <w:b/>
                <w:color w:val="76923C" w:themeColor="accent3" w:themeShade="bf"/>
                <w:sz w:val="20"/>
                <w:szCs w:val="20"/>
              </w:rPr>
              <w:t>ODABRANO</w:t>
            </w:r>
          </w:p>
        </w:tc>
      </w:tr>
      <w:tr>
        <w:trPr>
          <w:trHeight w:val="410" w:hRule="atLeast"/>
        </w:trPr>
        <w:tc>
          <w:tcPr>
            <w:tcW w:w="1687"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1</w:t>
            </w:r>
          </w:p>
        </w:tc>
        <w:tc>
          <w:tcPr>
            <w:tcW w:w="169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mala</w:t>
            </w:r>
          </w:p>
        </w:tc>
        <w:tc>
          <w:tcPr>
            <w:tcW w:w="1834"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&lt;1 %</w:t>
            </w:r>
          </w:p>
        </w:tc>
        <w:tc>
          <w:tcPr>
            <w:tcW w:w="296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100 godina i rjeđe</w:t>
            </w:r>
          </w:p>
        </w:tc>
        <w:tc>
          <w:tcPr>
            <w:tcW w:w="141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r>
        <w:trPr>
          <w:trHeight w:val="410" w:hRule="atLeast"/>
          <w:cnfStyle w:val="000000100000" w:firstRow="0" w:lastRow="0" w:firstColumn="0" w:lastColumn="0" w:oddVBand="0" w:evenVBand="0" w:oddHBand="1" w:evenHBand="0" w:firstRowFirstColumn="0" w:firstRowLastColumn="0" w:lastRowFirstColumn="0" w:lastRowLastColumn="0"/>
        </w:trPr>
        <w:tc>
          <w:tcPr>
            <w:tcW w:w="1687"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val="false"/>
                <w:b w:val="false"/>
                <w:sz w:val="20"/>
                <w:szCs w:val="20"/>
              </w:rPr>
            </w:pPr>
            <w:r>
              <w:rPr>
                <w:b w:val="false"/>
                <w:bCs/>
                <w:color w:val="76923C" w:themeColor="accent3" w:themeShade="bf"/>
                <w:sz w:val="20"/>
                <w:szCs w:val="20"/>
              </w:rPr>
              <w:t>2</w:t>
            </w:r>
          </w:p>
        </w:tc>
        <w:tc>
          <w:tcPr>
            <w:tcW w:w="169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Mala</w:t>
            </w:r>
          </w:p>
        </w:tc>
        <w:tc>
          <w:tcPr>
            <w:tcW w:w="1834"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 5 %</w:t>
            </w:r>
          </w:p>
        </w:tc>
        <w:tc>
          <w:tcPr>
            <w:tcW w:w="296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u 20 do 100 godina</w:t>
            </w:r>
          </w:p>
        </w:tc>
        <w:tc>
          <w:tcPr>
            <w:tcW w:w="141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410" w:hRule="atLeast"/>
        </w:trPr>
        <w:tc>
          <w:tcPr>
            <w:tcW w:w="1687"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3</w:t>
            </w:r>
          </w:p>
        </w:tc>
        <w:tc>
          <w:tcPr>
            <w:tcW w:w="169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Umjerena</w:t>
            </w:r>
          </w:p>
        </w:tc>
        <w:tc>
          <w:tcPr>
            <w:tcW w:w="1834"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5 – 50 %</w:t>
            </w:r>
          </w:p>
        </w:tc>
        <w:tc>
          <w:tcPr>
            <w:tcW w:w="296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u 2 do 20 godina</w:t>
            </w:r>
          </w:p>
        </w:tc>
        <w:tc>
          <w:tcPr>
            <w:tcW w:w="141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x</w:t>
            </w:r>
          </w:p>
        </w:tc>
      </w:tr>
      <w:tr>
        <w:trPr>
          <w:trHeight w:val="410" w:hRule="atLeast"/>
          <w:cnfStyle w:val="000000100000" w:firstRow="0" w:lastRow="0" w:firstColumn="0" w:lastColumn="0" w:oddVBand="0" w:evenVBand="0" w:oddHBand="1" w:evenHBand="0" w:firstRowFirstColumn="0" w:firstRowLastColumn="0" w:lastRowFirstColumn="0" w:lastRowLastColumn="0"/>
        </w:trPr>
        <w:tc>
          <w:tcPr>
            <w:tcW w:w="1687" w:type="dxa"/>
            <w:cnfStyle w:val="001000000000" w:firstRow="0" w:lastRow="0" w:firstColumn="1" w:lastColumn="0" w:oddVBand="0" w:evenVBand="0" w:oddHBand="0" w:evenHBand="0" w:firstRowFirstColumn="0" w:firstRowLastColumn="0" w:lastRowFirstColumn="0" w:lastRowLastColumn="0"/>
            <w:tcBorders/>
            <w:shd w:color="auto" w:fill="EAF1DD" w:themeFill="accent3" w:themeFillTint="33" w:val="clear"/>
          </w:tcPr>
          <w:p>
            <w:pPr>
              <w:pStyle w:val="Normal"/>
              <w:spacing w:lineRule="auto" w:line="240" w:before="80" w:after="0"/>
              <w:jc w:val="center"/>
              <w:rPr>
                <w:b w:val="false"/>
                <w:b w:val="false"/>
                <w:sz w:val="20"/>
                <w:szCs w:val="20"/>
              </w:rPr>
            </w:pPr>
            <w:r>
              <w:rPr>
                <w:b w:val="false"/>
                <w:bCs/>
                <w:color w:val="76923C" w:themeColor="accent3" w:themeShade="bf"/>
                <w:sz w:val="20"/>
                <w:szCs w:val="20"/>
              </w:rPr>
              <w:t>4</w:t>
            </w:r>
          </w:p>
        </w:tc>
        <w:tc>
          <w:tcPr>
            <w:tcW w:w="169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Velika</w:t>
            </w:r>
          </w:p>
        </w:tc>
        <w:tc>
          <w:tcPr>
            <w:tcW w:w="1834"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51 – 98 %</w:t>
            </w:r>
          </w:p>
        </w:tc>
        <w:tc>
          <w:tcPr>
            <w:tcW w:w="2963"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t>1 događaj 1 do 2 godine</w:t>
            </w:r>
          </w:p>
        </w:tc>
        <w:tc>
          <w:tcPr>
            <w:tcW w:w="1412" w:type="dxa"/>
            <w:tcBorders/>
            <w:shd w:color="auto" w:fill="EAF1DD" w:themeFill="accent3" w:themeFillTint="33" w:val="clear"/>
          </w:tcPr>
          <w:p>
            <w:pPr>
              <w:pStyle w:val="Normal"/>
              <w:spacing w:lineRule="auto" w:line="240" w:before="80" w:after="0"/>
              <w:jc w:val="center"/>
              <w:cnfStyle w:val="000000100000" w:firstRow="0" w:lastRow="0" w:firstColumn="0" w:lastColumn="0" w:oddVBand="0" w:evenVBand="0" w:oddHBand="1" w:evenHBand="0" w:firstRowFirstColumn="0" w:firstRowLastColumn="0" w:lastRowFirstColumn="0" w:lastRowLastColumn="0"/>
              <w:rPr>
                <w:sz w:val="20"/>
                <w:szCs w:val="20"/>
              </w:rPr>
            </w:pPr>
            <w:r>
              <w:rPr>
                <w:color w:val="76923C" w:themeColor="accent3" w:themeShade="bf"/>
                <w:sz w:val="20"/>
                <w:szCs w:val="20"/>
              </w:rPr>
            </w:r>
          </w:p>
        </w:tc>
      </w:tr>
      <w:tr>
        <w:trPr>
          <w:trHeight w:val="436" w:hRule="atLeast"/>
        </w:trPr>
        <w:tc>
          <w:tcPr>
            <w:tcW w:w="1687" w:type="dxa"/>
            <w:cnfStyle w:val="001000000000" w:firstRow="0" w:lastRow="0" w:firstColumn="1" w:lastColumn="0" w:oddVBand="0" w:evenVBand="0" w:oddHBand="0" w:evenHBand="0" w:firstRowFirstColumn="0" w:firstRowLastColumn="0" w:lastRowFirstColumn="0" w:lastRowLastColumn="0"/>
            <w:tcBorders/>
          </w:tcPr>
          <w:p>
            <w:pPr>
              <w:pStyle w:val="Normal"/>
              <w:spacing w:lineRule="auto" w:line="240" w:before="80" w:after="0"/>
              <w:jc w:val="center"/>
              <w:rPr>
                <w:b w:val="false"/>
                <w:b w:val="false"/>
                <w:sz w:val="20"/>
                <w:szCs w:val="20"/>
              </w:rPr>
            </w:pPr>
            <w:r>
              <w:rPr>
                <w:b w:val="false"/>
                <w:bCs/>
                <w:color w:val="76923C" w:themeColor="accent3" w:themeShade="bf"/>
                <w:sz w:val="20"/>
                <w:szCs w:val="20"/>
              </w:rPr>
              <w:t>5</w:t>
            </w:r>
          </w:p>
        </w:tc>
        <w:tc>
          <w:tcPr>
            <w:tcW w:w="169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Iznimno velika</w:t>
            </w:r>
          </w:p>
        </w:tc>
        <w:tc>
          <w:tcPr>
            <w:tcW w:w="1834"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&gt; 98 %</w:t>
            </w:r>
          </w:p>
        </w:tc>
        <w:tc>
          <w:tcPr>
            <w:tcW w:w="2963"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t>1 događaj godišnje ili češće</w:t>
            </w:r>
          </w:p>
        </w:tc>
        <w:tc>
          <w:tcPr>
            <w:tcW w:w="1412" w:type="dxa"/>
            <w:tcBorders/>
          </w:tcPr>
          <w:p>
            <w:pPr>
              <w:pStyle w:val="Normal"/>
              <w:spacing w:lineRule="auto" w:line="240" w:before="80" w:after="0"/>
              <w:jc w:val="center"/>
              <w:cnfStyle w:val="000000000000" w:firstRow="0" w:lastRow="0" w:firstColumn="0" w:lastColumn="0" w:oddVBand="0" w:evenVBand="0" w:oddHBand="0" w:evenHBand="0" w:firstRowFirstColumn="0" w:firstRowLastColumn="0" w:lastRowFirstColumn="0" w:lastRowLastColumn="0"/>
              <w:rPr>
                <w:sz w:val="20"/>
                <w:szCs w:val="20"/>
              </w:rPr>
            </w:pPr>
            <w:r>
              <w:rPr>
                <w:color w:val="76923C" w:themeColor="accent3" w:themeShade="bf"/>
                <w:sz w:val="20"/>
                <w:szCs w:val="20"/>
              </w:rPr>
            </w:r>
          </w:p>
        </w:tc>
      </w:tr>
    </w:tbl>
    <w:p>
      <w:pPr>
        <w:pStyle w:val="Normal"/>
        <w:rPr>
          <w:lang w:bidi="en-US"/>
        </w:rPr>
      </w:pPr>
      <w:r>
        <w:rPr>
          <w:lang w:bidi="en-US"/>
        </w:rPr>
      </w:r>
    </w:p>
    <w:p>
      <w:pPr>
        <w:pStyle w:val="Stilnaslova3"/>
        <w:numPr>
          <w:ilvl w:val="2"/>
          <w:numId w:val="2"/>
        </w:numPr>
        <w:ind w:left="709" w:hanging="721"/>
        <w:rPr/>
      </w:pPr>
      <w:bookmarkStart w:id="355" w:name="_Toc99955755"/>
      <w:bookmarkStart w:id="356" w:name="_Toc116990203"/>
      <w:r>
        <w:rPr/>
        <w:t>Podaci, izvori i metode proračuna</w:t>
      </w:r>
      <w:bookmarkEnd w:id="355"/>
      <w:bookmarkEnd w:id="356"/>
    </w:p>
    <w:p>
      <w:pPr>
        <w:pStyle w:val="Normal"/>
        <w:spacing w:before="120" w:after="120"/>
        <w:rPr/>
      </w:pPr>
      <w:r>
        <w:rPr/>
        <w:t>Prilikom izrade Procjene rizika korišteni su podaci iz:</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Procjene ugroženosti stanovništva, materijalnih i kulturnih dobara te okoliša za područje Grada Buje – Buie (2015.);</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Procjena rizika od katastrofa za Republiku Hrvatsku (2015.);</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Državni zavod za statistiku, Popis stanovništva iz 2021. godine;</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Državni hidrometeorološki zavod</w:t>
      </w:r>
    </w:p>
    <w:p>
      <w:pPr>
        <w:pStyle w:val="Normal"/>
        <w:numPr>
          <w:ilvl w:val="0"/>
          <w:numId w:val="6"/>
        </w:numPr>
        <w:tabs>
          <w:tab w:val="clear" w:pos="708"/>
          <w:tab w:val="left" w:pos="2445" w:leader="none"/>
        </w:tabs>
        <w:spacing w:before="120" w:after="120"/>
        <w:contextualSpacing/>
        <w:rPr>
          <w:color w:val="auto"/>
          <w:szCs w:val="20"/>
        </w:rPr>
      </w:pPr>
      <w:r>
        <w:rPr>
          <w:color w:val="auto"/>
          <w:szCs w:val="20"/>
        </w:rPr>
        <w:t>Grad Buje – Buie.</w:t>
      </w:r>
    </w:p>
    <w:p>
      <w:pPr>
        <w:pStyle w:val="Normal"/>
        <w:rPr>
          <w:lang w:bidi="en-US"/>
        </w:rPr>
      </w:pPr>
      <w:r>
        <w:rPr>
          <w:lang w:bidi="en-US"/>
        </w:rPr>
      </w:r>
    </w:p>
    <w:p>
      <w:pPr>
        <w:pStyle w:val="Normal"/>
        <w:rPr>
          <w:lang w:bidi="en-US"/>
        </w:rPr>
      </w:pPr>
      <w:r>
        <w:rPr>
          <w:lang w:bidi="en-US"/>
        </w:rPr>
      </w:r>
    </w:p>
    <w:p>
      <w:pPr>
        <w:pStyle w:val="Normal"/>
        <w:rPr>
          <w:lang w:bidi="en-US"/>
        </w:rPr>
      </w:pPr>
      <w:r>
        <w:rPr>
          <w:lang w:bidi="en-US"/>
        </w:rPr>
      </w:r>
    </w:p>
    <w:p>
      <w:pPr>
        <w:pStyle w:val="Normal"/>
        <w:rPr>
          <w:lang w:bidi="en-US"/>
        </w:rPr>
      </w:pPr>
      <w:r>
        <w:rPr>
          <w:lang w:bidi="en-US"/>
        </w:rPr>
      </w:r>
    </w:p>
    <w:p>
      <w:pPr>
        <w:pStyle w:val="Normal"/>
        <w:rPr>
          <w:lang w:bidi="en-US"/>
        </w:rPr>
      </w:pPr>
      <w:r>
        <w:rPr>
          <w:lang w:bidi="en-US"/>
        </w:rPr>
      </w:r>
    </w:p>
    <w:p>
      <w:pPr>
        <w:pStyle w:val="Normal"/>
        <w:rPr>
          <w:lang w:bidi="en-US"/>
        </w:rPr>
      </w:pPr>
      <w:r>
        <w:rPr>
          <w:lang w:bidi="en-US"/>
        </w:rPr>
      </w:r>
    </w:p>
    <w:p>
      <w:pPr>
        <w:pStyle w:val="Stilnaslova3"/>
        <w:numPr>
          <w:ilvl w:val="2"/>
          <w:numId w:val="2"/>
        </w:numPr>
        <w:ind w:left="709" w:hanging="721"/>
        <w:rPr/>
      </w:pPr>
      <w:bookmarkStart w:id="357" w:name="_Toc99955756"/>
      <w:bookmarkStart w:id="358" w:name="_Toc116990204"/>
      <w:r>
        <w:rPr/>
        <w:t>Matrica rizika</w:t>
      </w:r>
      <w:bookmarkEnd w:id="357"/>
      <w:bookmarkEnd w:id="358"/>
    </w:p>
    <w:p>
      <w:pPr>
        <w:pStyle w:val="Normal"/>
        <w:rPr/>
      </w:pPr>
      <w:r>
        <w:rPr/>
        <w:t>Rizik: Padaline (tuča)</w:t>
      </w:r>
    </w:p>
    <w:p>
      <w:pPr>
        <w:pStyle w:val="Normal"/>
        <w:rPr/>
      </w:pPr>
      <w:r>
        <w:rPr/>
        <w:t>Naziv scenarija: Pojava tuče na području Grada Buja</w:t>
      </w:r>
    </w:p>
    <w:p>
      <w:pPr>
        <w:pStyle w:val="Normal"/>
        <w:rPr/>
      </w:pPr>
      <w:r>
        <w:rPr/>
        <w:drawing>
          <wp:inline distT="0" distB="0" distL="0" distR="0">
            <wp:extent cx="5210175" cy="4443730"/>
            <wp:effectExtent l="0" t="0" r="0" b="0"/>
            <wp:docPr id="169" name="Picture 2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243" descr=""/>
                    <pic:cNvPicPr>
                      <a:picLocks noChangeAspect="1" noChangeArrowheads="1"/>
                    </pic:cNvPicPr>
                  </pic:nvPicPr>
                  <pic:blipFill>
                    <a:blip r:embed="rId145"/>
                    <a:stretch>
                      <a:fillRect/>
                    </a:stretch>
                  </pic:blipFill>
                  <pic:spPr bwMode="auto">
                    <a:xfrm>
                      <a:off x="0" y="0"/>
                      <a:ext cx="5210175" cy="4443730"/>
                    </a:xfrm>
                    <a:prstGeom prst="rect">
                      <a:avLst/>
                    </a:prstGeom>
                  </pic:spPr>
                </pic:pic>
              </a:graphicData>
            </a:graphic>
          </wp:inline>
        </w:drawing>
        <mc:AlternateContent>
          <mc:Choice Requires="wps">
            <w:drawing>
              <wp:anchor behindDoc="0" distT="0" distB="0" distL="0" distR="0" simplePos="0" locked="0" layoutInCell="1" allowOverlap="1" relativeHeight="69" wp14:anchorId="4F0D516E">
                <wp:simplePos x="0" y="0"/>
                <wp:positionH relativeFrom="column">
                  <wp:posOffset>2392045</wp:posOffset>
                </wp:positionH>
                <wp:positionV relativeFrom="paragraph">
                  <wp:posOffset>1790065</wp:posOffset>
                </wp:positionV>
                <wp:extent cx="315595" cy="254000"/>
                <wp:effectExtent l="19050" t="0" r="28575" b="13970"/>
                <wp:wrapNone/>
                <wp:docPr id="168" name="Hexagon 239"/>
                <a:graphic xmlns:a="http://schemas.openxmlformats.org/drawingml/2006/main">
                  <a:graphicData uri="http://schemas.microsoft.com/office/word/2010/wordprocessingShape">
                    <wps:wsp>
                      <wps:cNvSpPr/>
                      <wps:spPr>
                        <a:xfrm>
                          <a:off x="0" y="0"/>
                          <a:ext cx="315000" cy="253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39" fillcolor="#4f81bd" stroked="t" style="position:absolute;margin-left:188.35pt;margin-top:140.95pt;width:24.75pt;height:19.9pt" wp14:anchorId="4F0D516E" type="shapetype_9">
                <w10:wrap type="none"/>
                <v:fill o:detectmouseclick="t" type="solid" color2="#b07e42"/>
                <v:stroke color="#4f81bd" weight="9360" joinstyle="miter" endcap="flat"/>
              </v:shape>
            </w:pict>
          </mc:Fallback>
        </mc:AlternateContent>
      </w:r>
    </w:p>
    <w:p>
      <w:pPr>
        <w:pStyle w:val="Normal"/>
        <w:rPr>
          <w:b/>
          <w:b/>
          <w:sz w:val="20"/>
        </w:rPr>
      </w:pPr>
      <w:r>
        <w:rPr>
          <w:b/>
          <w:sz w:val="20"/>
        </w:rPr>
        <w:t xml:space="preserve">           </w:t>
      </w:r>
      <w:r>
        <w:rPr>
          <w:b/>
          <w:sz w:val="20"/>
        </w:rPr>
        <w:t>Život i zdravlje ljudi</w:t>
        <w:tab/>
        <w:tab/>
        <w:t xml:space="preserve">       Gospodarstvo</w:t>
        <w:tab/>
        <w:t xml:space="preserve">          Društvena stabilnost i politika</w:t>
      </w:r>
    </w:p>
    <w:p>
      <w:pPr>
        <w:pStyle w:val="Normal"/>
        <w:rPr/>
      </w:pPr>
      <w:r>
        <mc:AlternateContent>
          <mc:Choice Requires="wps">
            <w:drawing>
              <wp:anchor behindDoc="0" distT="0" distB="0" distL="0" distR="0" simplePos="0" locked="0" layoutInCell="1" allowOverlap="1" relativeHeight="68" wp14:anchorId="5DAF7A0B">
                <wp:simplePos x="0" y="0"/>
                <wp:positionH relativeFrom="column">
                  <wp:posOffset>846455</wp:posOffset>
                </wp:positionH>
                <wp:positionV relativeFrom="paragraph">
                  <wp:posOffset>1090295</wp:posOffset>
                </wp:positionV>
                <wp:extent cx="112395" cy="92075"/>
                <wp:effectExtent l="19050" t="0" r="41275" b="23495"/>
                <wp:wrapNone/>
                <wp:docPr id="170" name="Hexagon 242"/>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42" fillcolor="#4f81bd" stroked="t" style="position:absolute;margin-left:66.65pt;margin-top:85.85pt;width:8.75pt;height:7.15pt" wp14:anchorId="5DAF7A0B"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70" wp14:anchorId="57D040CC">
                <wp:simplePos x="0" y="0"/>
                <wp:positionH relativeFrom="margin">
                  <wp:align>center</wp:align>
                </wp:positionH>
                <wp:positionV relativeFrom="paragraph">
                  <wp:posOffset>454025</wp:posOffset>
                </wp:positionV>
                <wp:extent cx="112395" cy="92075"/>
                <wp:effectExtent l="19050" t="0" r="41275" b="23495"/>
                <wp:wrapNone/>
                <wp:docPr id="171" name="Hexagon 241"/>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41" fillcolor="#4f81bd" stroked="t" style="position:absolute;margin-left:222.35pt;margin-top:35.75pt;width:8.75pt;height:7.15pt;mso-position-horizontal:center;mso-position-horizontal-relative:margin" wp14:anchorId="57D040CC" type="shapetype_9">
                <w10:wrap type="none"/>
                <v:fill o:detectmouseclick="t" type="solid" color2="#b07e42"/>
                <v:stroke color="#4f81bd" weight="9360" joinstyle="miter" endcap="flat"/>
              </v:shape>
            </w:pict>
          </mc:Fallback>
        </mc:AlternateContent>
        <mc:AlternateContent>
          <mc:Choice Requires="wps">
            <w:drawing>
              <wp:anchor behindDoc="0" distT="0" distB="0" distL="0" distR="0" simplePos="0" locked="0" layoutInCell="1" allowOverlap="1" relativeHeight="71" wp14:anchorId="7FA32E6E">
                <wp:simplePos x="0" y="0"/>
                <wp:positionH relativeFrom="column">
                  <wp:posOffset>4735195</wp:posOffset>
                </wp:positionH>
                <wp:positionV relativeFrom="paragraph">
                  <wp:posOffset>645795</wp:posOffset>
                </wp:positionV>
                <wp:extent cx="112395" cy="92075"/>
                <wp:effectExtent l="19050" t="0" r="41275" b="23495"/>
                <wp:wrapNone/>
                <wp:docPr id="172" name="Hexagon 240"/>
                <a:graphic xmlns:a="http://schemas.openxmlformats.org/drawingml/2006/main">
                  <a:graphicData uri="http://schemas.microsoft.com/office/word/2010/wordprocessingShape">
                    <wps:wsp>
                      <wps:cNvSpPr/>
                      <wps:spPr>
                        <a:xfrm>
                          <a:off x="0" y="0"/>
                          <a:ext cx="111600" cy="91440"/>
                        </a:xfrm>
                        <a:prstGeom prst="hexagon">
                          <a:avLst>
                            <a:gd name="adj" fmla="val 30594"/>
                            <a:gd name="vf" fmla="val 115470"/>
                          </a:avLst>
                        </a:prstGeom>
                        <a:solidFill>
                          <a:srgbClr val="4f81bd"/>
                        </a:solidFill>
                        <a:ln w="9360">
                          <a:solidFill>
                            <a:srgbClr val="4f81bd"/>
                          </a:solidFill>
                          <a:miter/>
                        </a:ln>
                      </wps:spPr>
                      <wps:style>
                        <a:lnRef idx="0"/>
                        <a:fillRef idx="0"/>
                        <a:effectRef idx="0"/>
                        <a:fontRef idx="minor"/>
                      </wps:style>
                      <wps:bodyPr/>
                    </wps:wsp>
                  </a:graphicData>
                </a:graphic>
              </wp:anchor>
            </w:drawing>
          </mc:Choice>
          <mc:Fallback>
            <w:pict>
              <v:shape id="shape_0" ID="Hexagon 240" fillcolor="#4f81bd" stroked="t" style="position:absolute;margin-left:372.85pt;margin-top:50.85pt;width:8.75pt;height:7.15pt" wp14:anchorId="7FA32E6E" type="shapetype_9">
                <w10:wrap type="none"/>
                <v:fill o:detectmouseclick="t" type="solid" color2="#b07e42"/>
                <v:stroke color="#4f81bd" weight="9360" joinstyle="miter" endcap="flat"/>
              </v:shape>
            </w:pict>
          </mc:Fallback>
        </mc:AlternateContent>
      </w:r>
      <w:r>
        <w:rPr/>
        <w:drawing>
          <wp:inline distT="0" distB="0" distL="0" distR="0">
            <wp:extent cx="1828800" cy="1554480"/>
            <wp:effectExtent l="0" t="0" r="0" b="0"/>
            <wp:docPr id="173" name="Picture 2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244" descr=""/>
                    <pic:cNvPicPr>
                      <a:picLocks noChangeAspect="1" noChangeArrowheads="1"/>
                    </pic:cNvPicPr>
                  </pic:nvPicPr>
                  <pic:blipFill>
                    <a:blip r:embed="rId146"/>
                    <a:stretch>
                      <a:fillRect/>
                    </a:stretch>
                  </pic:blipFill>
                  <pic:spPr bwMode="auto">
                    <a:xfrm>
                      <a:off x="0" y="0"/>
                      <a:ext cx="1828800" cy="1554480"/>
                    </a:xfrm>
                    <a:prstGeom prst="rect">
                      <a:avLst/>
                    </a:prstGeom>
                  </pic:spPr>
                </pic:pic>
              </a:graphicData>
            </a:graphic>
          </wp:inline>
        </w:drawing>
      </w:r>
      <w:r>
        <w:rPr/>
        <w:t xml:space="preserve">  </w:t>
      </w:r>
      <w:r>
        <w:rPr/>
        <w:drawing>
          <wp:inline distT="0" distB="0" distL="0" distR="0">
            <wp:extent cx="1905000" cy="1619250"/>
            <wp:effectExtent l="0" t="0" r="0" b="0"/>
            <wp:docPr id="174" name="Picture 2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245" descr=""/>
                    <pic:cNvPicPr>
                      <a:picLocks noChangeAspect="1" noChangeArrowheads="1"/>
                    </pic:cNvPicPr>
                  </pic:nvPicPr>
                  <pic:blipFill>
                    <a:blip r:embed="rId147"/>
                    <a:stretch>
                      <a:fillRect/>
                    </a:stretch>
                  </pic:blipFill>
                  <pic:spPr bwMode="auto">
                    <a:xfrm>
                      <a:off x="0" y="0"/>
                      <a:ext cx="1905000" cy="1619250"/>
                    </a:xfrm>
                    <a:prstGeom prst="rect">
                      <a:avLst/>
                    </a:prstGeom>
                  </pic:spPr>
                </pic:pic>
              </a:graphicData>
            </a:graphic>
          </wp:inline>
        </w:drawing>
      </w:r>
      <w:r>
        <w:rPr/>
        <w:t xml:space="preserve">  </w:t>
      </w:r>
      <w:r>
        <w:rPr/>
        <w:drawing>
          <wp:inline distT="0" distB="0" distL="0" distR="0">
            <wp:extent cx="1906270" cy="1620520"/>
            <wp:effectExtent l="0" t="0" r="0" b="0"/>
            <wp:docPr id="175" name="Picture 2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246" descr=""/>
                    <pic:cNvPicPr>
                      <a:picLocks noChangeAspect="1" noChangeArrowheads="1"/>
                    </pic:cNvPicPr>
                  </pic:nvPicPr>
                  <pic:blipFill>
                    <a:blip r:embed="rId148"/>
                    <a:stretch>
                      <a:fillRect/>
                    </a:stretch>
                  </pic:blipFill>
                  <pic:spPr bwMode="auto">
                    <a:xfrm>
                      <a:off x="0" y="0"/>
                      <a:ext cx="1906270" cy="1620520"/>
                    </a:xfrm>
                    <a:prstGeom prst="rect">
                      <a:avLst/>
                    </a:prstGeom>
                  </pic:spPr>
                </pic:pic>
              </a:graphicData>
            </a:graphic>
          </wp:inline>
        </w:drawing>
      </w:r>
    </w:p>
    <w:p>
      <w:pPr>
        <w:pStyle w:val="Normal"/>
        <w:rPr>
          <w:b/>
          <w:b/>
        </w:rPr>
      </w:pPr>
      <w:r>
        <w:rPr>
          <w:b/>
        </w:rPr>
      </w:r>
    </w:p>
    <w:p>
      <w:pPr>
        <w:pStyle w:val="Normal"/>
        <w:rPr>
          <w:b/>
          <w:b/>
        </w:rPr>
      </w:pPr>
      <w:r>
        <w:rPr>
          <w:b/>
        </w:rPr>
      </w:r>
    </w:p>
    <w:p>
      <w:pPr>
        <w:pStyle w:val="Normal"/>
        <w:rPr>
          <w:lang w:bidi="en-US"/>
        </w:rPr>
      </w:pPr>
      <w:r>
        <w:rPr>
          <w:lang w:bidi="en-US"/>
        </w:rPr>
      </w:r>
    </w:p>
    <w:p>
      <w:pPr>
        <w:pStyle w:val="Stilnaslova1"/>
        <w:numPr>
          <w:ilvl w:val="0"/>
          <w:numId w:val="2"/>
        </w:numPr>
        <w:rPr/>
      </w:pPr>
      <w:bookmarkStart w:id="359" w:name="_Toc492284986"/>
      <w:bookmarkStart w:id="360" w:name="_Toc496856133"/>
      <w:bookmarkStart w:id="361" w:name="_Toc99955757"/>
      <w:bookmarkStart w:id="362" w:name="_Toc116990205"/>
      <w:r>
        <w:rPr/>
        <w:t>USPOREDBA RIZIKA</w:t>
      </w:r>
      <w:bookmarkEnd w:id="359"/>
      <w:bookmarkEnd w:id="360"/>
      <w:bookmarkEnd w:id="361"/>
      <w:bookmarkEnd w:id="362"/>
    </w:p>
    <w:p>
      <w:pPr>
        <w:pStyle w:val="Normal"/>
        <w:rPr/>
      </w:pPr>
      <w:r>
        <w:rPr/>
        <w:t>U ovom poglavlju prikazana je usporedba rezultata procjene jednostavnih rizika te obrada svih scenarija. Svi rezultati iskazani u zajedničkoj matrici.</w:t>
      </w:r>
    </w:p>
    <w:p>
      <w:pPr>
        <w:pStyle w:val="Normal"/>
        <w:rPr/>
      </w:pPr>
      <w:r>
        <w:rPr/>
      </w:r>
    </w:p>
    <w:p>
      <w:pPr>
        <w:pStyle w:val="Normal"/>
        <w:jc w:val="center"/>
        <w:rPr>
          <w:b/>
          <w:b/>
          <w:i/>
          <w:i/>
        </w:rPr>
      </w:pPr>
      <w:r>
        <w:rPr>
          <w:b/>
          <w:i/>
        </w:rPr>
        <w:t>Događaj s najgorim mogućim posljedicama</w:t>
      </w:r>
    </w:p>
    <w:p>
      <w:pPr>
        <w:pStyle w:val="Normal"/>
        <w:jc w:val="center"/>
        <w:rPr/>
      </w:pPr>
      <w:r>
        <w:rPr/>
        <w:drawing>
          <wp:inline distT="0" distB="0" distL="0" distR="0">
            <wp:extent cx="6276340" cy="4961890"/>
            <wp:effectExtent l="0" t="0" r="0" b="0"/>
            <wp:docPr id="188" name="Slik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lika8" descr=""/>
                    <pic:cNvPicPr>
                      <a:picLocks noChangeAspect="1" noChangeArrowheads="1"/>
                    </pic:cNvPicPr>
                  </pic:nvPicPr>
                  <pic:blipFill>
                    <a:blip r:embed="rId149"/>
                    <a:stretch>
                      <a:fillRect/>
                    </a:stretch>
                  </pic:blipFill>
                  <pic:spPr bwMode="auto">
                    <a:xfrm>
                      <a:off x="0" y="0"/>
                      <a:ext cx="6276340" cy="4961890"/>
                    </a:xfrm>
                    <a:prstGeom prst="rect">
                      <a:avLst/>
                    </a:prstGeom>
                  </pic:spPr>
                </pic:pic>
              </a:graphicData>
            </a:graphic>
          </wp:inline>
        </w:drawing>
        <mc:AlternateContent>
          <mc:Choice Requires="wps">
            <w:drawing>
              <wp:anchor behindDoc="0" distT="0" distB="0" distL="0" distR="0" simplePos="0" locked="0" layoutInCell="1" allowOverlap="1" relativeHeight="31" wp14:anchorId="4195A8D9">
                <wp:simplePos x="0" y="0"/>
                <wp:positionH relativeFrom="margin">
                  <wp:posOffset>2872105</wp:posOffset>
                </wp:positionH>
                <wp:positionV relativeFrom="paragraph">
                  <wp:posOffset>2604135</wp:posOffset>
                </wp:positionV>
                <wp:extent cx="553720" cy="283845"/>
                <wp:effectExtent l="0" t="0" r="19050" b="22225"/>
                <wp:wrapNone/>
                <wp:docPr id="176" name="Text Box 201"/>
                <a:graphic xmlns:a="http://schemas.openxmlformats.org/drawingml/2006/main">
                  <a:graphicData uri="http://schemas.microsoft.com/office/word/2010/wordprocessingShape">
                    <wps:wsp>
                      <wps:cNvSpPr/>
                      <wps:spPr>
                        <a:xfrm>
                          <a:off x="0" y="0"/>
                          <a:ext cx="552960" cy="28332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lineRule="auto" w:line="240" w:before="0" w:after="0"/>
                              <w:jc w:val="center"/>
                              <w:rPr>
                                <w:sz w:val="12"/>
                              </w:rPr>
                            </w:pPr>
                            <w:r>
                              <w:rPr>
                                <w:color w:val="000000"/>
                                <w:sz w:val="12"/>
                              </w:rPr>
                              <w:t>SUŠA</w:t>
                            </w:r>
                          </w:p>
                          <w:p>
                            <w:pPr>
                              <w:pStyle w:val="Sadrajokvira"/>
                              <w:spacing w:lineRule="auto" w:line="240" w:before="0" w:after="0"/>
                              <w:jc w:val="center"/>
                              <w:rPr>
                                <w:sz w:val="12"/>
                              </w:rPr>
                            </w:pPr>
                            <w:r>
                              <w:rPr/>
                            </w:r>
                          </w:p>
                        </w:txbxContent>
                      </wps:txbx>
                      <wps:bodyPr>
                        <a:noAutofit/>
                      </wps:bodyPr>
                    </wps:wsp>
                  </a:graphicData>
                </a:graphic>
              </wp:anchor>
            </w:drawing>
          </mc:Choice>
          <mc:Fallback>
            <w:pict>
              <v:rect id="shape_0" ID="Text Box 201" fillcolor="white" stroked="t" style="position:absolute;margin-left:226.15pt;margin-top:205.05pt;width:43.5pt;height:22.25pt;mso-position-horizontal-relative:margin" wp14:anchorId="4195A8D9">
                <w10:wrap type="square"/>
                <v:fill o:detectmouseclick="t" type="solid" color2="black"/>
                <v:stroke color="black" weight="6480" joinstyle="round" endcap="flat"/>
                <v:textbox>
                  <w:txbxContent>
                    <w:p>
                      <w:pPr>
                        <w:pStyle w:val="Sadrajokvira"/>
                        <w:spacing w:lineRule="auto" w:line="240" w:before="0" w:after="0"/>
                        <w:jc w:val="center"/>
                        <w:rPr>
                          <w:sz w:val="12"/>
                        </w:rPr>
                      </w:pPr>
                      <w:r>
                        <w:rPr>
                          <w:color w:val="000000"/>
                          <w:sz w:val="12"/>
                        </w:rPr>
                        <w:t>SUŠA</w:t>
                      </w:r>
                    </w:p>
                    <w:p>
                      <w:pPr>
                        <w:pStyle w:val="Sadrajokvira"/>
                        <w:spacing w:lineRule="auto" w:line="240" w:before="0" w:after="0"/>
                        <w:jc w:val="center"/>
                        <w:rPr>
                          <w:sz w:val="12"/>
                        </w:rPr>
                      </w:pPr>
                      <w:r>
                        <w:rPr/>
                      </w:r>
                    </w:p>
                  </w:txbxContent>
                </v:textbox>
              </v:rect>
            </w:pict>
          </mc:Fallback>
        </mc:AlternateContent>
        <mc:AlternateContent>
          <mc:Choice Requires="wps">
            <w:drawing>
              <wp:anchor behindDoc="0" distT="0" distB="0" distL="0" distR="0" simplePos="0" locked="0" layoutInCell="1" allowOverlap="1" relativeHeight="32" wp14:anchorId="581DC147">
                <wp:simplePos x="0" y="0"/>
                <wp:positionH relativeFrom="margin">
                  <wp:posOffset>3576320</wp:posOffset>
                </wp:positionH>
                <wp:positionV relativeFrom="paragraph">
                  <wp:posOffset>2562225</wp:posOffset>
                </wp:positionV>
                <wp:extent cx="534670" cy="204470"/>
                <wp:effectExtent l="0" t="0" r="19050" b="25400"/>
                <wp:wrapNone/>
                <wp:docPr id="178" name="Text Box 279"/>
                <a:graphic xmlns:a="http://schemas.openxmlformats.org/drawingml/2006/main">
                  <a:graphicData uri="http://schemas.microsoft.com/office/word/2010/wordprocessingShape">
                    <wps:wsp>
                      <wps:cNvSpPr/>
                      <wps:spPr>
                        <a:xfrm>
                          <a:off x="0" y="0"/>
                          <a:ext cx="533880" cy="20376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lineRule="auto" w:line="240" w:before="0" w:after="0"/>
                              <w:rPr>
                                <w:color w:val="auto"/>
                                <w:sz w:val="12"/>
                              </w:rPr>
                            </w:pPr>
                            <w:r>
                              <w:rPr>
                                <w:color w:val="auto"/>
                                <w:sz w:val="12"/>
                              </w:rPr>
                              <w:t>TUČA</w:t>
                            </w:r>
                          </w:p>
                        </w:txbxContent>
                      </wps:txbx>
                      <wps:bodyPr>
                        <a:noAutofit/>
                      </wps:bodyPr>
                    </wps:wsp>
                  </a:graphicData>
                </a:graphic>
              </wp:anchor>
            </w:drawing>
          </mc:Choice>
          <mc:Fallback>
            <w:pict>
              <v:rect id="shape_0" ID="Text Box 279" fillcolor="white" stroked="t" style="position:absolute;margin-left:281.6pt;margin-top:201.75pt;width:42pt;height:16pt;mso-position-horizontal-relative:margin" wp14:anchorId="581DC147">
                <w10:wrap type="square"/>
                <v:fill o:detectmouseclick="t" type="solid" color2="black"/>
                <v:stroke color="black" weight="6480" joinstyle="round" endcap="flat"/>
                <v:textbox>
                  <w:txbxContent>
                    <w:p>
                      <w:pPr>
                        <w:pStyle w:val="Sadrajokvira"/>
                        <w:spacing w:lineRule="auto" w:line="240" w:before="0" w:after="0"/>
                        <w:rPr>
                          <w:color w:val="auto"/>
                          <w:sz w:val="12"/>
                        </w:rPr>
                      </w:pPr>
                      <w:r>
                        <w:rPr>
                          <w:color w:val="auto"/>
                          <w:sz w:val="12"/>
                        </w:rPr>
                        <w:t>TUČA</w:t>
                      </w:r>
                    </w:p>
                  </w:txbxContent>
                </v:textbox>
              </v:rect>
            </w:pict>
          </mc:Fallback>
        </mc:AlternateContent>
        <mc:AlternateContent>
          <mc:Choice Requires="wps">
            <w:drawing>
              <wp:anchor behindDoc="0" distT="0" distB="0" distL="0" distR="0" simplePos="0" locked="0" layoutInCell="1" allowOverlap="1" relativeHeight="33" wp14:anchorId="030B5A80">
                <wp:simplePos x="0" y="0"/>
                <wp:positionH relativeFrom="margin">
                  <wp:posOffset>1467485</wp:posOffset>
                </wp:positionH>
                <wp:positionV relativeFrom="paragraph">
                  <wp:posOffset>1227455</wp:posOffset>
                </wp:positionV>
                <wp:extent cx="606425" cy="521335"/>
                <wp:effectExtent l="0" t="0" r="23495" b="13970"/>
                <wp:wrapNone/>
                <wp:docPr id="180" name="Text Box 280"/>
                <a:graphic xmlns:a="http://schemas.openxmlformats.org/drawingml/2006/main">
                  <a:graphicData uri="http://schemas.microsoft.com/office/word/2010/wordprocessingShape">
                    <wps:wsp>
                      <wps:cNvSpPr/>
                      <wps:spPr>
                        <a:xfrm>
                          <a:off x="0" y="0"/>
                          <a:ext cx="605880" cy="52056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lineRule="auto" w:line="240" w:before="0" w:after="0"/>
                              <w:jc w:val="center"/>
                              <w:rPr>
                                <w:sz w:val="12"/>
                              </w:rPr>
                            </w:pPr>
                            <w:r>
                              <w:rPr>
                                <w:color w:val="000000"/>
                                <w:sz w:val="12"/>
                              </w:rPr>
                              <w:t>POTRES</w:t>
                            </w:r>
                          </w:p>
                          <w:p>
                            <w:pPr>
                              <w:pStyle w:val="Sadrajokvira"/>
                              <w:spacing w:lineRule="auto" w:line="240" w:before="0" w:after="0"/>
                              <w:jc w:val="center"/>
                              <w:rPr>
                                <w:sz w:val="12"/>
                              </w:rPr>
                            </w:pPr>
                            <w:r>
                              <w:rPr>
                                <w:sz w:val="12"/>
                              </w:rPr>
                            </w:r>
                          </w:p>
                          <w:p>
                            <w:pPr>
                              <w:pStyle w:val="Sadrajokvira"/>
                              <w:spacing w:lineRule="auto" w:line="240" w:before="0" w:after="0"/>
                              <w:jc w:val="center"/>
                              <w:rPr>
                                <w:sz w:val="12"/>
                              </w:rPr>
                            </w:pPr>
                            <w:r>
                              <w:rPr>
                                <w:color w:val="000000"/>
                                <w:sz w:val="12"/>
                              </w:rPr>
                              <w:t xml:space="preserve">INDUSTRIJSKA </w:t>
                            </w:r>
                          </w:p>
                          <w:p>
                            <w:pPr>
                              <w:pStyle w:val="Sadrajokvira"/>
                              <w:spacing w:lineRule="auto" w:line="240" w:before="0" w:after="0"/>
                              <w:jc w:val="center"/>
                              <w:rPr>
                                <w:sz w:val="12"/>
                              </w:rPr>
                            </w:pPr>
                            <w:r>
                              <w:rPr>
                                <w:color w:val="000000"/>
                                <w:sz w:val="12"/>
                              </w:rPr>
                              <w:t>NESREĆA</w:t>
                            </w:r>
                          </w:p>
                        </w:txbxContent>
                      </wps:txbx>
                      <wps:bodyPr>
                        <a:noAutofit/>
                      </wps:bodyPr>
                    </wps:wsp>
                  </a:graphicData>
                </a:graphic>
              </wp:anchor>
            </w:drawing>
          </mc:Choice>
          <mc:Fallback>
            <w:pict>
              <v:rect id="shape_0" ID="Text Box 280" fillcolor="white" stroked="t" style="position:absolute;margin-left:115.55pt;margin-top:96.65pt;width:47.65pt;height:40.95pt;mso-position-horizontal-relative:margin" wp14:anchorId="030B5A80">
                <w10:wrap type="square"/>
                <v:fill o:detectmouseclick="t" type="solid" color2="black"/>
                <v:stroke color="black" weight="6480" joinstyle="round" endcap="flat"/>
                <v:textbox>
                  <w:txbxContent>
                    <w:p>
                      <w:pPr>
                        <w:pStyle w:val="Sadrajokvira"/>
                        <w:spacing w:lineRule="auto" w:line="240" w:before="0" w:after="0"/>
                        <w:jc w:val="center"/>
                        <w:rPr>
                          <w:sz w:val="12"/>
                        </w:rPr>
                      </w:pPr>
                      <w:r>
                        <w:rPr>
                          <w:color w:val="000000"/>
                          <w:sz w:val="12"/>
                        </w:rPr>
                        <w:t>POTRES</w:t>
                      </w:r>
                    </w:p>
                    <w:p>
                      <w:pPr>
                        <w:pStyle w:val="Sadrajokvira"/>
                        <w:spacing w:lineRule="auto" w:line="240" w:before="0" w:after="0"/>
                        <w:jc w:val="center"/>
                        <w:rPr>
                          <w:sz w:val="12"/>
                        </w:rPr>
                      </w:pPr>
                      <w:r>
                        <w:rPr>
                          <w:sz w:val="12"/>
                        </w:rPr>
                      </w:r>
                    </w:p>
                    <w:p>
                      <w:pPr>
                        <w:pStyle w:val="Sadrajokvira"/>
                        <w:spacing w:lineRule="auto" w:line="240" w:before="0" w:after="0"/>
                        <w:jc w:val="center"/>
                        <w:rPr>
                          <w:sz w:val="12"/>
                        </w:rPr>
                      </w:pPr>
                      <w:r>
                        <w:rPr>
                          <w:color w:val="000000"/>
                          <w:sz w:val="12"/>
                        </w:rPr>
                        <w:t xml:space="preserve">INDUSTRIJSKA </w:t>
                      </w:r>
                    </w:p>
                    <w:p>
                      <w:pPr>
                        <w:pStyle w:val="Sadrajokvira"/>
                        <w:spacing w:lineRule="auto" w:line="240" w:before="0" w:after="0"/>
                        <w:jc w:val="center"/>
                        <w:rPr>
                          <w:sz w:val="12"/>
                        </w:rPr>
                      </w:pPr>
                      <w:r>
                        <w:rPr>
                          <w:color w:val="000000"/>
                          <w:sz w:val="12"/>
                        </w:rPr>
                        <w:t>NESREĆA</w:t>
                      </w:r>
                    </w:p>
                  </w:txbxContent>
                </v:textbox>
              </v:rect>
            </w:pict>
          </mc:Fallback>
        </mc:AlternateContent>
        <mc:AlternateContent>
          <mc:Choice Requires="wps">
            <w:drawing>
              <wp:anchor behindDoc="0" distT="0" distB="0" distL="0" distR="0" simplePos="0" locked="0" layoutInCell="1" allowOverlap="1" relativeHeight="34" wp14:anchorId="5669F187">
                <wp:simplePos x="0" y="0"/>
                <wp:positionH relativeFrom="margin">
                  <wp:posOffset>2103120</wp:posOffset>
                </wp:positionH>
                <wp:positionV relativeFrom="paragraph">
                  <wp:posOffset>1901825</wp:posOffset>
                </wp:positionV>
                <wp:extent cx="636270" cy="287020"/>
                <wp:effectExtent l="0" t="0" r="12700" b="19050"/>
                <wp:wrapNone/>
                <wp:docPr id="182" name="Text Box 283"/>
                <a:graphic xmlns:a="http://schemas.openxmlformats.org/drawingml/2006/main">
                  <a:graphicData uri="http://schemas.microsoft.com/office/word/2010/wordprocessingShape">
                    <wps:wsp>
                      <wps:cNvSpPr/>
                      <wps:spPr>
                        <a:xfrm>
                          <a:off x="0" y="0"/>
                          <a:ext cx="635760" cy="28656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lineRule="auto" w:line="240" w:before="0" w:after="0"/>
                              <w:jc w:val="center"/>
                              <w:rPr>
                                <w:sz w:val="12"/>
                              </w:rPr>
                            </w:pPr>
                            <w:r>
                              <w:rPr>
                                <w:color w:val="000000"/>
                                <w:sz w:val="12"/>
                              </w:rPr>
                              <w:t>EPIDEMIJA I PANDMIJA</w:t>
                            </w:r>
                          </w:p>
                        </w:txbxContent>
                      </wps:txbx>
                      <wps:bodyPr>
                        <a:noAutofit/>
                      </wps:bodyPr>
                    </wps:wsp>
                  </a:graphicData>
                </a:graphic>
              </wp:anchor>
            </w:drawing>
          </mc:Choice>
          <mc:Fallback>
            <w:pict>
              <v:rect id="shape_0" ID="Text Box 283" fillcolor="white" stroked="t" style="position:absolute;margin-left:165.6pt;margin-top:149.75pt;width:50pt;height:22.5pt;mso-position-horizontal-relative:margin" wp14:anchorId="5669F187">
                <w10:wrap type="square"/>
                <v:fill o:detectmouseclick="t" type="solid" color2="black"/>
                <v:stroke color="black" weight="6480" joinstyle="round" endcap="flat"/>
                <v:textbox>
                  <w:txbxContent>
                    <w:p>
                      <w:pPr>
                        <w:pStyle w:val="Sadrajokvira"/>
                        <w:spacing w:lineRule="auto" w:line="240" w:before="0" w:after="0"/>
                        <w:jc w:val="center"/>
                        <w:rPr>
                          <w:sz w:val="12"/>
                        </w:rPr>
                      </w:pPr>
                      <w:r>
                        <w:rPr>
                          <w:color w:val="000000"/>
                          <w:sz w:val="12"/>
                        </w:rPr>
                        <w:t>EPIDEMIJA I PANDMIJA</w:t>
                      </w:r>
                    </w:p>
                  </w:txbxContent>
                </v:textbox>
              </v:rect>
            </w:pict>
          </mc:Fallback>
        </mc:AlternateContent>
        <mc:AlternateContent>
          <mc:Choice Requires="wps">
            <w:drawing>
              <wp:anchor behindDoc="0" distT="0" distB="0" distL="0" distR="0" simplePos="0" locked="0" layoutInCell="1" allowOverlap="1" relativeHeight="43" wp14:anchorId="29E47442">
                <wp:simplePos x="0" y="0"/>
                <wp:positionH relativeFrom="margin">
                  <wp:posOffset>4275455</wp:posOffset>
                </wp:positionH>
                <wp:positionV relativeFrom="paragraph">
                  <wp:posOffset>2602865</wp:posOffset>
                </wp:positionV>
                <wp:extent cx="585470" cy="334645"/>
                <wp:effectExtent l="0" t="0" r="25400" b="28575"/>
                <wp:wrapNone/>
                <wp:docPr id="184" name="Text Box 59"/>
                <a:graphic xmlns:a="http://schemas.openxmlformats.org/drawingml/2006/main">
                  <a:graphicData uri="http://schemas.microsoft.com/office/word/2010/wordprocessingShape">
                    <wps:wsp>
                      <wps:cNvSpPr/>
                      <wps:spPr>
                        <a:xfrm>
                          <a:off x="0" y="0"/>
                          <a:ext cx="585000" cy="33408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lineRule="auto" w:line="240" w:before="0" w:after="0"/>
                              <w:rPr>
                                <w:color w:val="auto"/>
                                <w:sz w:val="12"/>
                              </w:rPr>
                            </w:pPr>
                            <w:r>
                              <w:rPr>
                                <w:color w:val="auto"/>
                                <w:sz w:val="12"/>
                              </w:rPr>
                              <w:t>EKSTREM.TEMPERA.</w:t>
                            </w:r>
                          </w:p>
                        </w:txbxContent>
                      </wps:txbx>
                      <wps:bodyPr>
                        <a:noAutofit/>
                      </wps:bodyPr>
                    </wps:wsp>
                  </a:graphicData>
                </a:graphic>
              </wp:anchor>
            </w:drawing>
          </mc:Choice>
          <mc:Fallback>
            <w:pict>
              <v:rect id="shape_0" ID="Text Box 59" fillcolor="white" stroked="t" style="position:absolute;margin-left:336.65pt;margin-top:204.95pt;width:46pt;height:26.25pt;mso-position-horizontal-relative:margin" wp14:anchorId="29E47442">
                <w10:wrap type="square"/>
                <v:fill o:detectmouseclick="t" type="solid" color2="black"/>
                <v:stroke color="black" weight="6480" joinstyle="round" endcap="flat"/>
                <v:textbox>
                  <w:txbxContent>
                    <w:p>
                      <w:pPr>
                        <w:pStyle w:val="Sadrajokvira"/>
                        <w:spacing w:lineRule="auto" w:line="240" w:before="0" w:after="0"/>
                        <w:rPr>
                          <w:color w:val="auto"/>
                          <w:sz w:val="12"/>
                        </w:rPr>
                      </w:pPr>
                      <w:r>
                        <w:rPr>
                          <w:color w:val="auto"/>
                          <w:sz w:val="12"/>
                        </w:rPr>
                        <w:t>EKSTREM.TEMPERA.</w:t>
                      </w:r>
                    </w:p>
                  </w:txbxContent>
                </v:textbox>
              </v:rect>
            </w:pict>
          </mc:Fallback>
        </mc:AlternateContent>
        <mc:AlternateContent>
          <mc:Choice Requires="wps">
            <w:drawing>
              <wp:anchor behindDoc="0" distT="0" distB="0" distL="0" distR="0" simplePos="0" locked="0" layoutInCell="1" allowOverlap="1" relativeHeight="72" wp14:anchorId="6F73BA5F">
                <wp:simplePos x="0" y="0"/>
                <wp:positionH relativeFrom="column">
                  <wp:posOffset>2920365</wp:posOffset>
                </wp:positionH>
                <wp:positionV relativeFrom="paragraph">
                  <wp:posOffset>1833880</wp:posOffset>
                </wp:positionV>
                <wp:extent cx="549910" cy="540385"/>
                <wp:effectExtent l="0" t="0" r="22860" b="13970"/>
                <wp:wrapNone/>
                <wp:docPr id="186" name="Text Box 38"/>
                <a:graphic xmlns:a="http://schemas.openxmlformats.org/drawingml/2006/main">
                  <a:graphicData uri="http://schemas.microsoft.com/office/word/2010/wordprocessingShape">
                    <wps:wsp>
                      <wps:cNvSpPr/>
                      <wps:spPr>
                        <a:xfrm>
                          <a:off x="0" y="0"/>
                          <a:ext cx="549360" cy="539640"/>
                        </a:xfrm>
                        <a:prstGeom prst="rect">
                          <a:avLst/>
                        </a:prstGeom>
                        <a:solidFill>
                          <a:schemeClr val="lt1"/>
                        </a:solidFill>
                        <a:ln w="6480">
                          <a:solidFill>
                            <a:srgbClr val="000000"/>
                          </a:solidFill>
                          <a:round/>
                        </a:ln>
                      </wps:spPr>
                      <wps:style>
                        <a:lnRef idx="0">
                          <a:schemeClr val="accent1"/>
                        </a:lnRef>
                        <a:fillRef idx="0">
                          <a:schemeClr val="accent1"/>
                        </a:fillRef>
                        <a:effectRef idx="0">
                          <a:schemeClr val="accent1"/>
                        </a:effectRef>
                        <a:fontRef idx="minor"/>
                      </wps:style>
                      <wps:txbx>
                        <w:txbxContent>
                          <w:p>
                            <w:pPr>
                              <w:pStyle w:val="Sadrajokvira"/>
                              <w:spacing w:before="80" w:after="160"/>
                              <w:rPr>
                                <w:sz w:val="12"/>
                                <w:szCs w:val="12"/>
                              </w:rPr>
                            </w:pPr>
                            <w:r>
                              <w:rPr>
                                <w:color w:val="000000"/>
                                <w:sz w:val="12"/>
                                <w:szCs w:val="12"/>
                              </w:rPr>
                              <w:t>POPLAVA</w:t>
                            </w:r>
                          </w:p>
                          <w:p>
                            <w:pPr>
                              <w:pStyle w:val="Sadrajokvira"/>
                              <w:spacing w:before="80" w:after="160"/>
                              <w:rPr>
                                <w:sz w:val="12"/>
                                <w:szCs w:val="12"/>
                              </w:rPr>
                            </w:pPr>
                            <w:r>
                              <w:rPr>
                                <w:color w:val="000000"/>
                                <w:sz w:val="12"/>
                                <w:szCs w:val="12"/>
                              </w:rPr>
                              <w:t>POŽAR</w:t>
                            </w:r>
                          </w:p>
                        </w:txbxContent>
                      </wps:txbx>
                      <wps:bodyPr>
                        <a:noAutofit/>
                      </wps:bodyPr>
                    </wps:wsp>
                  </a:graphicData>
                </a:graphic>
              </wp:anchor>
            </w:drawing>
          </mc:Choice>
          <mc:Fallback>
            <w:pict>
              <v:rect id="shape_0" ID="Text Box 38" fillcolor="white" stroked="t" style="position:absolute;margin-left:229.95pt;margin-top:144.4pt;width:43.2pt;height:42.45pt" wp14:anchorId="6F73BA5F">
                <w10:wrap type="square"/>
                <v:fill o:detectmouseclick="t" type="solid" color2="black"/>
                <v:stroke color="black" weight="6480" joinstyle="round" endcap="flat"/>
                <v:textbox>
                  <w:txbxContent>
                    <w:p>
                      <w:pPr>
                        <w:pStyle w:val="Sadrajokvira"/>
                        <w:spacing w:before="80" w:after="160"/>
                        <w:rPr>
                          <w:sz w:val="12"/>
                          <w:szCs w:val="12"/>
                        </w:rPr>
                      </w:pPr>
                      <w:r>
                        <w:rPr>
                          <w:color w:val="000000"/>
                          <w:sz w:val="12"/>
                          <w:szCs w:val="12"/>
                        </w:rPr>
                        <w:t>POPLAVA</w:t>
                      </w:r>
                    </w:p>
                    <w:p>
                      <w:pPr>
                        <w:pStyle w:val="Sadrajokvira"/>
                        <w:spacing w:before="80" w:after="160"/>
                        <w:rPr>
                          <w:sz w:val="12"/>
                          <w:szCs w:val="12"/>
                        </w:rPr>
                      </w:pPr>
                      <w:r>
                        <w:rPr>
                          <w:color w:val="000000"/>
                          <w:sz w:val="12"/>
                          <w:szCs w:val="12"/>
                        </w:rPr>
                        <w:t>POŽAR</w:t>
                      </w:r>
                    </w:p>
                  </w:txbxContent>
                </v:textbox>
              </v:rect>
            </w:pict>
          </mc:Fallback>
        </mc:AlternateContent>
      </w:r>
    </w:p>
    <w:p>
      <w:pPr>
        <w:pStyle w:val="Normal"/>
        <w:rPr/>
      </w:pPr>
      <w:r>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1"/>
        <w:numPr>
          <w:ilvl w:val="0"/>
          <w:numId w:val="2"/>
        </w:numPr>
        <w:rPr/>
      </w:pPr>
      <w:bookmarkStart w:id="363" w:name="_Toc492284987"/>
      <w:bookmarkStart w:id="364" w:name="_Toc496856134"/>
      <w:bookmarkStart w:id="365" w:name="_Toc99955758"/>
      <w:bookmarkStart w:id="366" w:name="_Toc116990206"/>
      <w:r>
        <w:rPr/>
        <w:t>ANALIZA SUSTAVA CIVILNE ZAŠTITE</w:t>
      </w:r>
      <w:bookmarkEnd w:id="363"/>
      <w:bookmarkEnd w:id="364"/>
      <w:bookmarkEnd w:id="365"/>
      <w:bookmarkEnd w:id="366"/>
    </w:p>
    <w:p>
      <w:pPr>
        <w:pStyle w:val="Normal"/>
        <w:spacing w:before="80" w:after="0"/>
        <w:rPr>
          <w:lang w:eastAsia="hr-HR"/>
        </w:rPr>
      </w:pPr>
      <w:r>
        <w:rPr>
          <w:lang w:eastAsia="hr-HR"/>
        </w:rPr>
        <w:t>Za potrebu analize sustava civilne zaštite, potrebno je izraditi analizu u području preventive i reagiranja. Analiza stanja sustava civilne zaštite na području Grada Buja ocjenjivat će se temeljem tvrdnji iz tabličnih prikaza te izvedenih zaključaka. Ocjene će se dodijeliti temeljem omjera pozitivnih i negativnih tvrdnji u tablicama. Ocjene će se prikazati na sljedeći način:</w:t>
      </w:r>
    </w:p>
    <w:p>
      <w:pPr>
        <w:pStyle w:val="Normal"/>
        <w:numPr>
          <w:ilvl w:val="0"/>
          <w:numId w:val="37"/>
        </w:numPr>
        <w:tabs>
          <w:tab w:val="clear" w:pos="708"/>
          <w:tab w:val="left" w:pos="2445" w:leader="none"/>
        </w:tabs>
        <w:spacing w:before="72" w:after="72"/>
        <w:contextualSpacing/>
        <w:rPr>
          <w:lang w:eastAsia="hr-HR"/>
        </w:rPr>
      </w:pPr>
      <w:r>
        <w:rPr>
          <w:lang w:eastAsia="hr-HR"/>
        </w:rPr>
        <w:t>0-25% - vrlo niska spremnost</w:t>
      </w:r>
    </w:p>
    <w:p>
      <w:pPr>
        <w:pStyle w:val="Normal"/>
        <w:numPr>
          <w:ilvl w:val="0"/>
          <w:numId w:val="37"/>
        </w:numPr>
        <w:tabs>
          <w:tab w:val="clear" w:pos="708"/>
          <w:tab w:val="left" w:pos="2445" w:leader="none"/>
        </w:tabs>
        <w:spacing w:before="72" w:after="72"/>
        <w:contextualSpacing/>
        <w:rPr>
          <w:lang w:eastAsia="hr-HR"/>
        </w:rPr>
      </w:pPr>
      <w:r>
        <w:rPr>
          <w:lang w:eastAsia="hr-HR"/>
        </w:rPr>
        <w:t>26-50% - niska spremnost</w:t>
      </w:r>
    </w:p>
    <w:p>
      <w:pPr>
        <w:pStyle w:val="Normal"/>
        <w:numPr>
          <w:ilvl w:val="0"/>
          <w:numId w:val="37"/>
        </w:numPr>
        <w:tabs>
          <w:tab w:val="clear" w:pos="708"/>
          <w:tab w:val="left" w:pos="2445" w:leader="none"/>
        </w:tabs>
        <w:spacing w:before="72" w:after="72"/>
        <w:contextualSpacing/>
        <w:rPr>
          <w:lang w:eastAsia="hr-HR"/>
        </w:rPr>
      </w:pPr>
      <w:r>
        <w:rPr>
          <w:lang w:eastAsia="hr-HR"/>
        </w:rPr>
        <w:t>51-75% - visoka spremnosti</w:t>
      </w:r>
    </w:p>
    <w:p>
      <w:pPr>
        <w:pStyle w:val="Normal"/>
        <w:numPr>
          <w:ilvl w:val="0"/>
          <w:numId w:val="37"/>
        </w:numPr>
        <w:tabs>
          <w:tab w:val="clear" w:pos="708"/>
          <w:tab w:val="left" w:pos="2445" w:leader="none"/>
        </w:tabs>
        <w:spacing w:before="72" w:after="72"/>
        <w:contextualSpacing/>
        <w:rPr>
          <w:lang w:eastAsia="hr-HR"/>
        </w:rPr>
      </w:pPr>
      <w:r>
        <w:rPr>
          <w:lang w:eastAsia="hr-HR"/>
        </w:rPr>
        <w:t>76-100% - vrlo visoka spremnost</w:t>
      </w:r>
    </w:p>
    <w:p>
      <w:pPr>
        <w:pStyle w:val="Normal"/>
        <w:rPr/>
      </w:pPr>
      <w:r>
        <w:rPr/>
      </w:r>
    </w:p>
    <w:p>
      <w:pPr>
        <w:pStyle w:val="Stilnaslova2"/>
        <w:numPr>
          <w:ilvl w:val="1"/>
          <w:numId w:val="2"/>
        </w:numPr>
        <w:rPr/>
      </w:pPr>
      <w:bookmarkStart w:id="367" w:name="_Toc492284988"/>
      <w:r>
        <w:rPr/>
        <w:t xml:space="preserve"> </w:t>
      </w:r>
      <w:bookmarkStart w:id="368" w:name="_Toc496856135"/>
      <w:bookmarkStart w:id="369" w:name="_Toc99955759"/>
      <w:bookmarkStart w:id="370" w:name="_Toc116990207"/>
      <w:r>
        <w:rPr/>
        <w:t>Područje preventive</w:t>
      </w:r>
      <w:bookmarkEnd w:id="367"/>
      <w:bookmarkEnd w:id="368"/>
      <w:bookmarkEnd w:id="369"/>
      <w:bookmarkEnd w:id="370"/>
    </w:p>
    <w:p>
      <w:pPr>
        <w:pStyle w:val="Normal"/>
        <w:rPr>
          <w:lang w:eastAsia="hr-HR"/>
        </w:rPr>
      </w:pPr>
      <w:r>
        <w:rPr>
          <w:lang w:eastAsia="hr-HR"/>
        </w:rPr>
        <w:t>Analiza na području preventive sastoji se od sljedećih elemenata:</w:t>
      </w:r>
    </w:p>
    <w:p>
      <w:pPr>
        <w:pStyle w:val="Stilnaslova3"/>
        <w:numPr>
          <w:ilvl w:val="2"/>
          <w:numId w:val="2"/>
        </w:numPr>
        <w:ind w:left="709" w:hanging="721"/>
        <w:rPr>
          <w:lang w:eastAsia="hr-HR"/>
        </w:rPr>
      </w:pPr>
      <w:bookmarkStart w:id="371" w:name="_Toc99955760"/>
      <w:bookmarkStart w:id="372" w:name="_Toc116990208"/>
      <w:r>
        <w:rPr>
          <w:lang w:eastAsia="hr-HR"/>
        </w:rPr>
        <w:t>Usvojenost strategija, normativne uređenosti te izrađenost procjena i planova od značaja za sustav civilne zaštite</w:t>
      </w:r>
      <w:bookmarkEnd w:id="371"/>
      <w:bookmarkEnd w:id="372"/>
    </w:p>
    <w:p>
      <w:pPr>
        <w:pStyle w:val="Normal"/>
        <w:rPr>
          <w:lang w:eastAsia="hr-HR"/>
        </w:rPr>
      </w:pPr>
      <w:r>
        <w:rPr>
          <w:lang w:eastAsia="hr-HR"/>
        </w:rPr>
      </w:r>
    </w:p>
    <w:tbl>
      <w:tblPr>
        <w:tblStyle w:val="Reetkatablice14"/>
        <w:tblW w:w="8926"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379"/>
        <w:gridCol w:w="851"/>
        <w:gridCol w:w="849"/>
      </w:tblGrid>
      <w:tr>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379"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700"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379"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Postoji li zaposlenik/zaposlenici Grada zaduženi za praćenje propisa iz sustava civilne zaštite i njihovu implementaciju, vođenje baze podataka, praćenje troškova nastalih prirodnim nepogodama?</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Osnovan Stožer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Osnovane gotove snage civilne zaštite (Vatrogasne postrojbe, Društvo Crvenog križa, HGSS)</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highlight w:val="yellow"/>
              </w:rPr>
            </w:pPr>
            <w:r>
              <w:rPr>
                <w:rFonts w:eastAsia="Times New Roman" w:cs="Times New Roman" w:ascii="Times New Roman" w:hAnsi="Times New Roman"/>
                <w:sz w:val="20"/>
                <w:szCs w:val="20"/>
                <w:lang w:eastAsia="hr-HR"/>
              </w:rPr>
              <w:t>Određene pravne osobe od interesa za sustav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 xml:space="preserve">Imenovani povjerenici i zamjenici povjerenika civilne zaštite </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6.</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Izrađena Procjena rizika od velikih nesreća</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7.</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 Plan zaštite i spašavanja i Plan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8.</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 Plan djelovanja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9.</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10.</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Izrađene smjernice za organizaciju i razvoj sustava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11.</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Izrađena godišnja analiza stanja sustava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12.</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 godišnji plan razvoja sustava civilne zaštite s financijskim učincima za trogodišnje razdoblje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13.</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 Plan pozivanja Stožera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14.</w:t>
            </w:r>
          </w:p>
        </w:tc>
        <w:tc>
          <w:tcPr>
            <w:tcW w:w="637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szCs w:val="20"/>
              </w:rPr>
            </w:pPr>
            <w:r>
              <w:rPr>
                <w:rFonts w:eastAsia="Times New Roman" w:cs="Times New Roman" w:ascii="Times New Roman" w:hAnsi="Times New Roman"/>
                <w:sz w:val="20"/>
                <w:szCs w:val="20"/>
                <w:lang w:eastAsia="hr-HR"/>
              </w:rPr>
              <w:t>Izrađen Poslovnik o radu Stožera civilne zaštite</w:t>
            </w:r>
          </w:p>
        </w:tc>
        <w:tc>
          <w:tcPr>
            <w:tcW w:w="85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bl>
    <w:p>
      <w:pPr>
        <w:pStyle w:val="Normal"/>
        <w:rPr>
          <w:lang w:eastAsia="hr-HR"/>
        </w:rPr>
      </w:pPr>
      <w:r>
        <w:rPr>
          <w:lang w:eastAsia="hr-HR"/>
        </w:rPr>
      </w:r>
    </w:p>
    <w:p>
      <w:pPr>
        <w:pStyle w:val="Normal"/>
        <w:rPr>
          <w:u w:val="single"/>
        </w:rPr>
      </w:pPr>
      <w:r>
        <w:rPr>
          <w:lang w:eastAsia="hr-HR"/>
        </w:rPr>
        <w:t xml:space="preserve">Uzimajući u obzir sve izrađene dokumente od značaja za sustav civilne zaštite, njihovu međusobnu povezanost i usklađenost </w:t>
      </w:r>
      <w:r>
        <w:rPr/>
        <w:t xml:space="preserve">razina spremnosti po ovom operativno važnom elementu procijenjena je  </w:t>
      </w:r>
      <w:r>
        <w:rPr>
          <w:u w:val="single"/>
        </w:rPr>
        <w:t>visokom.</w:t>
      </w:r>
    </w:p>
    <w:p>
      <w:pPr>
        <w:pStyle w:val="Normal"/>
        <w:spacing w:before="0" w:after="160"/>
        <w:jc w:val="center"/>
        <w:rPr>
          <w:rFonts w:eastAsia="Calibri"/>
          <w:bCs/>
          <w:color w:val="54883D"/>
          <w:sz w:val="20"/>
          <w:szCs w:val="18"/>
          <w:lang w:bidi="en-US"/>
        </w:rPr>
      </w:pPr>
      <w:r>
        <w:rPr>
          <w:rFonts w:eastAsia="Calibri"/>
          <w:bCs/>
          <w:color w:val="54883D"/>
          <w:sz w:val="20"/>
          <w:szCs w:val="18"/>
          <w:lang w:bidi="en-US"/>
        </w:rPr>
        <w:t xml:space="preserve">Tablica </w:t>
      </w:r>
      <w:r>
        <w:rPr>
          <w:rFonts w:eastAsia="Calibri"/>
          <w:bCs/>
          <w:color w:val="54883D"/>
          <w:sz w:val="20"/>
          <w:szCs w:val="18"/>
          <w:lang w:bidi="en-US"/>
        </w:rPr>
        <w:fldChar w:fldCharType="begin"/>
      </w:r>
      <w:r>
        <w:rPr>
          <w:sz w:val="20"/>
          <w:szCs w:val="18"/>
          <w:bCs/>
          <w:rFonts w:eastAsia="Calibri"/>
          <w:color w:val="54883D"/>
          <w:lang w:bidi="en-US"/>
        </w:rPr>
        <w:instrText> SEQ Tabela \* ARABIC </w:instrText>
      </w:r>
      <w:r>
        <w:rPr>
          <w:sz w:val="20"/>
          <w:szCs w:val="18"/>
          <w:bCs/>
          <w:rFonts w:eastAsia="Calibri"/>
          <w:color w:val="54883D"/>
          <w:lang w:bidi="en-US"/>
        </w:rPr>
        <w:fldChar w:fldCharType="separate"/>
      </w:r>
      <w:r>
        <w:rPr>
          <w:sz w:val="20"/>
          <w:szCs w:val="18"/>
          <w:bCs/>
          <w:rFonts w:eastAsia="Calibri"/>
          <w:color w:val="54883D"/>
          <w:lang w:bidi="en-US"/>
        </w:rPr>
        <w:t>61</w:t>
      </w:r>
      <w:r>
        <w:rPr>
          <w:sz w:val="20"/>
          <w:szCs w:val="18"/>
          <w:bCs/>
          <w:rFonts w:eastAsia="Calibri"/>
          <w:color w:val="54883D"/>
          <w:lang w:bidi="en-US"/>
        </w:rPr>
        <w:fldChar w:fldCharType="end"/>
      </w:r>
      <w:r>
        <w:rPr>
          <w:rFonts w:eastAsia="Calibri"/>
          <w:bCs/>
          <w:color w:val="54883D"/>
          <w:sz w:val="20"/>
          <w:szCs w:val="18"/>
          <w:lang w:bidi="en-US"/>
        </w:rPr>
        <w:t>.</w:t>
      </w:r>
      <w:r>
        <w:rPr>
          <w:rFonts w:eastAsia="Calibri"/>
          <w:bCs/>
          <w:i/>
          <w:color w:val="54883D"/>
          <w:sz w:val="20"/>
          <w:szCs w:val="18"/>
          <w:lang w:bidi="en-US"/>
        </w:rPr>
        <w:t xml:space="preserve"> </w:t>
      </w:r>
      <w:r>
        <w:rPr>
          <w:rFonts w:eastAsia="Calibri"/>
          <w:bCs/>
          <w:color w:val="54883D"/>
          <w:sz w:val="20"/>
          <w:szCs w:val="18"/>
          <w:lang w:bidi="en-US"/>
        </w:rPr>
        <w:t>Prikaz ocjene usvojenosti strategija, normativne uređenosti te izrađenosti procjena i planova od značaja za sustav civilne zaštite</w:t>
      </w:r>
    </w:p>
    <w:tbl>
      <w:tblPr>
        <w:tblStyle w:val="Reetkatablice14"/>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u w:val="single"/>
        </w:rPr>
      </w:pPr>
      <w:r>
        <w:rPr>
          <w:u w:val="single"/>
        </w:rPr>
      </w:r>
    </w:p>
    <w:p>
      <w:pPr>
        <w:pStyle w:val="Stilnaslova3"/>
        <w:numPr>
          <w:ilvl w:val="2"/>
          <w:numId w:val="2"/>
        </w:numPr>
        <w:ind w:left="709" w:hanging="721"/>
        <w:rPr>
          <w:lang w:eastAsia="hr-HR"/>
        </w:rPr>
      </w:pPr>
      <w:bookmarkStart w:id="373" w:name="_Toc99955761"/>
      <w:bookmarkStart w:id="374" w:name="_Toc116990209"/>
      <w:r>
        <w:rPr>
          <w:lang w:eastAsia="hr-HR"/>
        </w:rPr>
        <w:t xml:space="preserve">Sustavi ranog upozoravanja i suradnja sa susjednim jedinicama lokalne i područne </w:t>
      </w:r>
      <w:r>
        <w:rPr/>
        <w:t>(regionalne) samouprave</w:t>
      </w:r>
      <w:bookmarkEnd w:id="373"/>
      <w:bookmarkEnd w:id="374"/>
    </w:p>
    <w:tbl>
      <w:tblPr>
        <w:tblStyle w:val="Reetkatablice141"/>
        <w:tblW w:w="9351"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804"/>
        <w:gridCol w:w="850"/>
        <w:gridCol w:w="850"/>
      </w:tblGrid>
      <w:tr>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80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700"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80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sva naselja Grada pokrivena sirenama za uzbunjivanje kojima se može objaviti nastupanje opće opasnosti?</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 li uspostavljena razmjena podataka između izvršnog tijela Grada i Područnog ureda civilne zaštite Pazin o mogućim brzo narastajućim prijetnjama velikom nesrećom?</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Postoji li obveza vatrogasnih postrojbi s područja Grada da obavijeste izvršno tijelo o intervencijama s opasnim tvarima ili kod prijetnje buktajućim požarom većeg opsega?</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poznata područja koja mogu biti zahvaćena brzo narastajućim ugrozama odnosno velikom nesrećom uzrokovane poplavom ili tehničko-tehnološkom nesrećom s opasnim tvarima?</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 li stanovništvo upoznato s mogućim posljedicama velikih nesreća i načinom provedbe samozaštite i organizirane zaštite?</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6.</w:t>
            </w:r>
          </w:p>
        </w:tc>
        <w:tc>
          <w:tcPr>
            <w:tcW w:w="6804"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Postoje li sirene kod posjednika opasnih tvari kod kojih su moguće ozbiljne izvan lokacijske posljedice?</w:t>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85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bl>
    <w:p>
      <w:pPr>
        <w:pStyle w:val="Normal"/>
        <w:rPr/>
      </w:pPr>
      <w:r>
        <w:rPr/>
      </w:r>
    </w:p>
    <w:p>
      <w:pPr>
        <w:pStyle w:val="Normal"/>
        <w:rPr>
          <w:color w:val="000000"/>
        </w:rPr>
      </w:pPr>
      <w:r>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pPr>
        <w:pStyle w:val="Normal"/>
        <w:rPr/>
      </w:pPr>
      <w:r>
        <w:rPr/>
        <w:t xml:space="preserve">Iste podatke Ravnateljstvo civilne zaštite – Područni ured Pazin dostavlja gradonačelniku koji nalaže pripravnost operativnih snaga i poduzima druge odgovarajuće mjere iz Plana djelovanja civilne zaštite Grada Buja. </w:t>
      </w:r>
    </w:p>
    <w:p>
      <w:pPr>
        <w:pStyle w:val="Normal"/>
        <w:rPr/>
      </w:pPr>
      <w:r>
        <w:rPr/>
        <w:t>U slučaju bilo koje vrste ugroza Državni hidrometeorološki zavod, Hrvatske vode, Vatrogasna zajednica, Zavod za javno zdravstvo, Veterinarska stanica te operateri koji prevoze opasne tvari dužni su o tome dostaviti podatke Županijskom centru 112.</w:t>
      </w:r>
    </w:p>
    <w:p>
      <w:pPr>
        <w:pStyle w:val="Normal"/>
        <w:rPr>
          <w:szCs w:val="22"/>
          <w:u w:val="single"/>
        </w:rPr>
      </w:pPr>
      <w:r>
        <w:rPr>
          <w:szCs w:val="22"/>
          <w:u w:val="single"/>
        </w:rPr>
        <w:t>Gradonačelnik Grada Buja informacije o mogućim ugrozama dobiva od:</w:t>
      </w:r>
    </w:p>
    <w:p>
      <w:pPr>
        <w:pStyle w:val="ListParagraph"/>
        <w:numPr>
          <w:ilvl w:val="0"/>
          <w:numId w:val="29"/>
        </w:numPr>
        <w:rPr/>
      </w:pPr>
      <w:r>
        <w:rPr/>
        <w:t xml:space="preserve">Županijskog centra 112 - Pazin, </w:t>
      </w:r>
    </w:p>
    <w:p>
      <w:pPr>
        <w:pStyle w:val="ListParagraph"/>
        <w:numPr>
          <w:ilvl w:val="0"/>
          <w:numId w:val="29"/>
        </w:numPr>
        <w:rPr/>
      </w:pPr>
      <w:r>
        <w:rPr/>
        <w:t>Područnog ureda civilne zaštite Pazin,</w:t>
      </w:r>
    </w:p>
    <w:p>
      <w:pPr>
        <w:pStyle w:val="ListParagraph"/>
        <w:numPr>
          <w:ilvl w:val="0"/>
          <w:numId w:val="29"/>
        </w:numPr>
        <w:rPr/>
      </w:pPr>
      <w:r>
        <w:rPr/>
        <w:t>Pravnih subjekta, središnjih tijela državne uprave, zavoda, institucija, inspekcija,</w:t>
      </w:r>
    </w:p>
    <w:p>
      <w:pPr>
        <w:pStyle w:val="ListParagraph"/>
        <w:numPr>
          <w:ilvl w:val="0"/>
          <w:numId w:val="29"/>
        </w:numPr>
        <w:rPr/>
      </w:pPr>
      <w:r>
        <w:rPr/>
        <w:t>Građana,</w:t>
      </w:r>
    </w:p>
    <w:p>
      <w:pPr>
        <w:pStyle w:val="ListParagraph"/>
        <w:numPr>
          <w:ilvl w:val="0"/>
          <w:numId w:val="29"/>
        </w:numPr>
        <w:rPr/>
      </w:pPr>
      <w:r>
        <w:rPr/>
        <w:t xml:space="preserve">Neposrednim stjecanjem uvida u stanje i događaje na svom području koji bi mogli pogoditi područje Grada Buja. </w:t>
      </w:r>
    </w:p>
    <w:p>
      <w:pPr>
        <w:pStyle w:val="Normal"/>
        <w:rPr>
          <w:szCs w:val="22"/>
        </w:rPr>
      </w:pPr>
      <w:r>
        <w:rPr>
          <w:szCs w:val="22"/>
        </w:rPr>
      </w:r>
    </w:p>
    <w:p>
      <w:pPr>
        <w:pStyle w:val="Normal"/>
        <w:rPr>
          <w:szCs w:val="22"/>
          <w:u w:val="single"/>
        </w:rPr>
      </w:pPr>
      <w:r>
        <w:rPr>
          <w:szCs w:val="22"/>
          <w:u w:val="single"/>
        </w:rPr>
        <w:t xml:space="preserve">Informacije kojima je cilj upozoravanje stanovništva, operativnih snaga i drugih pravnih osoba s obzirom na moguće prijetnje, gradonačelnik Grada Buja će dostaviti: </w:t>
      </w:r>
    </w:p>
    <w:p>
      <w:pPr>
        <w:pStyle w:val="ListParagraph"/>
        <w:numPr>
          <w:ilvl w:val="0"/>
          <w:numId w:val="30"/>
        </w:numPr>
        <w:rPr/>
      </w:pPr>
      <w:r>
        <w:rPr/>
        <w:t>operativnim snagama civilne zaštite koje djeluju na području Buja,</w:t>
      </w:r>
    </w:p>
    <w:p>
      <w:pPr>
        <w:pStyle w:val="ListParagraph"/>
        <w:numPr>
          <w:ilvl w:val="0"/>
          <w:numId w:val="30"/>
        </w:numPr>
        <w:rPr/>
      </w:pPr>
      <w:r>
        <w:rPr/>
        <w:t>pravnim osobama koje će poradi nekog interesa dobiti zadaće u sustavu civilne zaštite na području Grada Buja,</w:t>
      </w:r>
    </w:p>
    <w:p>
      <w:pPr>
        <w:pStyle w:val="ListParagraph"/>
        <w:numPr>
          <w:ilvl w:val="0"/>
          <w:numId w:val="30"/>
        </w:numPr>
        <w:rPr/>
      </w:pPr>
      <w:r>
        <w:rPr/>
        <w:t>pravnim osobama od posebnog interesa za sustav civilne zaštite koje postupaju prema vlastitim operativnim planovima.</w:t>
      </w:r>
    </w:p>
    <w:p>
      <w:pPr>
        <w:pStyle w:val="Normal"/>
        <w:rPr/>
      </w:pPr>
      <w:r>
        <w:rPr/>
      </w:r>
    </w:p>
    <w:p>
      <w:pPr>
        <w:pStyle w:val="Normal"/>
        <w:rPr>
          <w:lang w:eastAsia="hr-HR"/>
        </w:rPr>
      </w:pPr>
      <w:r>
        <w:rPr/>
        <w:t xml:space="preserve">U slučaju neposredne prijetnje od nastanka velike nesreće na području Grada Buja gradonačelnik </w:t>
      </w:r>
      <w:r>
        <w:rPr>
          <w:lang w:eastAsia="hr-HR"/>
        </w:rPr>
        <w:t xml:space="preserve">obavještava Župana i sve čelnike susjednih jedinica lokalne samouprave o nadolazećoj ugrozi. Sustavi ranog upozoravanja i suradnja sa susjednim jedinicama lokalne i područne (regionalne) samouprave procjenjuju se </w:t>
      </w:r>
      <w:r>
        <w:rPr>
          <w:u w:val="single"/>
          <w:lang w:eastAsia="hr-HR"/>
        </w:rPr>
        <w:t>visokom</w:t>
      </w:r>
      <w:r>
        <w:rPr>
          <w:lang w:eastAsia="hr-HR"/>
        </w:rPr>
        <w:t xml:space="preserve"> razinom spremnosti.</w:t>
      </w:r>
    </w:p>
    <w:p>
      <w:pPr>
        <w:pStyle w:val="Normal"/>
        <w:spacing w:before="0" w:after="0"/>
        <w:jc w:val="center"/>
        <w:rPr>
          <w:bCs/>
          <w:color w:val="54883D"/>
          <w:sz w:val="20"/>
          <w:szCs w:val="18"/>
        </w:rPr>
      </w:pPr>
      <w:r>
        <w:rPr>
          <w:bCs/>
          <w:color w:val="54883D"/>
          <w:sz w:val="20"/>
          <w:szCs w:val="18"/>
        </w:rPr>
      </w:r>
    </w:p>
    <w:p>
      <w:pPr>
        <w:pStyle w:val="Normal"/>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62</w:t>
      </w:r>
      <w:r>
        <w:rPr>
          <w:sz w:val="20"/>
          <w:szCs w:val="18"/>
          <w:bCs/>
          <w:color w:val="54883D"/>
        </w:rPr>
        <w:fldChar w:fldCharType="end"/>
      </w:r>
      <w:r>
        <w:rPr>
          <w:bCs/>
          <w:color w:val="54883D"/>
          <w:sz w:val="20"/>
          <w:szCs w:val="18"/>
        </w:rPr>
        <w:t>. Prikaz ocjene stanja sustava ranog upozoravanja i suradnje sa susjednim jedinicama lokalne i područne (regionalne) samouprave</w:t>
      </w:r>
    </w:p>
    <w:tbl>
      <w:tblPr>
        <w:tblStyle w:val="Reetkatablice142"/>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lang w:eastAsia="hr-HR"/>
        </w:rPr>
      </w:pPr>
      <w:r>
        <w:rPr>
          <w:lang w:eastAsia="hr-HR"/>
        </w:rPr>
      </w:r>
    </w:p>
    <w:p>
      <w:pPr>
        <w:pStyle w:val="Stilnaslova3"/>
        <w:numPr>
          <w:ilvl w:val="2"/>
          <w:numId w:val="2"/>
        </w:numPr>
        <w:ind w:left="709" w:hanging="721"/>
        <w:rPr>
          <w:lang w:eastAsia="hr-HR"/>
        </w:rPr>
      </w:pPr>
      <w:bookmarkStart w:id="375" w:name="_Toc99955762"/>
      <w:bookmarkStart w:id="376" w:name="_Toc116990210"/>
      <w:r>
        <w:rPr>
          <w:lang w:eastAsia="hr-HR"/>
        </w:rPr>
        <w:t>Stanje svijesti pojedinaca, pripadnika ranjivih skupina, upravljačkih i odgovornih tijela</w:t>
      </w:r>
      <w:bookmarkEnd w:id="375"/>
      <w:bookmarkEnd w:id="376"/>
    </w:p>
    <w:tbl>
      <w:tblPr>
        <w:tblStyle w:val="Reetkatablice143"/>
        <w:tblW w:w="8642"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520"/>
        <w:gridCol w:w="569"/>
        <w:gridCol w:w="706"/>
      </w:tblGrid>
      <w:tr>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520"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275"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520"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520"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520"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 li Stožer raspravljao o prijetnja i mjerama odgovora na iste, naročito o štetama izazvanim u posljednje tri godine te mjerama kako su se mogle spriječiti ili ublažiti?</w:t>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520"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u ugroženim naseljima organizirane javne tribine o prijetnjama, mogućim posljedicama neželjenog događaja, te načinu samozaštite ugroženog stanovništva?</w:t>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520"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520"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6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bl>
    <w:p>
      <w:pPr>
        <w:pStyle w:val="Normal"/>
        <w:rPr>
          <w:lang w:eastAsia="hr-HR"/>
        </w:rPr>
      </w:pPr>
      <w:r>
        <w:rPr>
          <w:lang w:eastAsia="hr-HR"/>
        </w:rPr>
      </w:r>
    </w:p>
    <w:p>
      <w:pPr>
        <w:pStyle w:val="Normal"/>
        <w:rPr>
          <w:lang w:eastAsia="hr-HR"/>
        </w:rPr>
      </w:pPr>
      <w:r>
        <w:rPr>
          <w:lang w:eastAsia="hr-HR"/>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kao </w:t>
      </w:r>
      <w:r>
        <w:rPr>
          <w:u w:val="single"/>
          <w:lang w:eastAsia="hr-HR"/>
        </w:rPr>
        <w:t>niska</w:t>
      </w:r>
      <w:r>
        <w:rPr>
          <w:lang w:eastAsia="hr-HR"/>
        </w:rPr>
        <w:t xml:space="preserve"> razina spremnosti.</w:t>
      </w:r>
    </w:p>
    <w:p>
      <w:pPr>
        <w:pStyle w:val="Normal"/>
        <w:spacing w:before="0" w:after="0"/>
        <w:jc w:val="center"/>
        <w:rPr>
          <w:bCs/>
          <w:color w:val="54883D"/>
          <w:sz w:val="20"/>
          <w:szCs w:val="20"/>
        </w:rPr>
      </w:pPr>
      <w:r>
        <w:rPr>
          <w:bCs/>
          <w:color w:val="54883D"/>
          <w:sz w:val="20"/>
          <w:szCs w:val="20"/>
        </w:rPr>
      </w:r>
    </w:p>
    <w:p>
      <w:pPr>
        <w:pStyle w:val="Normal"/>
        <w:spacing w:before="0" w:after="0"/>
        <w:jc w:val="center"/>
        <w:rPr>
          <w:bCs/>
          <w:color w:val="54883D"/>
          <w:sz w:val="20"/>
          <w:szCs w:val="20"/>
        </w:rPr>
      </w:pPr>
      <w:r>
        <w:rPr>
          <w:bCs/>
          <w:color w:val="54883D"/>
          <w:sz w:val="20"/>
          <w:szCs w:val="20"/>
        </w:rPr>
        <w:t xml:space="preserve">Tablica </w:t>
      </w:r>
      <w:r>
        <w:rPr>
          <w:bCs/>
          <w:color w:val="54883D"/>
          <w:sz w:val="20"/>
          <w:szCs w:val="20"/>
        </w:rPr>
        <w:fldChar w:fldCharType="begin"/>
      </w:r>
      <w:r>
        <w:rPr>
          <w:sz w:val="20"/>
          <w:szCs w:val="20"/>
          <w:bCs/>
          <w:color w:val="54883D"/>
        </w:rPr>
        <w:instrText> SEQ Tabela \* ARABIC </w:instrText>
      </w:r>
      <w:r>
        <w:rPr>
          <w:sz w:val="20"/>
          <w:szCs w:val="20"/>
          <w:bCs/>
          <w:color w:val="54883D"/>
        </w:rPr>
        <w:fldChar w:fldCharType="separate"/>
      </w:r>
      <w:r>
        <w:rPr>
          <w:sz w:val="20"/>
          <w:szCs w:val="20"/>
          <w:bCs/>
          <w:color w:val="54883D"/>
        </w:rPr>
        <w:t>63</w:t>
      </w:r>
      <w:r>
        <w:rPr>
          <w:sz w:val="20"/>
          <w:szCs w:val="20"/>
          <w:bCs/>
          <w:color w:val="54883D"/>
        </w:rPr>
        <w:fldChar w:fldCharType="end"/>
      </w:r>
      <w:r>
        <w:rPr>
          <w:bCs/>
          <w:color w:val="54883D"/>
          <w:sz w:val="20"/>
          <w:szCs w:val="20"/>
        </w:rPr>
        <w:t>. Prikaz ocjene stanja svijesti pojedinaca, pripadnika ranjivih skupina, upravljačkih i odgovornih tijela</w:t>
      </w:r>
    </w:p>
    <w:tbl>
      <w:tblPr>
        <w:tblStyle w:val="Reetkatablice144"/>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lang w:eastAsia="hr-HR"/>
        </w:rPr>
      </w:pPr>
      <w:r>
        <w:rPr>
          <w:lang w:eastAsia="hr-HR"/>
        </w:rPr>
      </w:r>
    </w:p>
    <w:p>
      <w:pPr>
        <w:pStyle w:val="Stilnaslova3"/>
        <w:numPr>
          <w:ilvl w:val="2"/>
          <w:numId w:val="2"/>
        </w:numPr>
        <w:ind w:left="709" w:hanging="721"/>
        <w:rPr>
          <w:lang w:eastAsia="hr-HR"/>
        </w:rPr>
      </w:pPr>
      <w:bookmarkStart w:id="377" w:name="_Toc99955763"/>
      <w:bookmarkStart w:id="378" w:name="_Toc116990211"/>
      <w:r>
        <w:rPr>
          <w:lang w:eastAsia="hr-HR"/>
        </w:rPr>
        <w:t>Ocjena stanja prostornog planiranja, izrade prostornih i urbanističkih planova razvoja, planskog korištenja zemljišta</w:t>
      </w:r>
      <w:bookmarkEnd w:id="377"/>
      <w:bookmarkEnd w:id="378"/>
    </w:p>
    <w:tbl>
      <w:tblPr>
        <w:tblStyle w:val="Reetkatablice145"/>
        <w:tblW w:w="9173" w:type="dxa"/>
        <w:jc w:val="center"/>
        <w:tblInd w:w="0" w:type="dxa"/>
        <w:tblCellMar>
          <w:top w:w="0" w:type="dxa"/>
          <w:left w:w="108" w:type="dxa"/>
          <w:bottom w:w="0" w:type="dxa"/>
          <w:right w:w="108" w:type="dxa"/>
        </w:tblCellMar>
        <w:tblLook w:firstRow="1" w:noVBand="1" w:lastRow="0" w:firstColumn="1" w:lastColumn="0" w:noHBand="0" w:val="04a0"/>
      </w:tblPr>
      <w:tblGrid>
        <w:gridCol w:w="844"/>
        <w:gridCol w:w="6947"/>
        <w:gridCol w:w="775"/>
        <w:gridCol w:w="606"/>
      </w:tblGrid>
      <w:tr>
        <w:trPr/>
        <w:tc>
          <w:tcPr>
            <w:tcW w:w="84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947"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381"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947"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947"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947"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doneseni urbanistički planovi naselja i gospodarstva i jesu li u njima za građenje izostavljena područja u kojima zaštita nije djelotvorna (inundacijska područja, aktivna klizišta i dr.)</w:t>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947"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u područjima velike opasnosti utvrđen broj nelegalnih objekata koji imaju dvojbenu otpornost na posljedice tih prijetnji?</w:t>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947"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u prostorni plan uvrštene lokacije za ukop poginulih osoba i životinja?</w:t>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947"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u prostorni plan uvrštene lokacije za privremeno odlaganje otpada nastalog kao posljedice velikih nesreća?</w:t>
            </w:r>
          </w:p>
        </w:tc>
        <w:tc>
          <w:tcPr>
            <w:tcW w:w="77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bl>
    <w:p>
      <w:pPr>
        <w:pStyle w:val="Normal"/>
        <w:rPr/>
      </w:pPr>
      <w:r>
        <w:rPr/>
      </w:r>
    </w:p>
    <w:p>
      <w:pPr>
        <w:pStyle w:val="Normal"/>
        <w:rPr>
          <w:szCs w:val="22"/>
        </w:rPr>
      </w:pPr>
      <w:r>
        <w:rPr/>
        <w:t xml:space="preserve">Procjena spremnosti sustava civilne zaštite procijenjena  na temelju ocjene stanja prostornog planiranja, izrade prostornih i urbanističkih planova razvoja, provođenja legalizacije te planskog korištenja zemljišta. Grad Buje raspolaže sa sljedećim dokumentima prostornog </w:t>
      </w:r>
      <w:r>
        <w:rPr>
          <w:szCs w:val="22"/>
        </w:rPr>
        <w:t>planiranja:</w:t>
      </w:r>
    </w:p>
    <w:p>
      <w:pPr>
        <w:pStyle w:val="Normal"/>
        <w:rPr>
          <w:rFonts w:eastAsia="" w:eastAsiaTheme="minorEastAsia"/>
          <w:color w:val="auto"/>
          <w:szCs w:val="22"/>
          <w:lang w:eastAsia="hr-HR"/>
        </w:rPr>
      </w:pPr>
      <w:r>
        <w:rPr>
          <w:rFonts w:eastAsia="" w:eastAsiaTheme="minorEastAsia"/>
          <w:color w:val="auto"/>
          <w:szCs w:val="22"/>
          <w:lang w:eastAsia="hr-HR"/>
        </w:rPr>
        <w:t>Prostorni planovi na snazi na području Grada Buje - Buie:</w:t>
      </w:r>
    </w:p>
    <w:p>
      <w:pPr>
        <w:pStyle w:val="Normal"/>
        <w:numPr>
          <w:ilvl w:val="0"/>
          <w:numId w:val="38"/>
        </w:numPr>
        <w:tabs>
          <w:tab w:val="clear" w:pos="708"/>
          <w:tab w:val="left" w:pos="2445" w:leader="none"/>
        </w:tabs>
        <w:spacing w:before="120" w:after="120"/>
        <w:contextualSpacing/>
        <w:rPr>
          <w:color w:val="auto"/>
          <w:szCs w:val="20"/>
          <w:lang w:bidi="en-US"/>
        </w:rPr>
      </w:pPr>
      <w:r>
        <w:rPr>
          <w:color w:val="auto"/>
          <w:szCs w:val="20"/>
        </w:rPr>
        <w:t>Prostorni plan uređenja Grada Buje (SN Grada Buja 02/05, 10/11, 01/12, 5/15, 21/18),</w:t>
      </w:r>
    </w:p>
    <w:p>
      <w:pPr>
        <w:pStyle w:val="Normal"/>
        <w:numPr>
          <w:ilvl w:val="0"/>
          <w:numId w:val="38"/>
        </w:numPr>
        <w:tabs>
          <w:tab w:val="clear" w:pos="708"/>
          <w:tab w:val="left" w:pos="2445" w:leader="none"/>
        </w:tabs>
        <w:spacing w:before="120" w:after="120"/>
        <w:contextualSpacing/>
        <w:rPr>
          <w:color w:val="auto"/>
          <w:szCs w:val="20"/>
          <w:lang w:bidi="en-US"/>
        </w:rPr>
      </w:pPr>
      <w:r>
        <w:rPr>
          <w:color w:val="auto"/>
          <w:szCs w:val="20"/>
          <w:lang w:bidi="en-US"/>
        </w:rPr>
        <w:t>Urbanistički plan uređenja dijela naselja Buje: Rudine – V. Nazor– Korištenje i namjena površina (</w:t>
      </w:r>
      <w:r>
        <w:rPr>
          <w:color w:val="auto"/>
          <w:szCs w:val="20"/>
        </w:rPr>
        <w:t>29.04.2010.)</w:t>
      </w:r>
    </w:p>
    <w:p>
      <w:pPr>
        <w:pStyle w:val="Normal"/>
        <w:numPr>
          <w:ilvl w:val="0"/>
          <w:numId w:val="38"/>
        </w:numPr>
        <w:tabs>
          <w:tab w:val="clear" w:pos="708"/>
          <w:tab w:val="left" w:pos="2445" w:leader="none"/>
        </w:tabs>
        <w:spacing w:before="120" w:after="120"/>
        <w:contextualSpacing/>
        <w:rPr>
          <w:color w:val="auto"/>
          <w:szCs w:val="20"/>
          <w:lang w:bidi="en-US"/>
        </w:rPr>
      </w:pPr>
      <w:r>
        <w:rPr>
          <w:color w:val="auto"/>
          <w:szCs w:val="20"/>
          <w:lang w:bidi="en-US"/>
        </w:rPr>
        <w:t>Urbanistički plan uređenja dijela naselja Buje: San Sebastijan (29.11.2011.)</w:t>
      </w:r>
    </w:p>
    <w:p>
      <w:pPr>
        <w:pStyle w:val="Normal"/>
        <w:numPr>
          <w:ilvl w:val="0"/>
          <w:numId w:val="38"/>
        </w:numPr>
        <w:tabs>
          <w:tab w:val="clear" w:pos="708"/>
          <w:tab w:val="left" w:pos="2445" w:leader="none"/>
        </w:tabs>
        <w:spacing w:before="120" w:after="120"/>
        <w:contextualSpacing/>
        <w:rPr>
          <w:color w:val="auto"/>
          <w:szCs w:val="20"/>
          <w:lang w:bidi="en-US"/>
        </w:rPr>
      </w:pPr>
      <w:r>
        <w:rPr>
          <w:color w:val="auto"/>
          <w:szCs w:val="20"/>
          <w:lang w:bidi="en-US"/>
        </w:rPr>
        <w:t>Urbanistički plan uređenja Glavice (29.11.2011.)</w:t>
      </w:r>
    </w:p>
    <w:p>
      <w:pPr>
        <w:pStyle w:val="Normal"/>
        <w:numPr>
          <w:ilvl w:val="0"/>
          <w:numId w:val="38"/>
        </w:numPr>
        <w:tabs>
          <w:tab w:val="clear" w:pos="708"/>
          <w:tab w:val="left" w:pos="2445" w:leader="none"/>
        </w:tabs>
        <w:spacing w:before="120" w:after="120"/>
        <w:contextualSpacing/>
        <w:rPr>
          <w:color w:val="auto"/>
          <w:szCs w:val="20"/>
          <w:lang w:bidi="en-US"/>
        </w:rPr>
      </w:pPr>
      <w:r>
        <w:rPr>
          <w:color w:val="auto"/>
          <w:szCs w:val="20"/>
          <w:lang w:bidi="en-US"/>
        </w:rPr>
        <w:t>Urbanistički plan uređenja Područja Mazurija (25.05.2012.)</w:t>
      </w:r>
    </w:p>
    <w:p>
      <w:pPr>
        <w:pStyle w:val="Normal"/>
        <w:spacing w:before="120" w:after="120"/>
        <w:rPr>
          <w:rFonts w:eastAsia="" w:eastAsiaTheme="minorEastAsia"/>
          <w:color w:val="auto"/>
          <w:szCs w:val="22"/>
          <w:lang w:eastAsia="hr-HR"/>
        </w:rPr>
      </w:pPr>
      <w:r>
        <w:rPr>
          <w:rFonts w:eastAsia="" w:eastAsiaTheme="minorEastAsia"/>
          <w:color w:val="auto"/>
          <w:szCs w:val="22"/>
          <w:lang w:eastAsia="hr-HR"/>
        </w:rPr>
        <w:t xml:space="preserve">Na </w:t>
      </w:r>
      <w:r>
        <w:rPr>
          <w:rFonts w:eastAsia="" w:eastAsiaTheme="minorEastAsia"/>
          <w:szCs w:val="22"/>
          <w:lang w:eastAsia="hr-HR"/>
        </w:rPr>
        <w:t xml:space="preserve">području Grada Buje - Buie provodi se </w:t>
      </w:r>
      <w:r>
        <w:rPr>
          <w:rFonts w:eastAsia="" w:eastAsiaTheme="minorEastAsia"/>
          <w:color w:val="auto"/>
          <w:szCs w:val="22"/>
          <w:lang w:eastAsia="hr-HR"/>
        </w:rPr>
        <w:t>legalizacija građevina sukladno zakonskim propisima.</w:t>
      </w:r>
    </w:p>
    <w:p>
      <w:pPr>
        <w:pStyle w:val="Normal"/>
        <w:rPr>
          <w:szCs w:val="22"/>
          <w:highlight w:val="white"/>
        </w:rPr>
      </w:pPr>
      <w:r>
        <w:rPr>
          <w:szCs w:val="22"/>
          <w:shd w:fill="FFFFFF" w:val="clear"/>
        </w:rPr>
        <w:t>U postupcima izdavanja lokacijskih i građevinskih dozvola prvenstveno se</w:t>
      </w:r>
      <w:r>
        <w:rPr>
          <w:szCs w:val="22"/>
        </w:rPr>
        <w:t xml:space="preserve"> </w:t>
      </w:r>
      <w:r>
        <w:rPr>
          <w:szCs w:val="22"/>
          <w:shd w:fill="FFFFFF" w:val="clear"/>
        </w:rPr>
        <w:t>primjenjuju:</w:t>
      </w:r>
    </w:p>
    <w:p>
      <w:pPr>
        <w:pStyle w:val="ListParagraph"/>
        <w:numPr>
          <w:ilvl w:val="0"/>
          <w:numId w:val="31"/>
        </w:numPr>
        <w:rPr/>
      </w:pPr>
      <w:r>
        <w:rPr/>
        <w:t>Zakon o prostornom uređenju (NN 153/13, 65/17, 114/18, 39/19. i 98/19.),</w:t>
      </w:r>
    </w:p>
    <w:p>
      <w:pPr>
        <w:pStyle w:val="ListParagraph"/>
        <w:numPr>
          <w:ilvl w:val="0"/>
          <w:numId w:val="31"/>
        </w:numPr>
        <w:rPr/>
      </w:pPr>
      <w:r>
        <w:rPr/>
        <w:t>Zakon o gradnji (NN153/13., 20/17., 39/19. i 125/19.) te drugi zakoni, posebni propisi i tehnički normativi, ovisno o vrsti zahvata u prostoru</w:t>
      </w:r>
    </w:p>
    <w:p>
      <w:pPr>
        <w:pStyle w:val="ListParagraph"/>
        <w:numPr>
          <w:ilvl w:val="0"/>
          <w:numId w:val="31"/>
        </w:numPr>
        <w:rPr/>
      </w:pPr>
      <w:r>
        <w:rPr/>
        <w:t>Zahtjevi zaštite i spašavanja u dokumentima prostornog uređenja</w:t>
      </w:r>
    </w:p>
    <w:p>
      <w:pPr>
        <w:pStyle w:val="Normal"/>
        <w:rPr>
          <w:szCs w:val="22"/>
          <w:lang w:eastAsia="hr-HR"/>
        </w:rPr>
      </w:pPr>
      <w:r>
        <w:rPr>
          <w:szCs w:val="22"/>
          <w:lang w:eastAsia="hr-HR"/>
        </w:rPr>
        <w:t xml:space="preserve">Stanje prostornog planiranja, izrade prostornih i urbanističkih planova razvoja, planskog korištenja zemljišta procjenjuje se kao </w:t>
      </w:r>
      <w:r>
        <w:rPr>
          <w:szCs w:val="22"/>
          <w:u w:val="single"/>
          <w:lang w:eastAsia="hr-HR"/>
        </w:rPr>
        <w:t>visoka</w:t>
      </w:r>
      <w:r>
        <w:rPr>
          <w:szCs w:val="22"/>
          <w:lang w:eastAsia="hr-HR"/>
        </w:rPr>
        <w:t xml:space="preserve"> razina spremnosti.</w:t>
      </w:r>
    </w:p>
    <w:p>
      <w:pPr>
        <w:pStyle w:val="Normal"/>
        <w:rPr>
          <w:szCs w:val="22"/>
          <w:lang w:eastAsia="hr-HR"/>
        </w:rPr>
      </w:pPr>
      <w:r>
        <w:rPr>
          <w:szCs w:val="22"/>
          <w:lang w:eastAsia="hr-HR"/>
        </w:rPr>
      </w:r>
    </w:p>
    <w:p>
      <w:pPr>
        <w:pStyle w:val="Normal"/>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64</w:t>
      </w:r>
      <w:r>
        <w:rPr>
          <w:sz w:val="20"/>
          <w:szCs w:val="18"/>
          <w:bCs/>
          <w:color w:val="54883D"/>
        </w:rPr>
        <w:fldChar w:fldCharType="end"/>
      </w:r>
      <w:r>
        <w:rPr>
          <w:bCs/>
          <w:color w:val="54883D"/>
          <w:sz w:val="20"/>
          <w:szCs w:val="18"/>
        </w:rPr>
        <w:t>. Prikaz ocjena stanja prostornog planiranja, izrade prostornih i urbanističkih planova razvoja, planskog korištenja zemljišta</w:t>
      </w:r>
    </w:p>
    <w:tbl>
      <w:tblPr>
        <w:tblStyle w:val="Reetkatablice146"/>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szCs w:val="22"/>
          <w:lang w:eastAsia="hr-HR"/>
        </w:rPr>
      </w:pPr>
      <w:r>
        <w:rPr>
          <w:szCs w:val="22"/>
          <w:lang w:eastAsia="hr-HR"/>
        </w:rPr>
      </w:r>
    </w:p>
    <w:p>
      <w:pPr>
        <w:pStyle w:val="Stilnaslova3"/>
        <w:numPr>
          <w:ilvl w:val="2"/>
          <w:numId w:val="2"/>
        </w:numPr>
        <w:ind w:left="709" w:hanging="721"/>
        <w:rPr>
          <w:lang w:eastAsia="hr-HR"/>
        </w:rPr>
      </w:pPr>
      <w:bookmarkStart w:id="379" w:name="_Toc99955764"/>
      <w:bookmarkStart w:id="380" w:name="_Toc116990212"/>
      <w:r>
        <w:rPr>
          <w:lang w:eastAsia="hr-HR"/>
        </w:rPr>
        <w:t>Ocjena fiskalne situacije i njezine perspektive</w:t>
      </w:r>
      <w:bookmarkEnd w:id="379"/>
      <w:bookmarkEnd w:id="380"/>
    </w:p>
    <w:tbl>
      <w:tblPr>
        <w:tblStyle w:val="Reetkatablice1421"/>
        <w:tblW w:w="8926"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661"/>
        <w:gridCol w:w="709"/>
        <w:gridCol w:w="709"/>
      </w:tblGrid>
      <w:tr>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661"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41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661"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661"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predviđena financijska sredstva, za realizaciju preventivnih mjera, koja uključuju sustav civilne zaštite?</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ind w:hanging="111"/>
              <w:jc w:val="center"/>
              <w:rPr>
                <w:b/>
                <w:b/>
                <w:sz w:val="20"/>
                <w:szCs w:val="20"/>
              </w:rPr>
            </w:pPr>
            <w:r>
              <w:rPr>
                <w:rFonts w:eastAsia="Times New Roman" w:cs="Times New Roman" w:ascii="Times New Roman" w:hAnsi="Times New Roman"/>
                <w:b/>
                <w:sz w:val="20"/>
                <w:szCs w:val="20"/>
                <w:lang w:eastAsia="hr-HR"/>
              </w:rPr>
              <w:t>x</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661"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predviđena financijska sredstva za provedbu mjera reagiranja u slučaju prijetnje koja može uzrokovati veliku nesreću?</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661"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predviđena financijska sredstva za povrat u funkciju ugroženog područja (proračunska zaliha)?</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661" w:type="dxa"/>
            <w:tcBorders>
              <w:top w:val="single" w:sz="4" w:space="0" w:color="54883D"/>
              <w:left w:val="single" w:sz="4" w:space="0" w:color="54883D"/>
              <w:bottom w:val="single" w:sz="4" w:space="0" w:color="54883D"/>
              <w:right w:val="single" w:sz="4" w:space="0" w:color="54883D"/>
            </w:tcBorders>
          </w:tcPr>
          <w:p>
            <w:pPr>
              <w:pStyle w:val="Normal"/>
              <w:spacing w:lineRule="auto" w:line="240" w:before="80" w:after="0"/>
              <w:rPr>
                <w:sz w:val="20"/>
                <w:szCs w:val="20"/>
              </w:rPr>
            </w:pPr>
            <w:r>
              <w:rPr>
                <w:rFonts w:eastAsia="Times New Roman" w:cs="Times New Roman" w:ascii="Times New Roman" w:hAnsi="Times New Roman"/>
                <w:sz w:val="20"/>
                <w:szCs w:val="20"/>
                <w:lang w:eastAsia="hr-HR"/>
              </w:rPr>
              <w:t>Jesu li predviđena sredstva za opremanje operativnih snaga sustava civilne zaštite (povjerenici civilne zaštite i dr.)</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bl>
    <w:p>
      <w:pPr>
        <w:pStyle w:val="Normal"/>
        <w:rPr/>
      </w:pPr>
      <w:r>
        <w:rPr/>
      </w:r>
    </w:p>
    <w:tbl>
      <w:tblPr>
        <w:tblStyle w:val="Reetkatablice10"/>
        <w:tblW w:w="7366" w:type="dxa"/>
        <w:jc w:val="center"/>
        <w:tblInd w:w="0" w:type="dxa"/>
        <w:tblCellMar>
          <w:top w:w="0" w:type="dxa"/>
          <w:left w:w="108" w:type="dxa"/>
          <w:bottom w:w="0" w:type="dxa"/>
          <w:right w:w="108" w:type="dxa"/>
        </w:tblCellMar>
        <w:tblLook w:firstRow="1" w:noVBand="1" w:lastRow="0" w:firstColumn="1" w:lastColumn="0" w:noHBand="0" w:val="04a0"/>
      </w:tblPr>
      <w:tblGrid>
        <w:gridCol w:w="421"/>
        <w:gridCol w:w="3259"/>
        <w:gridCol w:w="3686"/>
      </w:tblGrid>
      <w:tr>
        <w:trPr>
          <w:trHeight w:val="403" w:hRule="atLeast"/>
        </w:trPr>
        <w:tc>
          <w:tcPr>
            <w:tcW w:w="42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lang w:bidi="en-US"/>
              </w:rPr>
            </w:pPr>
            <w:r>
              <w:rPr>
                <w:rFonts w:eastAsia="Times New Roman" w:cs="Times New Roman" w:ascii="Times New Roman" w:hAnsi="Times New Roman"/>
                <w:sz w:val="20"/>
                <w:szCs w:val="24"/>
                <w:lang w:eastAsia="hr-HR" w:bidi="en-US"/>
              </w:rPr>
              <w:t>1.</w:t>
            </w:r>
          </w:p>
        </w:tc>
        <w:tc>
          <w:tcPr>
            <w:tcW w:w="325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 xml:space="preserve">Civilna zaštita </w:t>
            </w:r>
          </w:p>
        </w:tc>
        <w:tc>
          <w:tcPr>
            <w:tcW w:w="36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40.000,00</w:t>
            </w:r>
          </w:p>
        </w:tc>
      </w:tr>
      <w:tr>
        <w:trPr>
          <w:trHeight w:val="403" w:hRule="atLeast"/>
        </w:trPr>
        <w:tc>
          <w:tcPr>
            <w:tcW w:w="42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lang w:bidi="en-US"/>
              </w:rPr>
            </w:pPr>
            <w:r>
              <w:rPr>
                <w:rFonts w:eastAsia="Times New Roman" w:cs="Times New Roman" w:ascii="Times New Roman" w:hAnsi="Times New Roman"/>
                <w:sz w:val="20"/>
                <w:szCs w:val="24"/>
                <w:lang w:eastAsia="hr-HR" w:bidi="en-US"/>
              </w:rPr>
              <w:t>2.</w:t>
            </w:r>
          </w:p>
        </w:tc>
        <w:tc>
          <w:tcPr>
            <w:tcW w:w="325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DVD Buje</w:t>
            </w:r>
          </w:p>
        </w:tc>
        <w:tc>
          <w:tcPr>
            <w:tcW w:w="36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10.000,00</w:t>
            </w:r>
          </w:p>
        </w:tc>
      </w:tr>
      <w:tr>
        <w:trPr>
          <w:trHeight w:val="403" w:hRule="atLeast"/>
        </w:trPr>
        <w:tc>
          <w:tcPr>
            <w:tcW w:w="42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lang w:bidi="en-US"/>
              </w:rPr>
            </w:pPr>
            <w:r>
              <w:rPr>
                <w:rFonts w:eastAsia="Times New Roman" w:cs="Times New Roman" w:ascii="Times New Roman" w:hAnsi="Times New Roman"/>
                <w:sz w:val="20"/>
                <w:szCs w:val="24"/>
                <w:lang w:eastAsia="hr-HR" w:bidi="en-US"/>
              </w:rPr>
              <w:t>3.</w:t>
            </w:r>
          </w:p>
        </w:tc>
        <w:tc>
          <w:tcPr>
            <w:tcW w:w="325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JVP Umag</w:t>
            </w:r>
          </w:p>
        </w:tc>
        <w:tc>
          <w:tcPr>
            <w:tcW w:w="36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1.350.000,00</w:t>
            </w:r>
          </w:p>
        </w:tc>
      </w:tr>
      <w:tr>
        <w:trPr>
          <w:trHeight w:val="403" w:hRule="atLeast"/>
        </w:trPr>
        <w:tc>
          <w:tcPr>
            <w:tcW w:w="421"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rPr>
                <w:sz w:val="20"/>
                <w:lang w:bidi="en-US"/>
              </w:rPr>
            </w:pPr>
            <w:r>
              <w:rPr>
                <w:rFonts w:eastAsia="Times New Roman" w:cs="Times New Roman" w:ascii="Times New Roman" w:hAnsi="Times New Roman"/>
                <w:sz w:val="20"/>
                <w:szCs w:val="24"/>
                <w:lang w:eastAsia="hr-HR" w:bidi="en-US"/>
              </w:rPr>
              <w:t>4.</w:t>
            </w:r>
          </w:p>
        </w:tc>
        <w:tc>
          <w:tcPr>
            <w:tcW w:w="325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Gradsko društvo Crvenog križa Buje</w:t>
            </w:r>
          </w:p>
        </w:tc>
        <w:tc>
          <w:tcPr>
            <w:tcW w:w="36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sz w:val="20"/>
                <w:lang w:bidi="en-US"/>
              </w:rPr>
            </w:pPr>
            <w:r>
              <w:rPr>
                <w:rFonts w:eastAsia="Times New Roman" w:cs="Times New Roman" w:ascii="Times New Roman" w:hAnsi="Times New Roman"/>
                <w:sz w:val="20"/>
                <w:szCs w:val="24"/>
                <w:lang w:eastAsia="hr-HR" w:bidi="en-US"/>
              </w:rPr>
              <w:t>95.720,00</w:t>
            </w:r>
          </w:p>
        </w:tc>
      </w:tr>
      <w:tr>
        <w:trPr>
          <w:trHeight w:val="403" w:hRule="atLeast"/>
        </w:trPr>
        <w:tc>
          <w:tcPr>
            <w:tcW w:w="3680"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right"/>
              <w:rPr>
                <w:b/>
                <w:b/>
                <w:sz w:val="20"/>
                <w:lang w:bidi="en-US"/>
              </w:rPr>
            </w:pPr>
            <w:r>
              <w:rPr>
                <w:rFonts w:eastAsia="Times New Roman" w:cs="Times New Roman" w:ascii="Times New Roman" w:hAnsi="Times New Roman"/>
                <w:b/>
                <w:sz w:val="20"/>
                <w:szCs w:val="24"/>
                <w:lang w:eastAsia="hr-HR" w:bidi="en-US"/>
              </w:rPr>
              <w:t>UKUPNO:</w:t>
            </w:r>
          </w:p>
        </w:tc>
        <w:tc>
          <w:tcPr>
            <w:tcW w:w="368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b/>
                <w:b/>
                <w:sz w:val="20"/>
                <w:lang w:bidi="en-US"/>
              </w:rPr>
            </w:pPr>
            <w:r>
              <w:rPr>
                <w:b/>
                <w:sz w:val="20"/>
                <w:szCs w:val="24"/>
                <w:lang w:eastAsia="hr-HR" w:bidi="en-US"/>
              </w:rPr>
            </w:r>
            <w:bookmarkStart w:id="381" w:name="_Hlk92872281"/>
            <w:bookmarkStart w:id="382" w:name="_Hlk92872281"/>
            <w:bookmarkEnd w:id="382"/>
          </w:p>
        </w:tc>
      </w:tr>
    </w:tbl>
    <w:p>
      <w:pPr>
        <w:pStyle w:val="Normal"/>
        <w:spacing w:before="120" w:after="120"/>
        <w:rPr>
          <w:color w:val="auto"/>
        </w:rPr>
      </w:pPr>
      <w:r>
        <w:rPr>
          <w:color w:val="auto"/>
        </w:rPr>
      </w:r>
    </w:p>
    <w:p>
      <w:pPr>
        <w:pStyle w:val="Normal"/>
        <w:spacing w:before="120" w:after="120"/>
        <w:rPr>
          <w:color w:val="auto"/>
        </w:rPr>
      </w:pPr>
      <w:r>
        <w:rPr>
          <w:color w:val="auto"/>
        </w:rPr>
        <w:t xml:space="preserve">Uvidom u stavke proračuna za 2022. godinu vidljivo je da Grad Buje ulaže znatna sredstva u operativne snage civilne zaštite (vatrogastvo, zdravstvo i udruge) dok se ne planira iznos za opremanje i uvježbavanje postrojbe i povjerenika civilne zaštite, osposobljavanje i vježbe civilne zaštite. Razlog tomu je procjena odgovornih osoba Grada da je sredstva potrebno ulagati u jačanje postojećih snaga koje su svojim ljudstvom i materijalno tehničkim sredstvima spremne na brzu i efikasnu reakciju u slučaju velike nesreće. Zbog svega navedenog, ocjena fiskalne situacije i njezine perspektive procijenjena je </w:t>
      </w:r>
      <w:r>
        <w:rPr>
          <w:rFonts w:eastAsia="" w:eastAsiaTheme="minorEastAsia"/>
          <w:color w:val="auto"/>
          <w:szCs w:val="22"/>
          <w:u w:val="single"/>
          <w:lang w:eastAsia="hr-HR"/>
        </w:rPr>
        <w:t>visokom</w:t>
      </w:r>
      <w:r>
        <w:rPr>
          <w:color w:val="auto"/>
        </w:rPr>
        <w:t xml:space="preserve"> razinom spremnosti. </w:t>
      </w:r>
    </w:p>
    <w:p>
      <w:pPr>
        <w:pStyle w:val="Normal"/>
        <w:spacing w:before="120" w:after="120"/>
        <w:rPr>
          <w:color w:val="auto"/>
        </w:rPr>
      </w:pPr>
      <w:r>
        <w:rPr>
          <w:color w:val="auto"/>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65</w:t>
      </w:r>
      <w:r>
        <w:rPr>
          <w:sz w:val="20"/>
          <w:szCs w:val="18"/>
          <w:bCs/>
          <w:color w:val="54883D"/>
        </w:rPr>
        <w:fldChar w:fldCharType="end"/>
      </w:r>
      <w:r>
        <w:rPr>
          <w:bCs/>
          <w:color w:val="54883D"/>
          <w:sz w:val="20"/>
          <w:szCs w:val="18"/>
        </w:rPr>
        <w:t>. Prikaz ocjena fiskalne situacije i njezine perspektive</w:t>
      </w:r>
    </w:p>
    <w:tbl>
      <w:tblPr>
        <w:tblStyle w:val="Reetkatablice1422"/>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spacing w:before="120" w:after="120"/>
        <w:rPr>
          <w:color w:val="auto"/>
        </w:rPr>
      </w:pPr>
      <w:r>
        <w:rPr>
          <w:color w:val="auto"/>
        </w:rPr>
      </w:r>
    </w:p>
    <w:p>
      <w:pPr>
        <w:pStyle w:val="Normal"/>
        <w:spacing w:before="120" w:after="120"/>
        <w:rPr>
          <w:color w:val="auto"/>
        </w:rPr>
      </w:pPr>
      <w:r>
        <w:rPr>
          <w:color w:val="auto"/>
        </w:rPr>
      </w:r>
    </w:p>
    <w:p>
      <w:pPr>
        <w:pStyle w:val="Normal"/>
        <w:spacing w:before="0" w:after="0"/>
        <w:rPr/>
      </w:pPr>
      <w:r>
        <w:rPr/>
      </w:r>
    </w:p>
    <w:p>
      <w:pPr>
        <w:pStyle w:val="Stilnaslova3"/>
        <w:numPr>
          <w:ilvl w:val="2"/>
          <w:numId w:val="2"/>
        </w:numPr>
        <w:ind w:left="709" w:hanging="721"/>
        <w:rPr>
          <w:lang w:eastAsia="hr-HR"/>
        </w:rPr>
      </w:pPr>
      <w:bookmarkStart w:id="383" w:name="_Toc99955765"/>
      <w:bookmarkStart w:id="384" w:name="_Toc116990213"/>
      <w:r>
        <w:rPr>
          <w:lang w:eastAsia="hr-HR"/>
        </w:rPr>
        <w:t>Baza podataka</w:t>
      </w:r>
      <w:bookmarkEnd w:id="383"/>
      <w:bookmarkEnd w:id="384"/>
    </w:p>
    <w:tbl>
      <w:tblPr>
        <w:tblStyle w:val="Reetkatablice1423"/>
        <w:tblW w:w="8926"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661"/>
        <w:gridCol w:w="712"/>
        <w:gridCol w:w="706"/>
      </w:tblGrid>
      <w:tr>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661"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418"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661"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o pripadnicima operativnih snaga civilne zaštite?</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o članovima Stožera civilne zaštite, povjerenicima i zamjenicima povjerenika civilne zaštite?</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o pravnim osobama od interesa za sustav civilne zaštite?</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o prirodnim nepogodama i štetama koje su iste prouzročile?</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o otkazivanju kritične infrastrukture?</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6.</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Postoji li baza podataka s osobama s invaliditetom, osobama s posebnim potrebama, starijima i nemoćnima?</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7.</w:t>
            </w:r>
          </w:p>
        </w:tc>
        <w:tc>
          <w:tcPr>
            <w:tcW w:w="6661"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Ažuriraju li se navedene baze podataka redovito?</w:t>
            </w:r>
          </w:p>
        </w:tc>
        <w:tc>
          <w:tcPr>
            <w:tcW w:w="712"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6"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bl>
    <w:p>
      <w:pPr>
        <w:pStyle w:val="Normal"/>
        <w:spacing w:before="80" w:after="0"/>
        <w:rPr/>
      </w:pPr>
      <w:r>
        <w:rPr/>
      </w:r>
    </w:p>
    <w:p>
      <w:pPr>
        <w:pStyle w:val="Normal"/>
        <w:spacing w:before="80" w:after="0"/>
        <w:rPr/>
      </w:pPr>
      <w:r>
        <w:rPr/>
        <w:t>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Grad Buje ima evidenciju za:</w:t>
      </w:r>
    </w:p>
    <w:p>
      <w:pPr>
        <w:pStyle w:val="ListParagraph"/>
        <w:numPr>
          <w:ilvl w:val="0"/>
          <w:numId w:val="50"/>
        </w:numPr>
        <w:rPr>
          <w:u w:val="single"/>
        </w:rPr>
      </w:pPr>
      <w:r>
        <w:rPr/>
        <w:t>članove Stožera Civilne zaštite</w:t>
      </w:r>
    </w:p>
    <w:p>
      <w:pPr>
        <w:pStyle w:val="ListParagraph"/>
        <w:numPr>
          <w:ilvl w:val="0"/>
          <w:numId w:val="50"/>
        </w:numPr>
        <w:rPr>
          <w:u w:val="single"/>
        </w:rPr>
      </w:pPr>
      <w:r>
        <w:rPr/>
        <w:t xml:space="preserve">povjerenike civilne zaštite, </w:t>
      </w:r>
    </w:p>
    <w:p>
      <w:pPr>
        <w:pStyle w:val="ListParagraph"/>
        <w:numPr>
          <w:ilvl w:val="0"/>
          <w:numId w:val="50"/>
        </w:numPr>
        <w:rPr>
          <w:u w:val="single"/>
        </w:rPr>
      </w:pPr>
      <w:r>
        <w:rPr/>
        <w:t xml:space="preserve">vatrogasne snage na području Grada, </w:t>
      </w:r>
    </w:p>
    <w:p>
      <w:pPr>
        <w:pStyle w:val="ListParagraph"/>
        <w:numPr>
          <w:ilvl w:val="0"/>
          <w:numId w:val="50"/>
        </w:numPr>
        <w:rPr>
          <w:u w:val="single"/>
        </w:rPr>
      </w:pPr>
      <w:r>
        <w:rPr/>
        <w:t xml:space="preserve">druge operativne snage iz sustava civilne zaštite na području Grada, odgovorne osobe i materijalno tehnička sredstva, </w:t>
      </w:r>
    </w:p>
    <w:p>
      <w:pPr>
        <w:pStyle w:val="ListParagraph"/>
        <w:numPr>
          <w:ilvl w:val="0"/>
          <w:numId w:val="50"/>
        </w:numPr>
        <w:rPr/>
      </w:pPr>
      <w:r>
        <w:rPr/>
        <w:t>popis operativnih snaga koje djeluju na području Grada a nisu u nadležnosti Grada i postupaju prema vlastitom operativnom planu,</w:t>
      </w:r>
    </w:p>
    <w:p>
      <w:pPr>
        <w:pStyle w:val="ListParagraph"/>
        <w:numPr>
          <w:ilvl w:val="0"/>
          <w:numId w:val="50"/>
        </w:numPr>
        <w:rPr>
          <w:u w:val="single"/>
        </w:rPr>
      </w:pPr>
      <w:r>
        <w:rPr/>
        <w:t xml:space="preserve">pravne osobe u sustavu civilne zaštite. </w:t>
      </w:r>
    </w:p>
    <w:p>
      <w:pPr>
        <w:pStyle w:val="Normal"/>
        <w:rPr>
          <w:u w:val="single"/>
        </w:rPr>
      </w:pPr>
      <w:r>
        <w:rPr/>
        <w:t xml:space="preserve">Razina spremnosti ove kategorije je procijenjena </w:t>
      </w:r>
      <w:r>
        <w:rPr>
          <w:u w:val="single"/>
        </w:rPr>
        <w:t>visokom.</w:t>
      </w:r>
    </w:p>
    <w:p>
      <w:pPr>
        <w:pStyle w:val="Normal"/>
        <w:rPr>
          <w:u w:val="single"/>
        </w:rPr>
      </w:pPr>
      <w:r>
        <w:rPr>
          <w:u w:val="single"/>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66</w:t>
      </w:r>
      <w:r>
        <w:rPr>
          <w:sz w:val="20"/>
          <w:szCs w:val="18"/>
          <w:bCs/>
          <w:color w:val="54883D"/>
        </w:rPr>
        <w:fldChar w:fldCharType="end"/>
      </w:r>
      <w:r>
        <w:rPr>
          <w:bCs/>
          <w:color w:val="54883D"/>
          <w:sz w:val="20"/>
          <w:szCs w:val="18"/>
        </w:rPr>
        <w:t>. Prikaz ocjena baza podataka</w:t>
      </w:r>
    </w:p>
    <w:tbl>
      <w:tblPr>
        <w:tblStyle w:val="Reetkatablice1424"/>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u w:val="single"/>
        </w:rPr>
      </w:pPr>
      <w:r>
        <w:rPr>
          <w:u w:val="single"/>
        </w:rPr>
      </w:r>
    </w:p>
    <w:p>
      <w:pPr>
        <w:pStyle w:val="Normal"/>
        <w:rPr>
          <w:u w:val="single"/>
        </w:rPr>
      </w:pPr>
      <w:r>
        <w:rPr>
          <w:u w:val="single"/>
        </w:rPr>
      </w:r>
    </w:p>
    <w:p>
      <w:pPr>
        <w:pStyle w:val="Caption"/>
        <w:rPr>
          <w:rFonts w:ascii="Calibri" w:hAnsi="Calibri"/>
        </w:rPr>
      </w:pPr>
      <w:r>
        <w:rPr/>
        <w:t xml:space="preserve">Tablica </w:t>
      </w:r>
      <w:r>
        <w:rPr/>
        <w:fldChar w:fldCharType="begin"/>
      </w:r>
      <w:r>
        <w:rPr/>
        <w:instrText> SEQ Tabela \* ARABIC </w:instrText>
      </w:r>
      <w:r>
        <w:rPr/>
        <w:fldChar w:fldCharType="separate"/>
      </w:r>
      <w:r>
        <w:rPr/>
        <w:t>67</w:t>
      </w:r>
      <w:r>
        <w:rPr/>
        <w:fldChar w:fldCharType="end"/>
      </w:r>
      <w:r>
        <w:rPr/>
        <w:t>. Analiza sustava civilne zaštite – područje preventive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830"/>
        <w:gridCol w:w="1843"/>
        <w:gridCol w:w="1728"/>
        <w:gridCol w:w="1819"/>
        <w:gridCol w:w="1652"/>
      </w:tblGrid>
      <w:tr>
        <w:trPr>
          <w:tblHeader w:val="true"/>
          <w:trHeight w:val="352" w:hRule="atLeast"/>
        </w:trPr>
        <w:tc>
          <w:tcPr>
            <w:tcW w:w="283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b/>
                <w:b/>
                <w:sz w:val="20"/>
                <w:szCs w:val="20"/>
              </w:rPr>
            </w:pPr>
            <w:r>
              <w:rPr>
                <w:b/>
                <w:sz w:val="20"/>
                <w:szCs w:val="20"/>
              </w:rPr>
              <w:t>PODRUČJE PREVENTIVE</w:t>
            </w:r>
          </w:p>
        </w:tc>
        <w:tc>
          <w:tcPr>
            <w:tcW w:w="1843"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before="80" w:after="0"/>
              <w:jc w:val="center"/>
              <w:rPr>
                <w:b/>
                <w:b/>
                <w:sz w:val="20"/>
                <w:szCs w:val="20"/>
              </w:rPr>
            </w:pPr>
            <w:r>
              <w:rPr>
                <w:b/>
                <w:sz w:val="20"/>
                <w:szCs w:val="20"/>
              </w:rPr>
              <w:t>Vrlo niska spremnost</w:t>
            </w:r>
          </w:p>
        </w:tc>
        <w:tc>
          <w:tcPr>
            <w:tcW w:w="1728"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lineRule="auto" w:line="240" w:before="80" w:after="0"/>
              <w:jc w:val="center"/>
              <w:rPr>
                <w:b/>
                <w:b/>
                <w:sz w:val="20"/>
                <w:szCs w:val="20"/>
              </w:rPr>
            </w:pPr>
            <w:r>
              <w:rPr>
                <w:b/>
                <w:sz w:val="20"/>
                <w:szCs w:val="20"/>
              </w:rPr>
              <w:t>Vrlo visoka spremnost</w:t>
            </w:r>
          </w:p>
        </w:tc>
      </w:tr>
      <w:tr>
        <w:trPr>
          <w:tblHeader w:val="true"/>
          <w:trHeight w:val="278" w:hRule="atLeast"/>
        </w:trPr>
        <w:tc>
          <w:tcPr>
            <w:tcW w:w="2830"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b/>
                <w:b/>
                <w:sz w:val="20"/>
                <w:szCs w:val="20"/>
              </w:rPr>
            </w:pPr>
            <w:r>
              <w:rPr>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4</w:t>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1</w:t>
            </w:r>
          </w:p>
        </w:tc>
      </w:tr>
      <w:tr>
        <w:trPr>
          <w:trHeight w:val="352"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Usvojenost strategija, normativne uređenosti te izrađenost procjena i planova od značaja za sustav civilne zaštite</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352"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Sustavi ranog upozoravanja i suradnja sa susjednim jedinicama lokalne i područne (regionalne) samouprave</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1151"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rPr>
            </w:pPr>
            <w:r>
              <w:rPr>
                <w:sz w:val="20"/>
                <w:szCs w:val="20"/>
              </w:rPr>
              <w:t>Stanje svijesti pojedinaca, pripadnika ranjivih skupina, upravljačkih i odgovornih tijela</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1410"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rPr>
            </w:pPr>
            <w:r>
              <w:rPr>
                <w:sz w:val="20"/>
                <w:szCs w:val="20"/>
              </w:rPr>
              <w:t>Ocjena stanja prostornog planiranja, izrade prostornih i urbanističkih planova razvoja, planskog korištenja zemljišta</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362"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Ocjena fiskalne situacije i njezine perspektive</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352"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rPr>
            </w:pPr>
            <w:r>
              <w:rPr>
                <w:sz w:val="20"/>
                <w:szCs w:val="20"/>
              </w:rPr>
              <w:t>Baze podataka</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r>
        <w:trPr>
          <w:trHeight w:val="362" w:hRule="atLeast"/>
        </w:trPr>
        <w:tc>
          <w:tcPr>
            <w:tcW w:w="283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b/>
                <w:sz w:val="20"/>
                <w:szCs w:val="20"/>
              </w:rPr>
              <w:t>Područje preventive - ZBIRNO</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72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2"/>
              </w:rPr>
            </w:pPr>
            <w:r>
              <w:rPr>
                <w:b/>
                <w:sz w:val="20"/>
                <w:szCs w:val="22"/>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r>
    </w:tbl>
    <w:p>
      <w:pPr>
        <w:pStyle w:val="Normal"/>
        <w:rPr/>
      </w:pPr>
      <w:r>
        <w:rPr/>
      </w:r>
    </w:p>
    <w:p>
      <w:pPr>
        <w:pStyle w:val="Stilnaslova2"/>
        <w:numPr>
          <w:ilvl w:val="1"/>
          <w:numId w:val="2"/>
        </w:numPr>
        <w:rPr/>
      </w:pPr>
      <w:bookmarkStart w:id="385" w:name="_Toc492284989"/>
      <w:bookmarkStart w:id="386" w:name="_Toc496856136"/>
      <w:bookmarkStart w:id="387" w:name="_Toc99955766"/>
      <w:bookmarkStart w:id="388" w:name="_Toc116990214"/>
      <w:r>
        <w:rPr/>
        <w:t>Područje reagiranja</w:t>
      </w:r>
      <w:bookmarkEnd w:id="385"/>
      <w:bookmarkEnd w:id="386"/>
      <w:bookmarkEnd w:id="387"/>
      <w:bookmarkEnd w:id="388"/>
    </w:p>
    <w:p>
      <w:pPr>
        <w:pStyle w:val="Normal"/>
        <w:rPr/>
      </w:pPr>
      <w:r>
        <w:rPr/>
        <w:t>Analiza na području reagiranja sastoji se od sljedećih elemenata:</w:t>
      </w:r>
    </w:p>
    <w:p>
      <w:pPr>
        <w:pStyle w:val="Stilnaslova3"/>
        <w:numPr>
          <w:ilvl w:val="2"/>
          <w:numId w:val="2"/>
        </w:numPr>
        <w:ind w:left="709" w:hanging="721"/>
        <w:rPr>
          <w:lang w:eastAsia="hr-HR"/>
        </w:rPr>
      </w:pPr>
      <w:bookmarkStart w:id="389" w:name="_Toc99955767"/>
      <w:bookmarkStart w:id="390" w:name="_Toc116990215"/>
      <w:r>
        <w:rPr>
          <w:lang w:eastAsia="hr-HR"/>
        </w:rPr>
        <w:t>Spremnost odgovornih i upravljačkih kapaciteta</w:t>
      </w:r>
      <w:bookmarkEnd w:id="389"/>
      <w:bookmarkEnd w:id="390"/>
    </w:p>
    <w:tbl>
      <w:tblPr>
        <w:tblStyle w:val="Reetkatablice14"/>
        <w:tblW w:w="9634" w:type="dxa"/>
        <w:jc w:val="center"/>
        <w:tblInd w:w="0" w:type="dxa"/>
        <w:tblCellMar>
          <w:top w:w="0" w:type="dxa"/>
          <w:left w:w="108" w:type="dxa"/>
          <w:bottom w:w="0" w:type="dxa"/>
          <w:right w:w="108" w:type="dxa"/>
        </w:tblCellMar>
        <w:tblLook w:firstRow="1" w:noVBand="1" w:lastRow="0" w:firstColumn="1" w:lastColumn="0" w:noHBand="0" w:val="04a0"/>
      </w:tblPr>
      <w:tblGrid>
        <w:gridCol w:w="844"/>
        <w:gridCol w:w="7372"/>
        <w:gridCol w:w="714"/>
        <w:gridCol w:w="703"/>
      </w:tblGrid>
      <w:tr>
        <w:trPr/>
        <w:tc>
          <w:tcPr>
            <w:tcW w:w="844"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R. br.</w:t>
            </w:r>
          </w:p>
        </w:tc>
        <w:tc>
          <w:tcPr>
            <w:tcW w:w="7372"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OPIS</w:t>
            </w:r>
          </w:p>
        </w:tc>
        <w:tc>
          <w:tcPr>
            <w:tcW w:w="1417" w:type="dxa"/>
            <w:gridSpan w:val="2"/>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4"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b/>
                <w:sz w:val="20"/>
                <w:szCs w:val="20"/>
                <w:lang w:eastAsia="hr-HR"/>
              </w:rPr>
            </w:r>
          </w:p>
        </w:tc>
        <w:tc>
          <w:tcPr>
            <w:tcW w:w="7372"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b/>
                <w:sz w:val="20"/>
                <w:szCs w:val="20"/>
                <w:lang w:eastAsia="hr-HR"/>
              </w:rPr>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DA</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 li izvršno tijelo upoznato sa svojim ovlastima i odgovornostima za odgovarajuću primjenu mjera u slučaju nadolazeće prijetnje koja može uzrokovati veliku nesreću te zna li koji su mu resursi na raspolaganju?</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 li izvršno tijelo osposobljeno za obavljanje poslova civilne zaštite od strane Ministarstva unutarnjih poslova?</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3.</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Poznaje li izvršno tijelo moguće rizike odnosno neželjene posljedice koje isti mogu izazvati te poznaje li mjere i opseg snaga civilne zaštite koje će angažirati?</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b/>
                <w:sz w:val="20"/>
                <w:szCs w:val="20"/>
                <w:lang w:eastAsia="hr-HR"/>
              </w:rPr>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4.</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 li izvršno tijelo odredilo osobu koja obavlja vođenje baze podataka i operativnu pripremu za djelovanje operativnih snaga civilne zaštite pri povećanoj prijetnji nastanka velike nesreće?</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 li Stožer civilne zaštite osposobljen za izvršavanje zadaća u području civilne zaštite.</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6.</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Poznaje li Stožer civilne zaštite rizike, moguće neželjene posljedice koje isti mogu izazvati te mjere, opseg i način angažiranja potrebnih snaga za provođenje mjera civilne zaštite te sanaciju posljedica velikih nesreća?</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7.</w:t>
            </w:r>
          </w:p>
        </w:tc>
        <w:tc>
          <w:tcPr>
            <w:tcW w:w="7372" w:type="dxa"/>
            <w:tcBorders>
              <w:top w:val="single" w:sz="4" w:space="0" w:color="54883D"/>
              <w:left w:val="single" w:sz="4" w:space="0" w:color="54883D"/>
              <w:bottom w:val="single" w:sz="4" w:space="0" w:color="54883D"/>
              <w:right w:val="single" w:sz="4" w:space="0" w:color="54883D"/>
            </w:tcBorders>
            <w:shd w:color="auto" w:fill="auto" w:val="clear"/>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Ima li Stožer u svom sastavu odgovarajuće operativno osoblje za imenovanje koordinatora na lokaciji (za prioritetne prijetnje).</w:t>
            </w:r>
          </w:p>
        </w:tc>
        <w:tc>
          <w:tcPr>
            <w:tcW w:w="71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70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bl>
    <w:p>
      <w:pPr>
        <w:pStyle w:val="Normal"/>
        <w:spacing w:before="80" w:after="0"/>
        <w:rPr/>
      </w:pPr>
      <w:r>
        <w:rPr/>
      </w:r>
    </w:p>
    <w:p>
      <w:pPr>
        <w:pStyle w:val="Normal"/>
        <w:spacing w:before="80" w:after="0"/>
        <w:rPr/>
      </w:pPr>
      <w:r>
        <w:rPr/>
        <w:t xml:space="preserve">Procjena spremnosti sustava civilne zaštite na temelju spremnosti odgovornih i upravljačkih kapaciteta sustava civilne zaštite provedena je analizom podataka o razini odgovornosti, osposobljenosti i uvježbanosti: čelnih osoba Grada Buje koji su nadležni za provođenje zakonom utvrđenih operativnih obaveza u fazi reagiranja sustava civilne zaštite, spremnost stožera civilne zaštite Grada Buje te spremnost koordinatora na mjestu izvanrednog događaja. </w:t>
      </w:r>
    </w:p>
    <w:p>
      <w:pPr>
        <w:pStyle w:val="Normal"/>
        <w:spacing w:before="80" w:after="0"/>
        <w:rPr/>
      </w:pPr>
      <w:r>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68</w:t>
      </w:r>
      <w:r>
        <w:rPr>
          <w:sz w:val="20"/>
          <w:szCs w:val="18"/>
          <w:bCs/>
          <w:color w:val="54883D"/>
        </w:rPr>
        <w:fldChar w:fldCharType="end"/>
      </w:r>
      <w:r>
        <w:rPr>
          <w:bCs/>
          <w:color w:val="54883D"/>
          <w:sz w:val="20"/>
          <w:szCs w:val="18"/>
        </w:rPr>
        <w:t>. Prikaz ocjene spremnosti odgovornih i upravljačkih kapaciteta</w:t>
      </w:r>
    </w:p>
    <w:tbl>
      <w:tblPr>
        <w:tblStyle w:val="Reetkatablice14"/>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76"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76"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76"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76"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76"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76"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76"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76" w:before="120" w:after="0"/>
              <w:jc w:val="center"/>
              <w:rPr>
                <w:b/>
                <w:b/>
                <w:sz w:val="20"/>
              </w:rPr>
            </w:pPr>
            <w:r>
              <w:rPr>
                <w:b/>
                <w:sz w:val="20"/>
                <w:szCs w:val="24"/>
                <w:lang w:eastAsia="hr-HR"/>
              </w:rPr>
            </w:r>
          </w:p>
        </w:tc>
      </w:tr>
    </w:tbl>
    <w:p>
      <w:pPr>
        <w:pStyle w:val="Normal"/>
        <w:spacing w:before="80" w:after="0"/>
        <w:rPr>
          <w:highlight w:val="yellow"/>
        </w:rPr>
      </w:pPr>
      <w:r>
        <w:rPr>
          <w:highlight w:val="yellow"/>
        </w:rPr>
      </w:r>
    </w:p>
    <w:p>
      <w:pPr>
        <w:pStyle w:val="Normal"/>
        <w:spacing w:before="0" w:after="120"/>
        <w:rPr>
          <w:b/>
          <w:b/>
          <w:highlight w:val="yellow"/>
        </w:rPr>
      </w:pPr>
      <w:r>
        <w:rPr>
          <w:b/>
          <w:highlight w:val="yellow"/>
        </w:rPr>
      </w:r>
    </w:p>
    <w:p>
      <w:pPr>
        <w:pStyle w:val="Stilnaslova3"/>
        <w:numPr>
          <w:ilvl w:val="2"/>
          <w:numId w:val="2"/>
        </w:numPr>
        <w:ind w:left="709" w:hanging="721"/>
        <w:rPr/>
      </w:pPr>
      <w:bookmarkStart w:id="391" w:name="_Toc99955768"/>
      <w:bookmarkStart w:id="392" w:name="_Toc116990216"/>
      <w:r>
        <w:rPr/>
        <w:t>Spremnost operativnih kapaciteta</w:t>
      </w:r>
      <w:bookmarkEnd w:id="391"/>
      <w:bookmarkEnd w:id="392"/>
    </w:p>
    <w:tbl>
      <w:tblPr>
        <w:tblStyle w:val="Reetkatablice14"/>
        <w:tblW w:w="9065" w:type="dxa"/>
        <w:jc w:val="center"/>
        <w:tblInd w:w="0" w:type="dxa"/>
        <w:tblCellMar>
          <w:top w:w="0" w:type="dxa"/>
          <w:left w:w="108" w:type="dxa"/>
          <w:bottom w:w="0" w:type="dxa"/>
          <w:right w:w="108" w:type="dxa"/>
        </w:tblCellMar>
        <w:tblLook w:firstRow="1" w:noVBand="1" w:lastRow="0" w:firstColumn="1" w:lastColumn="0" w:noHBand="0" w:val="04a0"/>
      </w:tblPr>
      <w:tblGrid>
        <w:gridCol w:w="844"/>
        <w:gridCol w:w="6947"/>
        <w:gridCol w:w="708"/>
        <w:gridCol w:w="565"/>
      </w:tblGrid>
      <w:tr>
        <w:trPr/>
        <w:tc>
          <w:tcPr>
            <w:tcW w:w="844"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R. br.</w:t>
            </w:r>
          </w:p>
        </w:tc>
        <w:tc>
          <w:tcPr>
            <w:tcW w:w="6947"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OPIS</w:t>
            </w:r>
          </w:p>
        </w:tc>
        <w:tc>
          <w:tcPr>
            <w:tcW w:w="127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TVRDNJA</w:t>
            </w:r>
          </w:p>
        </w:tc>
      </w:tr>
      <w:tr>
        <w:trPr/>
        <w:tc>
          <w:tcPr>
            <w:tcW w:w="844"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b/>
                <w:sz w:val="20"/>
                <w:szCs w:val="20"/>
                <w:lang w:eastAsia="hr-HR"/>
              </w:rPr>
            </w:r>
          </w:p>
        </w:tc>
        <w:tc>
          <w:tcPr>
            <w:tcW w:w="6947"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b/>
                <w:sz w:val="20"/>
                <w:szCs w:val="20"/>
                <w:lang w:eastAsia="hr-HR"/>
              </w:rPr>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DA</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 li Stožer civilne zaštite osposobljen i kapacitiran za provedbu mjera u slučaju pojava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2.</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vatrogasne snage osposobljene i kapacitirane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3.</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vatrogasne snage opremljene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4.</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snage Hrvatske gorske službe spašavanja – Stanica Istra osposobljene i kapacitirane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5.</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snage Hrvatske gorske službe spašavanja – Stanica Istra opremljene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6.</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snage Gradskog Društva Crvenog križa Buje osposobljene i kapacitirane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7.</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snage Gradskog Društva Crvenog križa Buje opremljene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8.</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Jesu li povjerenici civilne zaštite i njihovi zamjenici  osposobljeni i kapacitirani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9.</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Jesu li povjerenici civilne zaštite i njihovi zamjenici opremljeni za provedbu mjera u slučaju pojave prijetnje i njezinih posljedica?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10.</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pravne osobe od interesa za sustav civilne zaštite upoznate sa svojim zadaćama?</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11.</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 xml:space="preserve">Imaju li pravne osobe od interesa za sustav civilne zaštite izrađene Operativne planove civilne zaštite pravnih osoba o načinu organiziranja provedbe mjera i aktivnosti u sustavu civilne zaštite? </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12.</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Jesu li potpisani sporazumi i definirane aktivnost s pravnim osobama od interesa za sustav civilne zaštite kao potpora sustavu civilne zaštite?</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b/>
                <w:sz w:val="20"/>
                <w:szCs w:val="20"/>
                <w:lang w:eastAsia="hr-HR"/>
              </w:rPr>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76" w:before="80" w:after="0"/>
              <w:jc w:val="center"/>
              <w:rPr>
                <w:b/>
                <w:b/>
                <w:sz w:val="20"/>
                <w:szCs w:val="20"/>
              </w:rPr>
            </w:pPr>
            <w:r>
              <w:rPr>
                <w:rFonts w:eastAsia="Times New Roman" w:cs="Times New Roman" w:ascii="Times New Roman" w:hAnsi="Times New Roman"/>
                <w:b/>
                <w:sz w:val="20"/>
                <w:szCs w:val="20"/>
                <w:lang w:eastAsia="hr-HR"/>
              </w:rPr>
              <w:t>13.</w:t>
            </w:r>
          </w:p>
        </w:tc>
        <w:tc>
          <w:tcPr>
            <w:tcW w:w="6947"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76" w:before="80" w:after="0"/>
              <w:rPr>
                <w:sz w:val="20"/>
                <w:szCs w:val="20"/>
              </w:rPr>
            </w:pPr>
            <w:r>
              <w:rPr>
                <w:rFonts w:eastAsia="Times New Roman" w:cs="Times New Roman" w:ascii="Times New Roman" w:hAnsi="Times New Roman"/>
                <w:sz w:val="20"/>
                <w:szCs w:val="20"/>
                <w:lang w:eastAsia="hr-HR"/>
              </w:rPr>
              <w:t>Provode li se godišnje vježbe sustava civilne zaštite?</w:t>
            </w:r>
          </w:p>
        </w:tc>
        <w:tc>
          <w:tcPr>
            <w:tcW w:w="708"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highlight w:val="yellow"/>
              </w:rPr>
            </w:pPr>
            <w:r>
              <w:rPr>
                <w:rFonts w:eastAsia="Times New Roman" w:cs="Times New Roman" w:ascii="Times New Roman" w:hAnsi="Times New Roman"/>
                <w:b/>
                <w:sz w:val="20"/>
                <w:szCs w:val="20"/>
                <w:lang w:eastAsia="hr-HR"/>
              </w:rPr>
              <w:t>x</w:t>
            </w:r>
          </w:p>
        </w:tc>
        <w:tc>
          <w:tcPr>
            <w:tcW w:w="565"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76" w:before="80" w:after="0"/>
              <w:jc w:val="center"/>
              <w:rPr>
                <w:b/>
                <w:b/>
                <w:sz w:val="20"/>
                <w:szCs w:val="20"/>
                <w:highlight w:val="yellow"/>
              </w:rPr>
            </w:pPr>
            <w:r>
              <w:rPr>
                <w:b/>
                <w:sz w:val="20"/>
                <w:szCs w:val="20"/>
                <w:highlight w:val="yellow"/>
                <w:lang w:eastAsia="hr-HR"/>
              </w:rPr>
            </w:r>
          </w:p>
        </w:tc>
      </w:tr>
    </w:tbl>
    <w:p>
      <w:pPr>
        <w:pStyle w:val="Normal"/>
        <w:spacing w:before="80" w:after="0"/>
        <w:rPr>
          <w:lang w:eastAsia="hr-HR"/>
        </w:rPr>
      </w:pPr>
      <w:r>
        <w:rPr>
          <w:lang w:eastAsia="hr-HR"/>
        </w:rPr>
      </w:r>
    </w:p>
    <w:p>
      <w:pPr>
        <w:pStyle w:val="Normal"/>
        <w:spacing w:before="80" w:after="0"/>
        <w:rPr>
          <w:lang w:eastAsia="hr-HR"/>
        </w:rPr>
      </w:pPr>
      <w:r>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pPr>
        <w:pStyle w:val="Normal"/>
        <w:rPr>
          <w:b/>
          <w:b/>
        </w:rPr>
      </w:pPr>
      <w:r>
        <w:rPr>
          <w:b/>
        </w:rPr>
      </w:r>
    </w:p>
    <w:p>
      <w:pPr>
        <w:pStyle w:val="Normal"/>
        <w:rPr>
          <w:b/>
          <w:b/>
        </w:rPr>
      </w:pPr>
      <w:r>
        <w:rPr>
          <w:b/>
        </w:rPr>
        <w:t>Stožer civilne zaštite Grada Buja</w:t>
      </w:r>
    </w:p>
    <w:p>
      <w:pPr>
        <w:pStyle w:val="Normal"/>
        <w:rPr>
          <w:lang w:eastAsia="hr-HR"/>
        </w:rPr>
      </w:pPr>
      <w:r>
        <w:rPr>
          <w:lang w:eastAsia="hr-HR"/>
        </w:rPr>
        <w:t>Gradonačelnik Grada Buja donio je dana 11. lipnja 2021. godine Odluku o imenovanju članova Stožera civilne zaštite Grada Buja – Buie (KLASA:810-01/21-01/03 URBROJ: 2105/01-01-21-3) sa pripadajućim izmjenama.</w:t>
      </w:r>
    </w:p>
    <w:p>
      <w:pPr>
        <w:pStyle w:val="Normal"/>
        <w:rPr>
          <w:lang w:eastAsia="hr-HR"/>
        </w:rPr>
      </w:pPr>
      <w:r>
        <w:rPr>
          <w:lang w:eastAsia="hr-HR"/>
        </w:rPr>
        <w:t>Stožer civilne zaštite Grada Buja sastoji se od načelnika i zamjenika načelnika Stožera te 10 članova. Za članove Stožera civilne zaštite Grada Buje, imenovani su:</w:t>
      </w:r>
    </w:p>
    <w:p>
      <w:pPr>
        <w:pStyle w:val="ListParagraph"/>
        <w:numPr>
          <w:ilvl w:val="0"/>
          <w:numId w:val="39"/>
        </w:numPr>
        <w:rPr/>
      </w:pPr>
      <w:r>
        <w:rPr/>
        <w:t>Elvis Glavičić, pročelnik U.O. za komunalne djelatnosti Grada Buja-Buie, načelnik Stožera CZ</w:t>
      </w:r>
    </w:p>
    <w:p>
      <w:pPr>
        <w:pStyle w:val="ListParagraph"/>
        <w:numPr>
          <w:ilvl w:val="0"/>
          <w:numId w:val="39"/>
        </w:numPr>
        <w:rPr/>
      </w:pPr>
      <w:r>
        <w:rPr/>
        <w:t>Bojan Štokovac, zapovjednik Javne vatrogasne postrojbe Umag, za zamjenika načelnika Stožera CZ,</w:t>
      </w:r>
    </w:p>
    <w:p>
      <w:pPr>
        <w:pStyle w:val="ListParagraph"/>
        <w:numPr>
          <w:ilvl w:val="0"/>
          <w:numId w:val="39"/>
        </w:numPr>
        <w:rPr/>
      </w:pPr>
      <w:r>
        <w:rPr/>
        <w:t>Boban Robert Paulović, načelnik Policijske postaje Buje</w:t>
      </w:r>
    </w:p>
    <w:p>
      <w:pPr>
        <w:pStyle w:val="ListParagraph"/>
        <w:numPr>
          <w:ilvl w:val="0"/>
          <w:numId w:val="39"/>
        </w:numPr>
        <w:rPr/>
      </w:pPr>
      <w:r>
        <w:rPr>
          <w:rStyle w:val="Jakoisticanje"/>
          <w:rFonts w:eastAsia="Times New Roman" w:cs="Arial"/>
          <w:b w:val="false"/>
          <w:bCs/>
          <w:color w:val="000000"/>
          <w:kern w:val="0"/>
          <w:sz w:val="22"/>
          <w:szCs w:val="22"/>
          <w:lang w:val="hr-HR" w:eastAsia="zh-CN" w:bidi="ar-SA"/>
        </w:rPr>
        <w:t>Vilson Allakaj</w:t>
      </w:r>
      <w:r>
        <w:rPr>
          <w:rFonts w:cs="Arial"/>
          <w:color w:val="000000"/>
          <w:kern w:val="0"/>
          <w:sz w:val="22"/>
          <w:szCs w:val="22"/>
        </w:rPr>
        <w:t xml:space="preserve">,  </w:t>
      </w:r>
      <w:r>
        <w:rPr>
          <w:rFonts w:eastAsia="Times New Roman" w:cs="Arial"/>
          <w:color w:val="000000"/>
          <w:kern w:val="0"/>
          <w:sz w:val="22"/>
          <w:szCs w:val="22"/>
          <w:lang w:val="hr-HR" w:eastAsia="zh-CN" w:bidi="ar-SA"/>
        </w:rPr>
        <w:t>liječnik Nastavnog zavoda za hitnu medicinu Istarske županije</w:t>
      </w:r>
      <w:r>
        <w:rPr/>
        <w:t>,</w:t>
      </w:r>
    </w:p>
    <w:p>
      <w:pPr>
        <w:pStyle w:val="ListParagraph"/>
        <w:numPr>
          <w:ilvl w:val="0"/>
          <w:numId w:val="39"/>
        </w:numPr>
        <w:rPr/>
      </w:pPr>
      <w:r>
        <w:rPr/>
        <w:t>Mladen Kiković, voditelj Službe CZ Pazin</w:t>
      </w:r>
    </w:p>
    <w:p>
      <w:pPr>
        <w:pStyle w:val="ListParagraph"/>
        <w:numPr>
          <w:ilvl w:val="0"/>
          <w:numId w:val="39"/>
        </w:numPr>
        <w:rPr/>
      </w:pPr>
      <w:r>
        <w:rPr/>
        <w:t>Moreno Mamilovič, Istarski vodovod d.o.o., upravitelj Poslovne jedinice Buje</w:t>
      </w:r>
    </w:p>
    <w:p>
      <w:pPr>
        <w:pStyle w:val="ListParagraph"/>
        <w:numPr>
          <w:ilvl w:val="0"/>
          <w:numId w:val="39"/>
        </w:numPr>
        <w:rPr/>
      </w:pPr>
      <w:r>
        <w:rPr/>
        <w:t>Diego Pucer, komunalno poduzeće 6.Maj d.o.o. Umag</w:t>
      </w:r>
    </w:p>
    <w:p>
      <w:pPr>
        <w:pStyle w:val="ListParagraph"/>
        <w:numPr>
          <w:ilvl w:val="0"/>
          <w:numId w:val="39"/>
        </w:numPr>
        <w:rPr/>
      </w:pPr>
      <w:r>
        <w:rPr/>
        <w:t>Hrvoje Kovačević, GD Crvenog križa Buje</w:t>
      </w:r>
    </w:p>
    <w:p>
      <w:pPr>
        <w:pStyle w:val="ListParagraph"/>
        <w:numPr>
          <w:ilvl w:val="0"/>
          <w:numId w:val="39"/>
        </w:numPr>
        <w:rPr/>
      </w:pPr>
      <w:r>
        <w:rPr/>
        <w:t>Marko Milevoj, direktor komunalnog poduzeća CIVITAS BULLEARUM d.o.o.</w:t>
      </w:r>
    </w:p>
    <w:p>
      <w:pPr>
        <w:pStyle w:val="ListParagraph"/>
        <w:numPr>
          <w:ilvl w:val="0"/>
          <w:numId w:val="39"/>
        </w:numPr>
        <w:rPr/>
      </w:pPr>
      <w:r>
        <w:rPr/>
        <w:t>Dean Đurđević, zamjenik zapovjednika DVD Buje,</w:t>
      </w:r>
    </w:p>
    <w:p>
      <w:pPr>
        <w:pStyle w:val="ListParagraph"/>
        <w:numPr>
          <w:ilvl w:val="0"/>
          <w:numId w:val="39"/>
        </w:numPr>
        <w:rPr/>
      </w:pPr>
      <w:r>
        <w:rPr/>
        <w:t xml:space="preserve">Denis Stipanov, predstavnik Službe civilne zaštite VZIŽ, </w:t>
      </w:r>
    </w:p>
    <w:p>
      <w:pPr>
        <w:pStyle w:val="ListParagraph"/>
        <w:numPr>
          <w:ilvl w:val="0"/>
          <w:numId w:val="39"/>
        </w:numPr>
        <w:rPr/>
      </w:pPr>
      <w:r>
        <w:rPr/>
        <w:t>Davor Kalčić, Hrvatska gorska služba spašavanja – Stanica Pula</w:t>
      </w:r>
    </w:p>
    <w:p>
      <w:pPr>
        <w:pStyle w:val="Normal"/>
        <w:rPr/>
      </w:pPr>
      <w:r>
        <w:rPr/>
      </w:r>
    </w:p>
    <w:p>
      <w:pPr>
        <w:pStyle w:val="Normal"/>
        <w:rPr/>
      </w:pPr>
      <w:r>
        <w:rPr/>
        <w:t>Stožer civilne zaštite je tijelo (stručno, operativno i koordinativno) koje usklađuje djelovanje operativnih snaga sustava civilne zaštite u pripremnoj fazi prije nastanka posljedica izvanrednog događaja i tijekom provođenja mjera i aktivnosti civilne zaštite u velikim nesrećama i katastrofama.</w:t>
      </w:r>
    </w:p>
    <w:p>
      <w:pPr>
        <w:pStyle w:val="Normal"/>
        <w:rPr/>
      </w:pPr>
      <w:r>
        <w:rPr/>
        <w:t xml:space="preserve">Stožer civilne zaštite obavlja zadaće koje se odnose na prikupljanje i obradu informacija ranog upozoravanja o mogućnosti nastanka velike nesreće i katastrofe, za svaku veliku nesreću i katastrofu priprema detaljne i specifične radne operativne postupke od značaja za koordiniranje djelovanja operativnih snaga sustava civilne zaštite, upravlja reagiranjem sustava civilne zaštite, obavlja poslove informiranja javnosti i predlažu donošenje odluke o prestanku provođenja mjera i aktivnosti sustava civilne zaštite u velikoj nesreći i katastrofi. </w:t>
      </w:r>
    </w:p>
    <w:p>
      <w:pPr>
        <w:pStyle w:val="Normal"/>
        <w:rPr/>
      </w:pPr>
      <w:r>
        <w:rPr/>
        <w:t>Sredstava za rad Stožera osiguravanju se u Proračunu Grada Buja.</w:t>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69</w:t>
      </w:r>
      <w:r>
        <w:rPr>
          <w:sz w:val="20"/>
          <w:szCs w:val="18"/>
          <w:bCs/>
          <w:color w:val="54883D"/>
        </w:rPr>
        <w:fldChar w:fldCharType="end"/>
      </w:r>
      <w:r>
        <w:rPr>
          <w:bCs/>
          <w:color w:val="54883D"/>
          <w:sz w:val="20"/>
          <w:szCs w:val="18"/>
        </w:rPr>
        <w:t>. Prikaz ocjene spremnosti Stožera civilne zaštite</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rPr/>
      </w:pPr>
      <w:r>
        <w:rPr/>
      </w:r>
    </w:p>
    <w:p>
      <w:pPr>
        <w:pStyle w:val="Normal"/>
        <w:rPr>
          <w:b/>
          <w:b/>
        </w:rPr>
      </w:pPr>
      <w:r>
        <w:rPr>
          <w:b/>
        </w:rPr>
        <w:t>Povjerenici civilne zaštite Grada Buja</w:t>
      </w:r>
    </w:p>
    <w:p>
      <w:pPr>
        <w:pStyle w:val="Normal"/>
        <w:rPr/>
      </w:pPr>
      <w:r>
        <w:rPr/>
        <w:t>Dana 20. veljače 2019. godine, gradonačelnik Grada Buja donosi Rješenje o imenovanju povjerenika i zamjenika povjerenika civilne zaštite na području Grada Buja (KLASA: 810-01/18-01/03 URBROJ: 2105/01-01-19-3).</w:t>
      </w:r>
    </w:p>
    <w:p>
      <w:pPr>
        <w:pStyle w:val="Normal"/>
        <w:rPr/>
      </w:pPr>
      <w:r>
        <w:rPr/>
        <w:t>Za područje Grada Buja imenuju se povjerenik i zamjenik povjerenika civilne zaštite:</w:t>
      </w:r>
    </w:p>
    <w:p>
      <w:pPr>
        <w:pStyle w:val="ListParagraph"/>
        <w:numPr>
          <w:ilvl w:val="0"/>
          <w:numId w:val="40"/>
        </w:numPr>
        <w:rPr/>
      </w:pPr>
      <w:r>
        <w:rPr/>
        <w:t>Nino Činić, povjerenik</w:t>
      </w:r>
    </w:p>
    <w:p>
      <w:pPr>
        <w:pStyle w:val="ListParagraph"/>
        <w:numPr>
          <w:ilvl w:val="0"/>
          <w:numId w:val="40"/>
        </w:numPr>
        <w:rPr/>
      </w:pPr>
      <w:r>
        <w:rPr/>
        <w:t>Marko Cindrić, zamjenik povjerenika</w:t>
      </w:r>
    </w:p>
    <w:p>
      <w:pPr>
        <w:pStyle w:val="Normal"/>
        <w:rPr/>
      </w:pPr>
      <w:r>
        <w:rPr/>
      </w:r>
    </w:p>
    <w:p>
      <w:pPr>
        <w:pStyle w:val="Normal"/>
        <w:rPr/>
      </w:pPr>
      <w:r>
        <w:rPr/>
        <w:t>Povjerenik i zamjenik povjerenika civilne zaštite su operativne snage civilne zaštite koji provode mjere i aktivnosti u sustavu civilne zaštite. Sudjeluju u pripremanju građana za osobnu i uzajamnu zaštitu te usklađuju provođenje mjera osobne i uzajamne zaštite; daju obavijesti građanima o pravodobnom poduzimanju mjera civilne zaštite te javne mobilizacije radi sudjelovanja u sustavu civilne zaštite; sudjeluju u organiziranju i provođenju evakuacije, sklanjanja, zbrinjavanja i drugih mjera civilne zaštite; organiziraju zaštitu i spašavanje pripadnika ranjivih skupina; povjeravaju postavljanje obavijesti o znakovima za uzbunjivanje u stambenim zgradama na području svoje nadležnosti i o propustima obavješćuju inspekciju civilne zaštite.</w:t>
      </w:r>
    </w:p>
    <w:p>
      <w:pPr>
        <w:pStyle w:val="Normal"/>
        <w:spacing w:before="0" w:after="160"/>
        <w:jc w:val="center"/>
        <w:rPr>
          <w:bCs/>
          <w:color w:val="54883D"/>
          <w:sz w:val="20"/>
          <w:szCs w:val="18"/>
        </w:rPr>
      </w:pPr>
      <w:r>
        <w:rPr>
          <w:bCs/>
          <w:color w:val="54883D"/>
          <w:sz w:val="20"/>
          <w:szCs w:val="18"/>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70</w:t>
      </w:r>
      <w:r>
        <w:rPr>
          <w:sz w:val="20"/>
          <w:szCs w:val="18"/>
          <w:bCs/>
          <w:color w:val="54883D"/>
        </w:rPr>
        <w:fldChar w:fldCharType="end"/>
      </w:r>
      <w:r>
        <w:rPr>
          <w:bCs/>
          <w:color w:val="54883D"/>
          <w:sz w:val="20"/>
          <w:szCs w:val="18"/>
        </w:rPr>
        <w:t>. Prikaz ocjene spremnosti povjerenika civilne zaštite</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rPr/>
      </w:pPr>
      <w:r>
        <w:rPr/>
      </w:r>
    </w:p>
    <w:p>
      <w:pPr>
        <w:pStyle w:val="Normal"/>
        <w:rPr>
          <w:b/>
          <w:b/>
        </w:rPr>
      </w:pPr>
      <w:r>
        <w:rPr>
          <w:b/>
        </w:rPr>
      </w:r>
    </w:p>
    <w:p>
      <w:pPr>
        <w:pStyle w:val="Normal"/>
        <w:rPr>
          <w:b/>
          <w:b/>
        </w:rPr>
      </w:pPr>
      <w:r>
        <w:rPr>
          <w:b/>
        </w:rPr>
        <w:t>Koordinatori na lokaciji</w:t>
      </w:r>
    </w:p>
    <w:p>
      <w:pPr>
        <w:pStyle w:val="Normal"/>
        <w:rPr/>
      </w:pPr>
      <w:r>
        <w:rPr/>
        <w:t>Koordinator na lokaciji procjenjuje nastalu situaciju i njezine posljedice na terenu te u suradnji s stožerom civilne zaštite usklađuje djelovanje operativnih snaga sustava civilne zaštite.</w:t>
      </w:r>
    </w:p>
    <w:p>
      <w:pPr>
        <w:pStyle w:val="Normal"/>
        <w:rPr/>
      </w:pPr>
      <w:r>
        <w:rPr/>
        <w:t>Koordinatora na lokaciji, sukladno specifičnostima izvanrednog događaja, određuje načelnik stožera civilne zaštite iz redova operativnih snaga sustava civilne zaštite u trenutku kada dođe do velike nesreće.</w:t>
      </w:r>
    </w:p>
    <w:p>
      <w:pPr>
        <w:pStyle w:val="Normal"/>
        <w:spacing w:before="120" w:after="120"/>
        <w:rPr/>
      </w:pPr>
      <w:r>
        <w:rPr>
          <w:szCs w:val="22"/>
          <w:shd w:fill="FFFFFF" w:val="clear"/>
        </w:rPr>
        <w:t>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članka 26. stavak 2. Pravilnika o mobilizaciji, uvjetima i načinu rada operativnih snaga sustava civilne zaštite (NN 69/16), Grad Buje će u suradnji sa operativnim snagama civilne zaštite utvrditi popis potencijalnih koordinatora na lokaciji.</w:t>
      </w:r>
    </w:p>
    <w:p>
      <w:pPr>
        <w:pStyle w:val="Normal"/>
        <w:rPr>
          <w:b/>
          <w:b/>
        </w:rPr>
      </w:pPr>
      <w:r>
        <w:rPr>
          <w:b/>
        </w:rPr>
      </w:r>
    </w:p>
    <w:p>
      <w:pPr>
        <w:pStyle w:val="Normal"/>
        <w:rPr>
          <w:b/>
          <w:b/>
        </w:rPr>
      </w:pPr>
      <w:r>
        <w:rPr>
          <w:b/>
        </w:rPr>
        <w:t>Vatrogasne snage na prostoru Grada Buja</w:t>
      </w:r>
    </w:p>
    <w:p>
      <w:pPr>
        <w:pStyle w:val="Normal"/>
        <w:rPr>
          <w:lang w:bidi="en-US"/>
        </w:rPr>
      </w:pPr>
      <w:r>
        <w:rPr>
          <w:lang w:bidi="en-US"/>
        </w:rPr>
        <w:t>Na području Grada Buje – Buie djeluju JVP Umag i DVD Buje.</w:t>
      </w:r>
    </w:p>
    <w:p>
      <w:pPr>
        <w:pStyle w:val="Normal"/>
        <w:spacing w:before="0" w:after="0"/>
        <w:jc w:val="center"/>
        <w:rPr>
          <w:b/>
          <w:b/>
          <w:bCs/>
          <w:color w:val="auto"/>
          <w:sz w:val="20"/>
          <w:szCs w:val="20"/>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13</w:t>
      </w:r>
      <w:r>
        <w:rPr>
          <w:sz w:val="20"/>
          <w:b/>
          <w:szCs w:val="20"/>
          <w:bCs/>
          <w:color w:val="auto"/>
        </w:rPr>
        <w:fldChar w:fldCharType="end"/>
      </w:r>
      <w:r>
        <w:rPr>
          <w:b/>
          <w:bCs/>
          <w:color w:val="auto"/>
          <w:sz w:val="20"/>
          <w:szCs w:val="20"/>
        </w:rPr>
        <w:t>. Pregled vatrogasnih postrojbi na području Grada Buje – Buie</w:t>
      </w:r>
    </w:p>
    <w:tbl>
      <w:tblPr>
        <w:tblStyle w:val="TableGrid1"/>
        <w:tblW w:w="9939" w:type="dxa"/>
        <w:jc w:val="center"/>
        <w:tblInd w:w="0" w:type="dxa"/>
        <w:tblCellMar>
          <w:top w:w="0" w:type="dxa"/>
          <w:left w:w="108" w:type="dxa"/>
          <w:bottom w:w="0" w:type="dxa"/>
          <w:right w:w="108" w:type="dxa"/>
        </w:tblCellMar>
        <w:tblLook w:firstRow="1" w:noVBand="1" w:lastRow="0" w:firstColumn="1" w:lastColumn="0" w:noHBand="0" w:val="04a0"/>
      </w:tblPr>
      <w:tblGrid>
        <w:gridCol w:w="1139"/>
        <w:gridCol w:w="1181"/>
        <w:gridCol w:w="1386"/>
        <w:gridCol w:w="1182"/>
        <w:gridCol w:w="1149"/>
        <w:gridCol w:w="2726"/>
        <w:gridCol w:w="1175"/>
      </w:tblGrid>
      <w:tr>
        <w:trPr>
          <w:trHeight w:val="921" w:hRule="atLeast"/>
        </w:trPr>
        <w:tc>
          <w:tcPr>
            <w:tcW w:w="1139"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Postrojba</w:t>
            </w:r>
          </w:p>
        </w:tc>
        <w:tc>
          <w:tcPr>
            <w:tcW w:w="1181"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Dežurstvo</w:t>
            </w:r>
          </w:p>
        </w:tc>
        <w:tc>
          <w:tcPr>
            <w:tcW w:w="1386"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Broj operativnih* vatrogasaca</w:t>
            </w:r>
          </w:p>
        </w:tc>
        <w:tc>
          <w:tcPr>
            <w:tcW w:w="1182"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Broj voditelja**</w:t>
            </w:r>
          </w:p>
        </w:tc>
        <w:tc>
          <w:tcPr>
            <w:tcW w:w="1149"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Smjena/1. izlaz</w:t>
            </w:r>
          </w:p>
        </w:tc>
        <w:tc>
          <w:tcPr>
            <w:tcW w:w="2726"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Vozila</w:t>
            </w:r>
          </w:p>
        </w:tc>
        <w:tc>
          <w:tcPr>
            <w:tcW w:w="1175" w:type="dxa"/>
            <w:tcBorders>
              <w:top w:val="single" w:sz="4" w:space="0" w:color="76923C"/>
              <w:left w:val="single" w:sz="4" w:space="0" w:color="76923C"/>
              <w:bottom w:val="single" w:sz="4" w:space="0" w:color="76923C"/>
              <w:right w:val="single" w:sz="4" w:space="0" w:color="76923C"/>
            </w:tcBorders>
            <w:shd w:color="auto" w:fill="EAF1DD" w:themeFill="accent3" w:themeFillTint="33" w:val="clear"/>
            <w:vAlign w:val="center"/>
          </w:tcPr>
          <w:p>
            <w:pPr>
              <w:pStyle w:val="Normal"/>
              <w:tabs>
                <w:tab w:val="clear" w:pos="708"/>
                <w:tab w:val="left" w:pos="3045" w:leader="none"/>
              </w:tabs>
              <w:spacing w:lineRule="auto" w:line="240" w:before="120" w:after="120"/>
              <w:jc w:val="center"/>
              <w:rPr>
                <w:b/>
                <w:b/>
                <w:color w:val="auto"/>
                <w:sz w:val="20"/>
                <w:szCs w:val="20"/>
              </w:rPr>
            </w:pPr>
            <w:r>
              <w:rPr>
                <w:rFonts w:eastAsia="Times New Roman" w:cs="Times New Roman" w:ascii="Times New Roman" w:hAnsi="Times New Roman"/>
                <w:b/>
                <w:color w:val="auto"/>
                <w:sz w:val="20"/>
                <w:szCs w:val="20"/>
                <w:lang w:eastAsia="hr-HR"/>
              </w:rPr>
              <w:t>Dom – spremište</w:t>
            </w:r>
          </w:p>
        </w:tc>
      </w:tr>
      <w:tr>
        <w:trPr>
          <w:trHeight w:val="709" w:hRule="atLeast"/>
        </w:trPr>
        <w:tc>
          <w:tcPr>
            <w:tcW w:w="1139"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b/>
                <w:b/>
                <w:color w:val="auto"/>
                <w:sz w:val="20"/>
                <w:szCs w:val="20"/>
              </w:rPr>
            </w:pPr>
            <w:r>
              <w:rPr>
                <w:rFonts w:eastAsia="Times New Roman" w:cs="Times New Roman" w:ascii="Times New Roman" w:hAnsi="Times New Roman"/>
                <w:b/>
                <w:color w:val="auto"/>
                <w:sz w:val="20"/>
                <w:szCs w:val="20"/>
                <w:lang w:eastAsia="hr-HR"/>
              </w:rPr>
              <w:t>JVP Umag</w:t>
            </w:r>
          </w:p>
        </w:tc>
        <w:tc>
          <w:tcPr>
            <w:tcW w:w="1181"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24 h</w:t>
            </w:r>
          </w:p>
        </w:tc>
        <w:tc>
          <w:tcPr>
            <w:tcW w:w="1386"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34</w:t>
            </w:r>
          </w:p>
        </w:tc>
        <w:tc>
          <w:tcPr>
            <w:tcW w:w="1182"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14</w:t>
            </w:r>
          </w:p>
        </w:tc>
        <w:tc>
          <w:tcPr>
            <w:tcW w:w="1149"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5-8/4-7</w:t>
            </w:r>
          </w:p>
        </w:tc>
        <w:tc>
          <w:tcPr>
            <w:tcW w:w="2726"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mazda pick up, 4, zapovijedno vozilo (malo tehničko)</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kombinirano navalno - tehničko, Iveco Traker, 3000 l/vode, 300 l/pjenila,7+2, oprema za tehničke intervencije</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kombinirano navalno -  autoljestva 18 m, Mercedes atego, 4+2,2000 l vode 200 l pjenila</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autocisterna, voda - pjena Mercedes actros, 3, 6000 l vode, 600 l pjenila</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autocisterna, mercedes 1213, 3,6000 l vode (van funkcije)</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autocisterna - šumsko vozilo, mercedes unimog, 3, 4000 l vode 400 l pjenila</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autocisterna - šumsko vozilo, mercedes unimog, 3, 2000 l vode, 200 l pjenila</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zapovijedno vozilo, toyota rav4, 4</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šumsko vozilo, mercedes puch, 2, 300l vode</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 xml:space="preserve">5 x terensko vozilo Ford Ranger, </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kombi vozilo renaulth trafic 9</w:t>
            </w:r>
          </w:p>
        </w:tc>
        <w:tc>
          <w:tcPr>
            <w:tcW w:w="1175"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w:t>
            </w:r>
          </w:p>
        </w:tc>
      </w:tr>
      <w:tr>
        <w:trPr>
          <w:trHeight w:val="1849" w:hRule="atLeast"/>
        </w:trPr>
        <w:tc>
          <w:tcPr>
            <w:tcW w:w="1139"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b/>
                <w:b/>
                <w:color w:val="auto"/>
                <w:sz w:val="20"/>
                <w:szCs w:val="20"/>
              </w:rPr>
            </w:pPr>
            <w:r>
              <w:rPr>
                <w:rFonts w:eastAsia="Times New Roman" w:cs="Times New Roman" w:ascii="Times New Roman" w:hAnsi="Times New Roman"/>
                <w:b/>
                <w:color w:val="auto"/>
                <w:sz w:val="20"/>
                <w:szCs w:val="20"/>
                <w:lang w:eastAsia="hr-HR"/>
              </w:rPr>
              <w:t>DVD Buje</w:t>
            </w:r>
          </w:p>
        </w:tc>
        <w:tc>
          <w:tcPr>
            <w:tcW w:w="1181"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w:t>
            </w:r>
          </w:p>
        </w:tc>
        <w:tc>
          <w:tcPr>
            <w:tcW w:w="1386"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25</w:t>
            </w:r>
          </w:p>
        </w:tc>
        <w:tc>
          <w:tcPr>
            <w:tcW w:w="1182"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1</w:t>
            </w:r>
          </w:p>
        </w:tc>
        <w:tc>
          <w:tcPr>
            <w:tcW w:w="1149"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w:t>
            </w:r>
          </w:p>
        </w:tc>
        <w:tc>
          <w:tcPr>
            <w:tcW w:w="2726" w:type="dxa"/>
            <w:tcBorders>
              <w:top w:val="single" w:sz="4" w:space="0" w:color="76923C"/>
              <w:left w:val="single" w:sz="4" w:space="0" w:color="76923C"/>
              <w:bottom w:val="single" w:sz="4" w:space="0" w:color="76923C"/>
              <w:right w:val="single" w:sz="4" w:space="0" w:color="76923C"/>
            </w:tcBorders>
            <w:vAlign w:val="center"/>
          </w:tcPr>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jedno šumsko vozilo sa modulom (pick-up)</w:t>
            </w:r>
          </w:p>
          <w:p>
            <w:pPr>
              <w:pStyle w:val="Normal"/>
              <w:numPr>
                <w:ilvl w:val="0"/>
                <w:numId w:val="41"/>
              </w:numPr>
              <w:tabs>
                <w:tab w:val="clear" w:pos="708"/>
                <w:tab w:val="left" w:pos="2445" w:leader="none"/>
              </w:tabs>
              <w:spacing w:lineRule="auto" w:line="240" w:before="120" w:after="120"/>
              <w:contextualSpacing/>
              <w:jc w:val="left"/>
              <w:rPr>
                <w:color w:val="auto"/>
                <w:sz w:val="20"/>
                <w:szCs w:val="20"/>
              </w:rPr>
            </w:pPr>
            <w:r>
              <w:rPr>
                <w:rFonts w:eastAsia="Times New Roman" w:cs="Times New Roman" w:ascii="Times New Roman" w:hAnsi="Times New Roman"/>
                <w:color w:val="auto"/>
                <w:sz w:val="20"/>
                <w:szCs w:val="20"/>
                <w:lang w:eastAsia="hr-HR"/>
              </w:rPr>
              <w:t>2 putnička kombija za prijevoz vatrogasaca</w:t>
            </w:r>
          </w:p>
        </w:tc>
        <w:tc>
          <w:tcPr>
            <w:tcW w:w="1175" w:type="dxa"/>
            <w:tcBorders>
              <w:top w:val="single" w:sz="4" w:space="0" w:color="76923C"/>
              <w:left w:val="single" w:sz="4" w:space="0" w:color="76923C"/>
              <w:bottom w:val="single" w:sz="4" w:space="0" w:color="76923C"/>
              <w:right w:val="single" w:sz="4" w:space="0" w:color="76923C"/>
            </w:tcBorders>
            <w:vAlign w:val="center"/>
          </w:tcPr>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 xml:space="preserve">+ </w:t>
            </w:r>
          </w:p>
          <w:p>
            <w:pPr>
              <w:pStyle w:val="Normal"/>
              <w:tabs>
                <w:tab w:val="clear" w:pos="708"/>
                <w:tab w:val="left" w:pos="3045" w:leader="none"/>
              </w:tabs>
              <w:spacing w:lineRule="auto" w:line="240" w:before="0" w:after="0"/>
              <w:jc w:val="center"/>
              <w:rPr>
                <w:color w:val="auto"/>
                <w:sz w:val="20"/>
                <w:szCs w:val="20"/>
              </w:rPr>
            </w:pPr>
            <w:r>
              <w:rPr>
                <w:rFonts w:eastAsia="Times New Roman" w:cs="Times New Roman" w:ascii="Times New Roman" w:hAnsi="Times New Roman"/>
                <w:color w:val="auto"/>
                <w:sz w:val="20"/>
                <w:szCs w:val="20"/>
                <w:lang w:eastAsia="hr-HR"/>
              </w:rPr>
              <w:t xml:space="preserve"> </w:t>
            </w:r>
          </w:p>
          <w:p>
            <w:pPr>
              <w:pStyle w:val="Normal"/>
              <w:tabs>
                <w:tab w:val="clear" w:pos="708"/>
                <w:tab w:val="left" w:pos="3045" w:leader="none"/>
              </w:tabs>
              <w:spacing w:lineRule="auto" w:line="240" w:before="0" w:after="0"/>
              <w:jc w:val="center"/>
              <w:rPr>
                <w:color w:val="auto"/>
                <w:sz w:val="20"/>
                <w:szCs w:val="20"/>
              </w:rPr>
            </w:pPr>
            <w:r>
              <w:rPr>
                <w:color w:val="auto"/>
                <w:sz w:val="20"/>
                <w:szCs w:val="20"/>
                <w:lang w:eastAsia="hr-HR"/>
              </w:rPr>
            </w:r>
          </w:p>
        </w:tc>
      </w:tr>
    </w:tbl>
    <w:p>
      <w:pPr>
        <w:pStyle w:val="Normal"/>
        <w:tabs>
          <w:tab w:val="clear" w:pos="708"/>
          <w:tab w:val="left" w:pos="3045" w:leader="none"/>
        </w:tabs>
        <w:spacing w:before="120" w:after="120"/>
        <w:rPr>
          <w:sz w:val="20"/>
        </w:rPr>
      </w:pPr>
      <w:r>
        <w:rPr>
          <w:sz w:val="20"/>
        </w:rPr>
        <w:t xml:space="preserve">* članovi s ispitom vatrogasca (profesionalnog u JVP, dobrovoljnog u DVD) prema posebnom propisu, osigurani i zdravstveno pregledani </w:t>
      </w:r>
    </w:p>
    <w:p>
      <w:pPr>
        <w:pStyle w:val="Normal"/>
        <w:tabs>
          <w:tab w:val="clear" w:pos="708"/>
          <w:tab w:val="left" w:pos="3045" w:leader="none"/>
        </w:tabs>
        <w:spacing w:before="120" w:after="120"/>
        <w:rPr>
          <w:sz w:val="20"/>
        </w:rPr>
      </w:pPr>
      <w:r>
        <w:rPr>
          <w:sz w:val="20"/>
        </w:rPr>
        <w:t>** članovi s ispitom i za vođenje vatrogasne intervencije prema posebnom propisu</w:t>
      </w:r>
    </w:p>
    <w:p>
      <w:pPr>
        <w:pStyle w:val="Normal"/>
        <w:tabs>
          <w:tab w:val="clear" w:pos="708"/>
          <w:tab w:val="left" w:pos="3045" w:leader="none"/>
        </w:tabs>
        <w:spacing w:before="120" w:after="120"/>
        <w:rPr/>
      </w:pPr>
      <w:r>
        <w:rPr/>
        <w:t>Pravovremen izlaz JVP Umag zajamčen je unutar 15 minuta samo na dijelu područja Grada.</w:t>
      </w:r>
    </w:p>
    <w:p>
      <w:pPr>
        <w:pStyle w:val="Normal"/>
        <w:tabs>
          <w:tab w:val="clear" w:pos="708"/>
          <w:tab w:val="left" w:pos="3045" w:leader="none"/>
        </w:tabs>
        <w:spacing w:before="120" w:after="120"/>
        <w:rPr/>
      </w:pPr>
      <w:r>
        <w:rPr/>
        <w:t>Centar 112 je u Pazinu. Na telefonski broj 193 javlja se VOC Umag. VOC Umag je u sklopu sjedišta JVP Umag, pa je uzbunjivanje za Grad djelujuće dežurne smjene JVP izravno. Iz VOC se po potrebi poziva na mobitel i uzbunjuje zapovjednika ili zamjenika zapovjednika DVD Buje (koje intervenira po nalogu VOC). Uzbunjivanje ostalih vatrogasaca iz DVD je telefonom ili mobitelima (operativni članovi DVD Buje imaju službene mobitele). Komunikacija u intervenciji se vrši mobitelima i radio uređajima.</w:t>
      </w:r>
    </w:p>
    <w:p>
      <w:pPr>
        <w:pStyle w:val="Normal"/>
        <w:spacing w:before="120" w:after="120"/>
        <w:rPr/>
      </w:pPr>
      <w:r>
        <w:rPr/>
        <w:t>Vatrogasci se redovno osposobljavaju za provođenje zadaće zaštite od požara, a bit će i nosioci svih akcija civilne zaštite na području Grada Buja - Buie.</w:t>
      </w:r>
    </w:p>
    <w:p>
      <w:pPr>
        <w:pStyle w:val="Normal"/>
        <w:spacing w:before="120" w:after="120"/>
        <w:rPr>
          <w:u w:val="single"/>
        </w:rPr>
      </w:pPr>
      <w:r>
        <w:rPr>
          <w:u w:val="single"/>
        </w:rPr>
      </w:r>
    </w:p>
    <w:p>
      <w:pPr>
        <w:pStyle w:val="Normal"/>
        <w:spacing w:before="120" w:after="120"/>
        <w:rPr>
          <w:u w:val="single"/>
        </w:rPr>
      </w:pPr>
      <w:r>
        <w:rPr>
          <w:u w:val="single"/>
        </w:rPr>
        <w:t>Provođenje vježbi</w:t>
      </w:r>
    </w:p>
    <w:p>
      <w:pPr>
        <w:pStyle w:val="Normal"/>
        <w:spacing w:before="120" w:after="120"/>
        <w:rPr/>
      </w:pPr>
      <w:r>
        <w:rPr/>
        <w:t>JVP Umag, uz redovito održavanje tehnike, opreme i osobne opreme, svakodnevno održava operativno – taktičke vježbe u skladu sa Planom i programom obuke i nastave sa svojim djelatnicima a sve pod vodstvom zamjenika zapovjednika.</w:t>
      </w:r>
    </w:p>
    <w:p>
      <w:pPr>
        <w:pStyle w:val="Normal"/>
        <w:suppressAutoHyphens w:val="true"/>
        <w:spacing w:before="0" w:after="0"/>
        <w:rPr>
          <w:rFonts w:ascii="Times New Roman" w:hAnsi="Times New Roman" w:cs="Times New Roman"/>
          <w:color w:val="auto"/>
          <w:sz w:val="24"/>
          <w:lang w:eastAsia="zh-CN"/>
        </w:rPr>
      </w:pPr>
      <w:r>
        <w:rPr>
          <w:bCs/>
          <w:color w:val="auto"/>
          <w:szCs w:val="22"/>
          <w:lang w:eastAsia="zh-CN"/>
        </w:rPr>
        <w:t>U planu preventivne djelatnosti, svim djelatnicima je organizirano radno – operativni posjet Aluflexpack d.o.o. Umag  sa kojim je izvedena taktičko-operativna vježba, sa ciljem upoznavanja istih i njihovom tehnologijom rada, kao i manipulativnim putovima unutar organizacija i rasporedom hidrantske mreže kao i uvježbavanje za zajedničko gašenje kod mogućeg požara ili akcidenta.</w:t>
      </w:r>
    </w:p>
    <w:p>
      <w:pPr>
        <w:pStyle w:val="Normal"/>
        <w:spacing w:before="120" w:after="120"/>
        <w:rPr/>
      </w:pPr>
      <w:r>
        <w:rPr/>
      </w:r>
    </w:p>
    <w:p>
      <w:pPr>
        <w:pStyle w:val="Normal"/>
        <w:spacing w:before="0" w:after="160"/>
        <w:jc w:val="center"/>
        <w:rPr>
          <w:bCs/>
          <w:color w:val="54883D"/>
          <w:sz w:val="20"/>
          <w:szCs w:val="20"/>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71</w:t>
      </w:r>
      <w:r>
        <w:rPr>
          <w:sz w:val="20"/>
          <w:szCs w:val="18"/>
          <w:bCs/>
          <w:color w:val="54883D"/>
        </w:rPr>
        <w:fldChar w:fldCharType="end"/>
      </w:r>
      <w:r>
        <w:rPr>
          <w:bCs/>
          <w:color w:val="54883D"/>
          <w:sz w:val="20"/>
          <w:szCs w:val="18"/>
        </w:rPr>
        <w:t xml:space="preserve">. Prikaz </w:t>
      </w:r>
      <w:r>
        <w:rPr>
          <w:bCs/>
          <w:color w:val="54883D"/>
          <w:sz w:val="20"/>
          <w:szCs w:val="20"/>
        </w:rPr>
        <w:t>ocjene spremnosti vatrogasnih postrojbi</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spacing w:before="120" w:after="120"/>
        <w:rPr>
          <w:b/>
          <w:b/>
        </w:rPr>
      </w:pPr>
      <w:r>
        <w:rPr>
          <w:b/>
        </w:rPr>
      </w:r>
    </w:p>
    <w:p>
      <w:pPr>
        <w:pStyle w:val="Normal"/>
        <w:rPr>
          <w:b/>
          <w:b/>
        </w:rPr>
      </w:pPr>
      <w:r>
        <w:rPr>
          <w:b/>
        </w:rPr>
        <w:t>Gradsko društvo Crvenog križa Buje</w:t>
      </w:r>
    </w:p>
    <w:p>
      <w:pPr>
        <w:pStyle w:val="Normal"/>
        <w:spacing w:before="120" w:after="120"/>
        <w:rPr/>
      </w:pPr>
      <w:r>
        <w:rPr/>
        <w:t xml:space="preserve">Na području Grada Buja - Buie djeluje Gradsko društvo Crvenog križa Buje. </w:t>
      </w:r>
    </w:p>
    <w:p>
      <w:pPr>
        <w:pStyle w:val="Normal"/>
        <w:spacing w:lineRule="auto" w:line="240" w:before="0" w:after="0"/>
        <w:textAlignment w:val="baseline"/>
        <w:rPr>
          <w:color w:val="auto"/>
          <w:szCs w:val="22"/>
          <w:lang w:eastAsia="hr-HR"/>
        </w:rPr>
      </w:pPr>
      <w:r>
        <w:rPr>
          <w:color w:val="auto"/>
          <w:szCs w:val="22"/>
          <w:lang w:eastAsia="hr-HR"/>
        </w:rPr>
        <w:t>Gradski interventni tim Gradskog društva Crvenog križa Bujštine spreman je za odgovor na katastrofe, a sastoji se od 22 člana, koji su educirani za intervencije u sljedećim područjima civilne zaštite:</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prva pomoć,</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procjena situacije,</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služba traženja,</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organizacija prihvata i smještaja,</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osiguranje pitke vode </w:t>
      </w:r>
    </w:p>
    <w:p>
      <w:pPr>
        <w:pStyle w:val="Normal"/>
        <w:numPr>
          <w:ilvl w:val="0"/>
          <w:numId w:val="42"/>
        </w:numPr>
        <w:spacing w:lineRule="auto" w:line="240" w:before="120" w:after="120"/>
        <w:jc w:val="left"/>
        <w:textAlignment w:val="baseline"/>
        <w:rPr>
          <w:color w:val="auto"/>
          <w:szCs w:val="22"/>
          <w:lang w:eastAsia="hr-HR"/>
        </w:rPr>
      </w:pPr>
      <w:r>
        <w:rPr>
          <w:bCs/>
          <w:color w:val="auto"/>
          <w:szCs w:val="22"/>
          <w:lang w:eastAsia="hr-HR"/>
        </w:rPr>
        <w:t>minimalni higijenski uvjeta.</w:t>
      </w:r>
    </w:p>
    <w:p>
      <w:pPr>
        <w:pStyle w:val="Normal"/>
        <w:spacing w:lineRule="auto" w:line="240" w:before="120" w:after="120"/>
        <w:jc w:val="left"/>
        <w:textAlignment w:val="baseline"/>
        <w:rPr>
          <w:color w:val="auto"/>
          <w:szCs w:val="22"/>
          <w:lang w:eastAsia="hr-HR"/>
        </w:rPr>
      </w:pPr>
      <w:r>
        <w:rPr>
          <w:color w:val="auto"/>
          <w:szCs w:val="22"/>
          <w:lang w:eastAsia="hr-HR"/>
        </w:rPr>
        <w:t> </w:t>
      </w:r>
    </w:p>
    <w:p>
      <w:pPr>
        <w:pStyle w:val="Normal"/>
        <w:spacing w:lineRule="auto" w:line="240" w:before="120" w:after="120"/>
        <w:jc w:val="left"/>
        <w:textAlignment w:val="baseline"/>
        <w:rPr>
          <w:color w:val="auto"/>
          <w:szCs w:val="22"/>
          <w:lang w:eastAsia="hr-HR"/>
        </w:rPr>
      </w:pPr>
      <w:r>
        <w:rPr>
          <w:color w:val="auto"/>
          <w:szCs w:val="22"/>
          <w:u w:val="single"/>
          <w:lang w:eastAsia="hr-HR"/>
        </w:rPr>
        <w:t>Osim specijalnih znanja svi članovi jedinice obučeni su i sa sljedećim znanjima</w:t>
      </w:r>
      <w:r>
        <w:rPr>
          <w:color w:val="auto"/>
          <w:szCs w:val="22"/>
          <w:lang w:eastAsia="hr-HR"/>
        </w:rPr>
        <w:t>:</w:t>
      </w:r>
    </w:p>
    <w:p>
      <w:pPr>
        <w:pStyle w:val="Normal"/>
        <w:numPr>
          <w:ilvl w:val="0"/>
          <w:numId w:val="42"/>
        </w:numPr>
        <w:spacing w:lineRule="auto" w:line="240" w:before="120" w:after="120"/>
        <w:jc w:val="left"/>
        <w:textAlignment w:val="baseline"/>
        <w:rPr>
          <w:bCs/>
          <w:color w:val="auto"/>
          <w:sz w:val="24"/>
          <w:lang w:eastAsia="hr-HR"/>
        </w:rPr>
      </w:pPr>
      <w:r>
        <w:rPr>
          <w:bCs/>
          <w:color w:val="auto"/>
          <w:szCs w:val="22"/>
          <w:lang w:eastAsia="hr-HR"/>
        </w:rPr>
        <w:t>temeljna obuka iz prve pomoći,</w:t>
      </w:r>
    </w:p>
    <w:p>
      <w:pPr>
        <w:pStyle w:val="Normal"/>
        <w:numPr>
          <w:ilvl w:val="0"/>
          <w:numId w:val="42"/>
        </w:numPr>
        <w:spacing w:lineRule="auto" w:line="240" w:before="120" w:after="120"/>
        <w:jc w:val="left"/>
        <w:textAlignment w:val="baseline"/>
        <w:rPr>
          <w:bCs/>
          <w:color w:val="auto"/>
          <w:sz w:val="24"/>
          <w:lang w:eastAsia="hr-HR"/>
        </w:rPr>
      </w:pPr>
      <w:r>
        <w:rPr>
          <w:bCs/>
          <w:color w:val="auto"/>
          <w:szCs w:val="22"/>
          <w:lang w:eastAsia="hr-HR"/>
        </w:rPr>
        <w:t>sigurnost i samozaštita u intervenciji,</w:t>
      </w:r>
    </w:p>
    <w:p>
      <w:pPr>
        <w:pStyle w:val="Normal"/>
        <w:numPr>
          <w:ilvl w:val="0"/>
          <w:numId w:val="42"/>
        </w:numPr>
        <w:spacing w:lineRule="auto" w:line="240" w:before="120" w:after="120"/>
        <w:jc w:val="left"/>
        <w:textAlignment w:val="baseline"/>
        <w:rPr>
          <w:bCs/>
          <w:color w:val="auto"/>
          <w:sz w:val="24"/>
          <w:lang w:eastAsia="hr-HR"/>
        </w:rPr>
      </w:pPr>
      <w:r>
        <w:rPr>
          <w:bCs/>
          <w:color w:val="auto"/>
          <w:szCs w:val="22"/>
          <w:lang w:eastAsia="hr-HR"/>
        </w:rPr>
        <w:t>psihološka pomoć i podrška </w:t>
      </w:r>
    </w:p>
    <w:p>
      <w:pPr>
        <w:pStyle w:val="Normal"/>
        <w:numPr>
          <w:ilvl w:val="0"/>
          <w:numId w:val="42"/>
        </w:numPr>
        <w:spacing w:lineRule="auto" w:line="240" w:before="120" w:after="120"/>
        <w:jc w:val="left"/>
        <w:textAlignment w:val="baseline"/>
        <w:rPr>
          <w:bCs/>
          <w:color w:val="auto"/>
          <w:sz w:val="24"/>
          <w:lang w:eastAsia="hr-HR"/>
        </w:rPr>
      </w:pPr>
      <w:r>
        <w:rPr>
          <w:bCs/>
          <w:color w:val="auto"/>
          <w:szCs w:val="22"/>
          <w:lang w:eastAsia="hr-HR"/>
        </w:rPr>
        <w:t>veze i komunikacije</w:t>
      </w:r>
    </w:p>
    <w:p>
      <w:pPr>
        <w:pStyle w:val="Normal"/>
        <w:suppressAutoHyphens w:val="true"/>
        <w:spacing w:before="0" w:after="0"/>
        <w:rPr>
          <w:rFonts w:ascii="Times New Roman" w:hAnsi="Times New Roman" w:cs="Times New Roman"/>
          <w:color w:val="auto"/>
          <w:sz w:val="24"/>
          <w:lang w:eastAsia="zh-CN"/>
        </w:rPr>
      </w:pPr>
      <w:r>
        <w:rPr>
          <w:color w:val="000000"/>
          <w:szCs w:val="22"/>
          <w:lang w:eastAsia="zh-CN"/>
        </w:rPr>
        <w:t>Operativne snage Hrvatskog Crvenog križa su temeljna operativna snaga sustava civilne zaštite u velikim nesrećama i katastrofama. Okvir djelovanja operativnih snaga temelji se na Zakonu o sustavu civilne zaštite (NN 82/2015), Pravilniku o ustroju, pripremi i djelovanju Hrvatskog Crvenog križa u kriznim situacijama te ostalim relevantnim propisima. Operativne snage Hrvatskog Crvenog križa čine djelatnici i volonteri društava Crvenog križa organizirani u krizne stožere, interventne timove i timove podrške na lokalnoj, županijskoj i nacionalnoj razini. Hrvatski Crveni križ sudjeluje u aktivnostima vezanim uz krizne situacije, tijekom svih faza krize - od pripreme preko odgovora na kriznu situaciju i pomoći u oporavku po završetku krize.</w:t>
      </w:r>
    </w:p>
    <w:p>
      <w:pPr>
        <w:pStyle w:val="Normal"/>
        <w:suppressAutoHyphens w:val="true"/>
        <w:spacing w:before="0" w:after="0"/>
        <w:rPr>
          <w:color w:val="000000"/>
          <w:szCs w:val="22"/>
          <w:lang w:eastAsia="zh-CN"/>
        </w:rPr>
      </w:pPr>
      <w:r>
        <w:rPr>
          <w:color w:val="000000"/>
          <w:szCs w:val="22"/>
          <w:lang w:eastAsia="zh-CN"/>
        </w:rPr>
      </w:r>
    </w:p>
    <w:p>
      <w:pPr>
        <w:pStyle w:val="Normal"/>
        <w:suppressAutoHyphens w:val="true"/>
        <w:spacing w:before="0" w:after="0"/>
        <w:rPr>
          <w:rFonts w:ascii="Times New Roman" w:hAnsi="Times New Roman" w:cs="Times New Roman"/>
          <w:color w:val="auto"/>
          <w:sz w:val="24"/>
          <w:lang w:eastAsia="zh-CN"/>
        </w:rPr>
      </w:pPr>
      <w:r>
        <w:rPr>
          <w:color w:val="000000"/>
          <w:szCs w:val="22"/>
          <w:lang w:eastAsia="zh-CN"/>
        </w:rPr>
        <w:t>Operativne snage Hrvatskog Crvenog križa također djeluju i u međunarodnim humanitarnim misijama kao potpora nacionalnim društvima u potrebi.</w:t>
      </w:r>
    </w:p>
    <w:p>
      <w:pPr>
        <w:pStyle w:val="Normal"/>
        <w:spacing w:before="80" w:after="120"/>
        <w:rPr/>
      </w:pPr>
      <w:r>
        <w:rPr/>
      </w:r>
    </w:p>
    <w:p>
      <w:pPr>
        <w:pStyle w:val="Normal"/>
        <w:spacing w:before="80" w:after="120"/>
        <w:rPr>
          <w:rFonts w:eastAsia="Calibri" w:eastAsiaTheme="minorHAnsi"/>
          <w:color w:val="auto"/>
          <w:u w:val="single"/>
        </w:rPr>
      </w:pPr>
      <w:r>
        <w:rPr>
          <w:rFonts w:eastAsia="Calibri" w:eastAsiaTheme="minorHAnsi"/>
          <w:color w:val="auto"/>
          <w:u w:val="single"/>
        </w:rPr>
        <w:t>U sljedećoj tablici prikazana je oprema Gradskog društva Crvenog križa Buje.</w:t>
      </w:r>
    </w:p>
    <w:p>
      <w:pPr>
        <w:pStyle w:val="Normal"/>
        <w:spacing w:before="0" w:after="0"/>
        <w:jc w:val="center"/>
        <w:rPr>
          <w:b/>
          <w:b/>
          <w:bCs/>
          <w:color w:val="auto"/>
          <w:sz w:val="20"/>
          <w:szCs w:val="20"/>
        </w:rPr>
      </w:pPr>
      <w:r>
        <w:rPr>
          <w:b/>
          <w:bCs/>
          <w:color w:val="auto"/>
          <w:sz w:val="20"/>
          <w:szCs w:val="20"/>
        </w:rPr>
        <w:t xml:space="preserve">Tablica </w:t>
      </w:r>
      <w:r>
        <w:rPr>
          <w:b/>
          <w:bCs/>
          <w:color w:val="auto"/>
          <w:sz w:val="20"/>
          <w:szCs w:val="20"/>
        </w:rPr>
        <w:fldChar w:fldCharType="begin"/>
      </w:r>
      <w:r>
        <w:rPr>
          <w:sz w:val="20"/>
          <w:b/>
          <w:szCs w:val="20"/>
          <w:bCs/>
          <w:color w:val="auto"/>
        </w:rPr>
        <w:instrText> SEQ Tablica \* ARABIC </w:instrText>
      </w:r>
      <w:r>
        <w:rPr>
          <w:sz w:val="20"/>
          <w:b/>
          <w:szCs w:val="20"/>
          <w:bCs/>
          <w:color w:val="auto"/>
        </w:rPr>
        <w:fldChar w:fldCharType="separate"/>
      </w:r>
      <w:r>
        <w:rPr>
          <w:sz w:val="20"/>
          <w:b/>
          <w:szCs w:val="20"/>
          <w:bCs/>
          <w:color w:val="auto"/>
        </w:rPr>
        <w:t>14</w:t>
      </w:r>
      <w:r>
        <w:rPr>
          <w:sz w:val="20"/>
          <w:b/>
          <w:szCs w:val="20"/>
          <w:bCs/>
          <w:color w:val="auto"/>
        </w:rPr>
        <w:fldChar w:fldCharType="end"/>
      </w:r>
      <w:r>
        <w:rPr>
          <w:b/>
          <w:bCs/>
          <w:color w:val="auto"/>
          <w:sz w:val="20"/>
          <w:szCs w:val="20"/>
        </w:rPr>
        <w:t>. Oprema Gradskog društva Crvenog križa Buje – Buie</w:t>
      </w:r>
    </w:p>
    <w:tbl>
      <w:tblPr>
        <w:tblW w:w="9321" w:type="dxa"/>
        <w:jc w:val="left"/>
        <w:tblInd w:w="-5" w:type="dxa"/>
        <w:tblCellMar>
          <w:top w:w="0" w:type="dxa"/>
          <w:left w:w="108" w:type="dxa"/>
          <w:bottom w:w="0" w:type="dxa"/>
          <w:right w:w="108" w:type="dxa"/>
        </w:tblCellMar>
        <w:tblLook w:firstRow="0" w:noVBand="0" w:lastRow="0" w:firstColumn="0" w:lastColumn="0" w:noHBand="0" w:val="0000"/>
      </w:tblPr>
      <w:tblGrid>
        <w:gridCol w:w="993"/>
        <w:gridCol w:w="4160"/>
        <w:gridCol w:w="2171"/>
        <w:gridCol w:w="1996"/>
      </w:tblGrid>
      <w:tr>
        <w:trPr>
          <w:trHeight w:val="512" w:hRule="atLeast"/>
        </w:trPr>
        <w:tc>
          <w:tcPr>
            <w:tcW w:w="993"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suppressAutoHyphens w:val="true"/>
              <w:spacing w:lineRule="auto" w:line="240" w:before="0" w:after="0"/>
              <w:rPr>
                <w:rFonts w:ascii="Times New Roman" w:hAnsi="Times New Roman" w:cs="Times New Roman"/>
                <w:color w:val="auto"/>
                <w:sz w:val="24"/>
                <w:lang w:eastAsia="zh-CN"/>
              </w:rPr>
            </w:pPr>
            <w:r>
              <w:rPr>
                <w:rFonts w:eastAsia="Arial"/>
                <w:i/>
                <w:color w:val="auto"/>
                <w:szCs w:val="22"/>
                <w:lang w:eastAsia="zh-CN"/>
              </w:rPr>
              <w:t xml:space="preserve">  </w:t>
            </w:r>
            <w:r>
              <w:rPr>
                <w:i/>
                <w:color w:val="auto"/>
                <w:szCs w:val="22"/>
                <w:lang w:eastAsia="zh-CN"/>
              </w:rPr>
              <w:t>R. broj</w:t>
            </w:r>
          </w:p>
        </w:tc>
        <w:tc>
          <w:tcPr>
            <w:tcW w:w="4160"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suppressAutoHyphens w:val="true"/>
              <w:spacing w:lineRule="auto" w:line="240" w:before="0" w:after="0"/>
              <w:rPr>
                <w:rFonts w:ascii="Times New Roman" w:hAnsi="Times New Roman" w:cs="Times New Roman"/>
                <w:color w:val="auto"/>
                <w:sz w:val="24"/>
                <w:lang w:eastAsia="zh-CN"/>
              </w:rPr>
            </w:pPr>
            <w:r>
              <w:rPr>
                <w:i/>
                <w:color w:val="auto"/>
                <w:szCs w:val="22"/>
                <w:lang w:eastAsia="zh-CN"/>
              </w:rPr>
              <w:t>Naziv opreme</w:t>
            </w:r>
          </w:p>
        </w:tc>
        <w:tc>
          <w:tcPr>
            <w:tcW w:w="2171"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suppressAutoHyphens w:val="true"/>
              <w:spacing w:lineRule="auto" w:line="240" w:before="0" w:after="0"/>
              <w:rPr>
                <w:rFonts w:ascii="Times New Roman" w:hAnsi="Times New Roman" w:cs="Times New Roman"/>
                <w:color w:val="auto"/>
                <w:sz w:val="24"/>
                <w:lang w:eastAsia="zh-CN"/>
              </w:rPr>
            </w:pPr>
            <w:r>
              <w:rPr>
                <w:i/>
                <w:color w:val="auto"/>
                <w:szCs w:val="22"/>
                <w:lang w:eastAsia="zh-CN"/>
              </w:rPr>
              <w:t>Komada</w:t>
            </w:r>
          </w:p>
        </w:tc>
        <w:tc>
          <w:tcPr>
            <w:tcW w:w="1996" w:type="dxa"/>
            <w:tcBorders>
              <w:top w:val="single" w:sz="4" w:space="0" w:color="76923C"/>
              <w:left w:val="single" w:sz="4" w:space="0" w:color="76923C"/>
              <w:bottom w:val="single" w:sz="4" w:space="0" w:color="76923C"/>
              <w:right w:val="single" w:sz="4" w:space="0" w:color="76923C"/>
            </w:tcBorders>
            <w:shd w:color="auto" w:fill="D6E3BC" w:themeFill="accent3" w:themeFillTint="66" w:val="clear"/>
          </w:tcPr>
          <w:p>
            <w:pPr>
              <w:pStyle w:val="Normal"/>
              <w:suppressAutoHyphens w:val="true"/>
              <w:spacing w:lineRule="auto" w:line="240" w:before="0" w:after="0"/>
              <w:rPr>
                <w:rFonts w:ascii="Times New Roman" w:hAnsi="Times New Roman" w:cs="Times New Roman"/>
                <w:color w:val="auto"/>
                <w:sz w:val="24"/>
                <w:lang w:eastAsia="zh-CN"/>
              </w:rPr>
            </w:pPr>
            <w:r>
              <w:rPr>
                <w:i/>
                <w:color w:val="auto"/>
                <w:szCs w:val="22"/>
                <w:lang w:eastAsia="zh-CN"/>
              </w:rPr>
              <w:t>Potrebno</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Šator model 350 35m²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3</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Šator  obiteljski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5</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3.</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Šator za ekipu prve pomoći sa opremom</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5</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4.</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Poljski kreveti  tip economy</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18</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30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5.</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Stolice plastične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7</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6.</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Metalne ljestve</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r>
      <w:tr>
        <w:trPr>
          <w:trHeight w:val="70"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7.</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Stolovi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5</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8.</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Klupe</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4</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9.</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Kanistri 20l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8</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Torba vreća za deke pax</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6</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4</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11.</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Deke</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100</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200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12.</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Radiostanice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13.</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Motorole</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6</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6</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14.</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Torbice </w:t>
            </w:r>
            <w:r>
              <w:rPr>
                <w:color w:val="auto"/>
                <w:szCs w:val="22"/>
                <w:lang w:eastAsia="zh-CN"/>
              </w:rPr>
              <w:t xml:space="preserve">PPP - </w:t>
            </w:r>
            <w:r>
              <w:rPr>
                <w:color w:val="000000"/>
                <w:szCs w:val="22"/>
                <w:lang w:eastAsia="zh-CN"/>
              </w:rPr>
              <w:t>BLS torba prof.</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6</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6</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15.</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Torbice </w:t>
            </w:r>
            <w:r>
              <w:rPr>
                <w:color w:val="auto"/>
                <w:szCs w:val="22"/>
                <w:lang w:eastAsia="zh-CN"/>
              </w:rPr>
              <w:t>PP</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1</w:t>
            </w:r>
          </w:p>
        </w:tc>
      </w:tr>
      <w:tr>
        <w:trPr>
          <w:trHeight w:val="263"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16.</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Materijal opreme za </w:t>
            </w:r>
            <w:r>
              <w:rPr>
                <w:color w:val="auto"/>
                <w:szCs w:val="22"/>
                <w:lang w:eastAsia="zh-CN"/>
              </w:rPr>
              <w:t>PPP</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r>
              <w:rPr>
                <w:color w:val="000000"/>
                <w:szCs w:val="22"/>
                <w:lang w:eastAsia="zh-CN"/>
              </w:rPr>
              <w:t xml:space="preserve"> box</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2 box</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17.</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Torbe ruksaci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11 </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30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18.</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Set alata</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4</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19.</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Lopate za punjenje pijeska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4</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50 </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20.</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 xml:space="preserve">Nosila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4</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21.</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Spinalna daska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22.</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Obuhvatna nosila</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23.</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Invalidska  Kolica</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rFonts w:eastAsia="Arial"/>
                <w:color w:val="auto"/>
                <w:szCs w:val="22"/>
                <w:lang w:eastAsia="zh-CN"/>
              </w:rPr>
              <w:t xml:space="preserve"> </w:t>
            </w:r>
            <w:r>
              <w:rPr>
                <w:color w:val="auto"/>
                <w:szCs w:val="22"/>
                <w:lang w:eastAsia="zh-CN"/>
              </w:rPr>
              <w:t xml:space="preserve">- </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24.</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Prijenosno računalo</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000000"/>
                <w:szCs w:val="22"/>
                <w:lang w:eastAsia="zh-CN"/>
              </w:rPr>
              <w:t>2</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25.</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Kacige  (crvene vatrogasne)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26.</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Kacige bijele prof. Mamut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10</w:t>
            </w:r>
          </w:p>
        </w:tc>
      </w:tr>
      <w:tr>
        <w:trPr>
          <w:trHeight w:val="249" w:hRule="atLeast"/>
        </w:trPr>
        <w:tc>
          <w:tcPr>
            <w:tcW w:w="993"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27.</w:t>
            </w:r>
          </w:p>
        </w:tc>
        <w:tc>
          <w:tcPr>
            <w:tcW w:w="4160"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 xml:space="preserve">Inox posuđe za prijevoz gotove hrane  20l </w:t>
            </w:r>
          </w:p>
        </w:tc>
        <w:tc>
          <w:tcPr>
            <w:tcW w:w="2171"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2</w:t>
            </w:r>
          </w:p>
        </w:tc>
        <w:tc>
          <w:tcPr>
            <w:tcW w:w="1996" w:type="dxa"/>
            <w:tcBorders>
              <w:top w:val="single" w:sz="4" w:space="0" w:color="76923C"/>
              <w:left w:val="single" w:sz="4" w:space="0" w:color="76923C"/>
              <w:bottom w:val="single" w:sz="4" w:space="0" w:color="76923C"/>
              <w:right w:val="single" w:sz="4" w:space="0" w:color="76923C"/>
            </w:tcBorders>
            <w:shd w:color="auto" w:fill="auto" w:val="clear"/>
          </w:tcPr>
          <w:p>
            <w:pPr>
              <w:pStyle w:val="Normal"/>
              <w:suppressAutoHyphens w:val="true"/>
              <w:spacing w:lineRule="auto" w:line="240" w:before="0" w:after="0"/>
              <w:rPr>
                <w:rFonts w:ascii="Times New Roman" w:hAnsi="Times New Roman" w:cs="Times New Roman"/>
                <w:color w:val="auto"/>
                <w:sz w:val="24"/>
                <w:lang w:eastAsia="zh-CN"/>
              </w:rPr>
            </w:pPr>
            <w:r>
              <w:rPr>
                <w:color w:val="auto"/>
                <w:szCs w:val="22"/>
                <w:lang w:eastAsia="zh-CN"/>
              </w:rPr>
              <w:t>6</w:t>
            </w:r>
          </w:p>
        </w:tc>
      </w:tr>
    </w:tbl>
    <w:p>
      <w:pPr>
        <w:pStyle w:val="Normal"/>
        <w:rPr>
          <w:rFonts w:eastAsia="Calibri" w:eastAsiaTheme="minorHAnsi"/>
          <w:color w:val="auto"/>
        </w:rPr>
      </w:pPr>
      <w:r>
        <w:rPr>
          <w:rFonts w:eastAsia="Calibri" w:eastAsiaTheme="minorHAnsi"/>
          <w:color w:val="auto"/>
        </w:rPr>
      </w:r>
    </w:p>
    <w:p>
      <w:pPr>
        <w:pStyle w:val="Normal"/>
        <w:spacing w:before="0" w:after="160"/>
        <w:jc w:val="center"/>
        <w:rPr>
          <w:bCs/>
          <w:color w:val="54883D"/>
          <w:sz w:val="20"/>
          <w:szCs w:val="20"/>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72</w:t>
      </w:r>
      <w:r>
        <w:rPr>
          <w:sz w:val="20"/>
          <w:szCs w:val="18"/>
          <w:bCs/>
          <w:color w:val="54883D"/>
        </w:rPr>
        <w:fldChar w:fldCharType="end"/>
      </w:r>
      <w:r>
        <w:rPr>
          <w:bCs/>
          <w:color w:val="54883D"/>
          <w:sz w:val="20"/>
          <w:szCs w:val="18"/>
        </w:rPr>
        <w:t xml:space="preserve">. Prikaz </w:t>
      </w:r>
      <w:r>
        <w:rPr>
          <w:bCs/>
          <w:color w:val="54883D"/>
          <w:sz w:val="20"/>
          <w:szCs w:val="20"/>
        </w:rPr>
        <w:t>ocjene spremnosti Gradskog Društva Crvenog križa Buje</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rPr>
          <w:b/>
          <w:b/>
        </w:rPr>
      </w:pPr>
      <w:r>
        <w:rPr>
          <w:b/>
        </w:rPr>
      </w:r>
    </w:p>
    <w:p>
      <w:pPr>
        <w:pStyle w:val="Normal"/>
        <w:rPr>
          <w:b/>
          <w:b/>
        </w:rPr>
      </w:pPr>
      <w:r>
        <w:rPr>
          <w:b/>
        </w:rPr>
      </w:r>
    </w:p>
    <w:p>
      <w:pPr>
        <w:pStyle w:val="Normal"/>
        <w:rPr>
          <w:b/>
          <w:b/>
        </w:rPr>
      </w:pPr>
      <w:bookmarkStart w:id="393" w:name="_Toc436994567"/>
      <w:r>
        <w:rPr>
          <w:b/>
        </w:rPr>
        <w:t xml:space="preserve">Hrvatska gorska služba spašavanja – Stanica </w:t>
      </w:r>
      <w:bookmarkEnd w:id="393"/>
      <w:r>
        <w:rPr>
          <w:b/>
        </w:rPr>
        <w:t>Istra</w:t>
      </w:r>
    </w:p>
    <w:p>
      <w:pPr>
        <w:pStyle w:val="Normal"/>
        <w:rPr>
          <w:rFonts w:eastAsia="Calibri" w:eastAsiaTheme="minorHAnsi"/>
        </w:rPr>
      </w:pPr>
      <w:r>
        <w:rPr>
          <w:rFonts w:eastAsia="Calibri" w:eastAsiaTheme="minorHAnsi"/>
        </w:rPr>
        <w:t>Područje Grada Buja pokriva stanica Istra.</w:t>
      </w:r>
      <w:r>
        <w:rPr/>
        <w:t xml:space="preserve"> </w:t>
      </w:r>
      <w:r>
        <w:rPr>
          <w:rFonts w:eastAsia="Calibri" w:eastAsiaTheme="minorHAnsi"/>
        </w:rPr>
        <w:t>Članstvo Stanice čini 29 volontera od kojih su 18 gorski spašavatelji, 8 pripravnika i 3 suradnika. Od opreme imaju</w:t>
      </w:r>
      <w:r>
        <w:rPr/>
        <w:t xml:space="preserve"> </w:t>
      </w:r>
      <w:r>
        <w:rPr>
          <w:rFonts w:eastAsia="Calibri" w:eastAsiaTheme="minorHAnsi"/>
        </w:rPr>
        <w:t>1 osobno vozilo, 1 kombi vozilo i 1 terensko vozilo. Članovi se uključuju u akcije potrage za nestalim osobama i spašavanjem iz nepristupačnih mjesta.</w:t>
      </w:r>
    </w:p>
    <w:p>
      <w:pPr>
        <w:pStyle w:val="Normal"/>
        <w:rPr>
          <w:rFonts w:eastAsia="Calibri" w:eastAsiaTheme="minorHAnsi"/>
        </w:rPr>
      </w:pPr>
      <w:r>
        <w:rPr>
          <w:rFonts w:eastAsia="Calibri"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pPr>
        <w:pStyle w:val="Normal"/>
        <w:spacing w:before="0" w:after="160"/>
        <w:jc w:val="center"/>
        <w:rPr>
          <w:bCs/>
          <w:color w:val="54883D"/>
          <w:sz w:val="20"/>
          <w:szCs w:val="20"/>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73</w:t>
      </w:r>
      <w:r>
        <w:rPr>
          <w:sz w:val="20"/>
          <w:szCs w:val="18"/>
          <w:bCs/>
          <w:color w:val="54883D"/>
        </w:rPr>
        <w:fldChar w:fldCharType="end"/>
      </w:r>
      <w:r>
        <w:rPr>
          <w:bCs/>
          <w:color w:val="54883D"/>
          <w:sz w:val="20"/>
          <w:szCs w:val="18"/>
        </w:rPr>
        <w:t xml:space="preserve">. Prikaz </w:t>
      </w:r>
      <w:r>
        <w:rPr>
          <w:bCs/>
          <w:color w:val="54883D"/>
          <w:sz w:val="20"/>
          <w:szCs w:val="20"/>
        </w:rPr>
        <w:t>ocjene spremnosti Hrvatske gorske službe spašavanja – Stanica Istra</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rPr>
          <w:rFonts w:eastAsia="Calibri" w:eastAsiaTheme="minorHAnsi"/>
        </w:rPr>
      </w:pPr>
      <w:r>
        <w:rPr>
          <w:rFonts w:eastAsia="Calibri" w:eastAsiaTheme="minorHAnsi"/>
        </w:rPr>
      </w:r>
    </w:p>
    <w:p>
      <w:pPr>
        <w:pStyle w:val="Normal"/>
        <w:rPr>
          <w:b/>
          <w:b/>
        </w:rPr>
      </w:pPr>
      <w:r>
        <w:rPr>
          <w:b/>
        </w:rPr>
        <w:t>Pravne osobe i ostali subjekti na prostoru Grada Buje od interesa za sustav civilne zaštite:</w:t>
      </w:r>
    </w:p>
    <w:p>
      <w:pPr>
        <w:pStyle w:val="ListParagraph"/>
        <w:numPr>
          <w:ilvl w:val="0"/>
          <w:numId w:val="50"/>
        </w:numPr>
        <w:rPr/>
      </w:pPr>
      <w:r>
        <w:rPr/>
        <w:t xml:space="preserve">ISTARSKI VODOVOD d.o.o. </w:t>
      </w:r>
    </w:p>
    <w:p>
      <w:pPr>
        <w:pStyle w:val="ListParagraph"/>
        <w:numPr>
          <w:ilvl w:val="0"/>
          <w:numId w:val="50"/>
        </w:numPr>
        <w:rPr/>
      </w:pPr>
      <w:r>
        <w:rPr/>
        <w:t>6. MAJ d.o.o.</w:t>
      </w:r>
    </w:p>
    <w:p>
      <w:pPr>
        <w:pStyle w:val="ListParagraph"/>
        <w:numPr>
          <w:ilvl w:val="0"/>
          <w:numId w:val="50"/>
        </w:numPr>
        <w:rPr/>
      </w:pPr>
      <w:r>
        <w:rPr/>
        <w:t>CIVITAS BULLEARUM d.o.o.</w:t>
      </w:r>
    </w:p>
    <w:p>
      <w:pPr>
        <w:pStyle w:val="ListParagraph"/>
        <w:numPr>
          <w:ilvl w:val="0"/>
          <w:numId w:val="50"/>
        </w:numPr>
        <w:rPr/>
      </w:pPr>
      <w:r>
        <w:rPr/>
        <w:t>VETERINARSKA STANICA RIJEKA d.o.o.</w:t>
      </w:r>
    </w:p>
    <w:p>
      <w:pPr>
        <w:pStyle w:val="ListParagraph"/>
        <w:numPr>
          <w:ilvl w:val="0"/>
          <w:numId w:val="50"/>
        </w:numPr>
        <w:rPr/>
      </w:pPr>
      <w:r>
        <w:rPr/>
        <w:t>SAECULO d.o.o.</w:t>
      </w:r>
    </w:p>
    <w:p>
      <w:pPr>
        <w:pStyle w:val="ListParagraph"/>
        <w:numPr>
          <w:ilvl w:val="0"/>
          <w:numId w:val="50"/>
        </w:numPr>
        <w:rPr/>
      </w:pPr>
      <w:r>
        <w:rPr/>
        <w:t>METIOR GRADNJA d.o.o.</w:t>
      </w:r>
    </w:p>
    <w:p>
      <w:pPr>
        <w:pStyle w:val="ListParagraph"/>
        <w:numPr>
          <w:ilvl w:val="0"/>
          <w:numId w:val="50"/>
        </w:numPr>
        <w:rPr/>
      </w:pPr>
      <w:r>
        <w:rPr/>
        <w:t>Goting d.o.o.</w:t>
      </w:r>
    </w:p>
    <w:p>
      <w:pPr>
        <w:pStyle w:val="ListParagraph"/>
        <w:numPr>
          <w:ilvl w:val="0"/>
          <w:numId w:val="50"/>
        </w:numPr>
        <w:rPr/>
      </w:pPr>
      <w:r>
        <w:rPr/>
        <w:t>Tesar – zidar Miro Jergović</w:t>
      </w:r>
    </w:p>
    <w:p>
      <w:pPr>
        <w:pStyle w:val="ListParagraph"/>
        <w:numPr>
          <w:ilvl w:val="0"/>
          <w:numId w:val="50"/>
        </w:numPr>
        <w:rPr/>
      </w:pPr>
      <w:r>
        <w:rPr/>
        <w:t>KONZUM plus d.o.o.</w:t>
      </w:r>
    </w:p>
    <w:p>
      <w:pPr>
        <w:pStyle w:val="ListParagraph"/>
        <w:numPr>
          <w:ilvl w:val="0"/>
          <w:numId w:val="50"/>
        </w:numPr>
        <w:rPr/>
      </w:pPr>
      <w:r>
        <w:rPr/>
        <w:t>AUTOTRANS d.d.</w:t>
      </w:r>
    </w:p>
    <w:p>
      <w:pPr>
        <w:pStyle w:val="Normal"/>
        <w:spacing w:before="0" w:after="160"/>
        <w:rPr>
          <w:bCs/>
          <w:color w:val="54883D"/>
          <w:sz w:val="20"/>
          <w:szCs w:val="20"/>
        </w:rPr>
      </w:pPr>
      <w:r>
        <w:rPr>
          <w:bCs/>
          <w:color w:val="54883D"/>
          <w:sz w:val="20"/>
          <w:szCs w:val="20"/>
        </w:rPr>
      </w:r>
    </w:p>
    <w:p>
      <w:pPr>
        <w:pStyle w:val="Normal"/>
        <w:spacing w:before="0" w:after="160"/>
        <w:jc w:val="center"/>
        <w:rPr>
          <w:bCs/>
          <w:color w:val="54883D"/>
          <w:sz w:val="20"/>
          <w:szCs w:val="20"/>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74</w:t>
      </w:r>
      <w:r>
        <w:rPr>
          <w:sz w:val="20"/>
          <w:szCs w:val="18"/>
          <w:bCs/>
          <w:color w:val="54883D"/>
        </w:rPr>
        <w:fldChar w:fldCharType="end"/>
      </w:r>
      <w:r>
        <w:rPr>
          <w:bCs/>
          <w:color w:val="54883D"/>
          <w:sz w:val="20"/>
          <w:szCs w:val="18"/>
        </w:rPr>
        <w:t xml:space="preserve">. Prikaz </w:t>
      </w:r>
      <w:r>
        <w:rPr>
          <w:bCs/>
          <w:color w:val="54883D"/>
          <w:sz w:val="20"/>
          <w:szCs w:val="20"/>
        </w:rPr>
        <w:t>ocjene spremnosti pravnih osoba i udruga od interesa za sustav civilne zaštite</w:t>
      </w:r>
    </w:p>
    <w:tbl>
      <w:tblPr>
        <w:tblW w:w="9209" w:type="dxa"/>
        <w:jc w:val="center"/>
        <w:tblInd w:w="0" w:type="dxa"/>
        <w:tblCellMar>
          <w:top w:w="0" w:type="dxa"/>
          <w:left w:w="108" w:type="dxa"/>
          <w:bottom w:w="0" w:type="dxa"/>
          <w:right w:w="108" w:type="dxa"/>
        </w:tblCellMar>
        <w:tblLook w:firstRow="1" w:noVBand="1" w:lastRow="0" w:firstColumn="1" w:lastColumn="0" w:noHBand="0" w:val="04a0"/>
      </w:tblPr>
      <w:tblGrid>
        <w:gridCol w:w="3539"/>
        <w:gridCol w:w="1418"/>
        <w:gridCol w:w="1283"/>
        <w:gridCol w:w="1562"/>
        <w:gridCol w:w="1407"/>
      </w:tblGrid>
      <w:tr>
        <w:trPr>
          <w:tblHeader w:val="true"/>
          <w:trHeight w:val="341" w:hRule="atLeast"/>
        </w:trPr>
        <w:tc>
          <w:tcPr>
            <w:tcW w:w="3539"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7"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539"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popunjenosti ljudstvom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spremnosti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570"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osposobljenosti ljudstva i zapovjednog osoblja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uvježbanosti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Stupnja opremljenosti materijalnim sredstvima i opremom</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Vremena mobilizacijske spremnosti/operativne gotovosti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rPr>
              <w:t>Samodostatnosti i logističkoj potpori</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539"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b/>
                <w:b/>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7"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spacing w:before="80" w:after="120"/>
        <w:rPr>
          <w:highlight w:val="yellow"/>
        </w:rPr>
      </w:pPr>
      <w:r>
        <w:rPr>
          <w:highlight w:val="yellow"/>
        </w:rPr>
      </w:r>
    </w:p>
    <w:p>
      <w:pPr>
        <w:pStyle w:val="Normal"/>
        <w:spacing w:before="80" w:after="120"/>
        <w:rPr/>
      </w:pPr>
      <w:r>
        <w:rPr/>
        <w:t>U nastavku se nalazi tablica s konačnim ocjenama spremnosti operativnih snaga.</w:t>
      </w:r>
    </w:p>
    <w:p>
      <w:pPr>
        <w:pStyle w:val="Normal"/>
        <w:rPr/>
      </w:pPr>
      <w:r>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75</w:t>
      </w:r>
      <w:r>
        <w:rPr>
          <w:sz w:val="20"/>
          <w:szCs w:val="18"/>
          <w:bCs/>
          <w:color w:val="54883D"/>
        </w:rPr>
        <w:fldChar w:fldCharType="end"/>
      </w:r>
      <w:r>
        <w:rPr>
          <w:bCs/>
          <w:color w:val="54883D"/>
          <w:sz w:val="20"/>
          <w:szCs w:val="18"/>
        </w:rPr>
        <w:t>. Prikaz ocjene spremnosti operativnih snaga sustava civilne zaštite</w:t>
      </w:r>
    </w:p>
    <w:tbl>
      <w:tblPr>
        <w:tblW w:w="9351" w:type="dxa"/>
        <w:jc w:val="center"/>
        <w:tblInd w:w="0" w:type="dxa"/>
        <w:tblCellMar>
          <w:top w:w="0" w:type="dxa"/>
          <w:left w:w="108" w:type="dxa"/>
          <w:bottom w:w="0" w:type="dxa"/>
          <w:right w:w="108" w:type="dxa"/>
        </w:tblCellMar>
        <w:tblLook w:firstRow="1" w:noVBand="1" w:lastRow="0" w:firstColumn="1" w:lastColumn="0" w:noHBand="0" w:val="04a0"/>
      </w:tblPr>
      <w:tblGrid>
        <w:gridCol w:w="3681"/>
        <w:gridCol w:w="1418"/>
        <w:gridCol w:w="1283"/>
        <w:gridCol w:w="1564"/>
        <w:gridCol w:w="1405"/>
      </w:tblGrid>
      <w:tr>
        <w:trPr>
          <w:tblHeader w:val="true"/>
          <w:trHeight w:val="341" w:hRule="atLeast"/>
        </w:trPr>
        <w:tc>
          <w:tcPr>
            <w:tcW w:w="3681"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t>PODRUČJE REAGIRANJA</w:t>
            </w:r>
          </w:p>
        </w:tc>
        <w:tc>
          <w:tcPr>
            <w:tcW w:w="1418"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0" w:after="0"/>
              <w:jc w:val="center"/>
              <w:rPr>
                <w:b/>
                <w:b/>
                <w:sz w:val="20"/>
                <w:szCs w:val="20"/>
              </w:rPr>
            </w:pPr>
            <w:r>
              <w:rPr>
                <w:b/>
                <w:sz w:val="20"/>
                <w:szCs w:val="20"/>
              </w:rPr>
              <w:t>Vrlo niska spremnost</w:t>
            </w:r>
          </w:p>
        </w:tc>
        <w:tc>
          <w:tcPr>
            <w:tcW w:w="1283"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0" w:after="0"/>
              <w:jc w:val="center"/>
              <w:rPr>
                <w:b/>
                <w:b/>
                <w:sz w:val="20"/>
                <w:szCs w:val="20"/>
              </w:rPr>
            </w:pPr>
            <w:r>
              <w:rPr>
                <w:b/>
                <w:sz w:val="20"/>
                <w:szCs w:val="20"/>
              </w:rPr>
              <w:t>Niska spremnost</w:t>
            </w:r>
          </w:p>
        </w:tc>
        <w:tc>
          <w:tcPr>
            <w:tcW w:w="1564"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0" w:after="0"/>
              <w:jc w:val="center"/>
              <w:rPr>
                <w:b/>
                <w:b/>
                <w:sz w:val="20"/>
                <w:szCs w:val="20"/>
              </w:rPr>
            </w:pPr>
            <w:r>
              <w:rPr>
                <w:b/>
                <w:sz w:val="20"/>
                <w:szCs w:val="20"/>
              </w:rPr>
              <w:t>Visoka spremnost</w:t>
            </w:r>
          </w:p>
        </w:tc>
        <w:tc>
          <w:tcPr>
            <w:tcW w:w="1405"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0" w:after="0"/>
              <w:jc w:val="center"/>
              <w:rPr>
                <w:b/>
                <w:b/>
                <w:sz w:val="20"/>
                <w:szCs w:val="20"/>
              </w:rPr>
            </w:pPr>
            <w:r>
              <w:rPr>
                <w:b/>
                <w:sz w:val="20"/>
                <w:szCs w:val="20"/>
              </w:rPr>
              <w:t>Vrlo visoka spremnost</w:t>
            </w:r>
          </w:p>
        </w:tc>
      </w:tr>
      <w:tr>
        <w:trPr>
          <w:tblHeader w:val="true"/>
          <w:trHeight w:val="269" w:hRule="atLeast"/>
        </w:trPr>
        <w:tc>
          <w:tcPr>
            <w:tcW w:w="3681"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rPr>
                <w:b/>
                <w:b/>
                <w:sz w:val="20"/>
                <w:szCs w:val="20"/>
              </w:rPr>
            </w:pPr>
            <w:r>
              <w:rPr>
                <w:b/>
                <w:sz w:val="20"/>
                <w:szCs w:val="20"/>
              </w:rPr>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4</w:t>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3</w:t>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2</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center"/>
              <w:rPr>
                <w:b/>
                <w:b/>
                <w:sz w:val="20"/>
                <w:szCs w:val="20"/>
              </w:rPr>
            </w:pPr>
            <w:r>
              <w:rPr>
                <w:b/>
                <w:sz w:val="20"/>
                <w:szCs w:val="20"/>
              </w:rPr>
              <w:t>1</w:t>
            </w:r>
          </w:p>
        </w:tc>
      </w:tr>
      <w:tr>
        <w:trPr>
          <w:trHeight w:val="341"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Stožer civilne zaštite Grada Buje</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Povjerenici i zamjenici povjerenika Grada Buje</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Vatrogasne snage Grada Buje</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570"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Gradsko Društvo Crvenog križa Buje</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213"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Hrvatska gorska služba spašavanja Stanica Istra</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51"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Pravne osobe i udruge od interesa za sustav civilne zaštite Grada Buje</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r>
        <w:trPr>
          <w:trHeight w:val="341" w:hRule="atLeast"/>
        </w:trPr>
        <w:tc>
          <w:tcPr>
            <w:tcW w:w="3681" w:type="dxa"/>
            <w:tcBorders>
              <w:top w:val="single" w:sz="4" w:space="0" w:color="54883D"/>
              <w:left w:val="single" w:sz="4" w:space="0" w:color="54883D"/>
              <w:bottom w:val="single" w:sz="4" w:space="0" w:color="54883D"/>
              <w:right w:val="single" w:sz="4" w:space="0" w:color="54883D"/>
            </w:tcBorders>
            <w:shd w:color="auto" w:fill="auto" w:val="clear"/>
          </w:tcPr>
          <w:p>
            <w:pPr>
              <w:pStyle w:val="Normal"/>
              <w:spacing w:before="80" w:after="0"/>
              <w:jc w:val="left"/>
              <w:rPr>
                <w:sz w:val="20"/>
                <w:szCs w:val="20"/>
              </w:rPr>
            </w:pPr>
            <w:r>
              <w:rPr>
                <w:sz w:val="20"/>
                <w:szCs w:val="20"/>
                <w:u w:val="single"/>
              </w:rPr>
              <w:t>Područje reagiranja - ZBIRNO</w:t>
            </w:r>
          </w:p>
        </w:tc>
        <w:tc>
          <w:tcPr>
            <w:tcW w:w="1418"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28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4"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40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r>
    </w:tbl>
    <w:p>
      <w:pPr>
        <w:pStyle w:val="Normal"/>
        <w:spacing w:before="0" w:after="120"/>
        <w:rPr>
          <w:b/>
          <w:b/>
        </w:rPr>
      </w:pPr>
      <w:r>
        <w:rPr>
          <w:b/>
        </w:rPr>
      </w:r>
    </w:p>
    <w:p>
      <w:pPr>
        <w:pStyle w:val="Normal"/>
        <w:spacing w:before="0" w:after="120"/>
        <w:rPr>
          <w:b/>
          <w:b/>
        </w:rPr>
      </w:pPr>
      <w:r>
        <w:rPr>
          <w:b/>
        </w:rPr>
      </w:r>
    </w:p>
    <w:p>
      <w:pPr>
        <w:pStyle w:val="Stilnaslova3"/>
        <w:numPr>
          <w:ilvl w:val="2"/>
          <w:numId w:val="2"/>
        </w:numPr>
        <w:ind w:left="709" w:hanging="721"/>
        <w:rPr/>
      </w:pPr>
      <w:bookmarkStart w:id="394" w:name="_Toc99955769"/>
      <w:bookmarkStart w:id="395" w:name="_Toc116990217"/>
      <w:r>
        <w:rPr/>
        <w:t>Stanje mobilnosti operativnih kapaciteta sustava civilne zaštite i stanja komunikacijskih kapaciteta</w:t>
      </w:r>
      <w:bookmarkEnd w:id="394"/>
      <w:bookmarkEnd w:id="395"/>
    </w:p>
    <w:tbl>
      <w:tblPr>
        <w:tblStyle w:val="TableGrid11"/>
        <w:tblW w:w="9068" w:type="dxa"/>
        <w:jc w:val="center"/>
        <w:tblInd w:w="0" w:type="dxa"/>
        <w:tblCellMar>
          <w:top w:w="0" w:type="dxa"/>
          <w:left w:w="108" w:type="dxa"/>
          <w:bottom w:w="0" w:type="dxa"/>
          <w:right w:w="108" w:type="dxa"/>
        </w:tblCellMar>
        <w:tblLook w:firstRow="1" w:noVBand="1" w:lastRow="0" w:firstColumn="1" w:lastColumn="0" w:noHBand="0" w:val="04a0"/>
      </w:tblPr>
      <w:tblGrid>
        <w:gridCol w:w="846"/>
        <w:gridCol w:w="6378"/>
        <w:gridCol w:w="994"/>
        <w:gridCol w:w="849"/>
      </w:tblGrid>
      <w:tr>
        <w:trPr>
          <w:tblHeader w:val="true"/>
        </w:trPr>
        <w:tc>
          <w:tcPr>
            <w:tcW w:w="846"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R. br.</w:t>
            </w:r>
          </w:p>
        </w:tc>
        <w:tc>
          <w:tcPr>
            <w:tcW w:w="6378" w:type="dxa"/>
            <w:vMerge w:val="restart"/>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OPIS</w:t>
            </w:r>
          </w:p>
        </w:tc>
        <w:tc>
          <w:tcPr>
            <w:tcW w:w="1843" w:type="dxa"/>
            <w:gridSpan w:val="2"/>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TVRDNJA</w:t>
            </w:r>
          </w:p>
        </w:tc>
      </w:tr>
      <w:tr>
        <w:trPr>
          <w:tblHeader w:val="true"/>
        </w:trPr>
        <w:tc>
          <w:tcPr>
            <w:tcW w:w="846"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6378" w:type="dxa"/>
            <w:vMerge w:val="continue"/>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DA</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NE</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 li Stožer civilne zaštite opremljen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2.</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Jesu li sve vatrogasne snage opremljene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3.</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 li HGSS-stanica Istra opremljena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4.</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 li Gradsko Društvo Crvenog križa Buje opremljeno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5.</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Jesu li pravne osobe od interesa za sustav civilne zaštite opremljene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6.</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Jesu li povjerenici civilne zaštite i njihovi zamjenici opremljeni komunikacijskim sredstvima (radio stanice, satelitski telefon)?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7.</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Posjeduje li Stožer civilne zaštite vlastita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8.</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Posjeduje li Grad transportna sredstva za prijevoz operativnih snaga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9.</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Posjeduju li povjerenici i zamjenici povjerenika civilne zaštite i koordinatori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10.</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Posjeduju li vatrogasne snage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11.</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Posjeduje li HGSS-Stanica Istra vlastita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12.</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Posjeduje li Gradsko Društvo Crvenog križa Buje vlastita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r>
        <w:trPr/>
        <w:tc>
          <w:tcPr>
            <w:tcW w:w="846"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80" w:after="0"/>
              <w:jc w:val="center"/>
              <w:rPr>
                <w:b/>
                <w:b/>
                <w:sz w:val="20"/>
                <w:szCs w:val="20"/>
              </w:rPr>
            </w:pPr>
            <w:r>
              <w:rPr>
                <w:rFonts w:eastAsia="Times New Roman" w:cs="Times New Roman" w:ascii="Times New Roman" w:hAnsi="Times New Roman"/>
                <w:b/>
                <w:sz w:val="20"/>
                <w:szCs w:val="20"/>
                <w:lang w:eastAsia="hr-HR"/>
              </w:rPr>
              <w:t>13.</w:t>
            </w:r>
          </w:p>
        </w:tc>
        <w:tc>
          <w:tcPr>
            <w:tcW w:w="6378" w:type="dxa"/>
            <w:tcBorders>
              <w:top w:val="single" w:sz="4" w:space="0" w:color="54883D"/>
              <w:left w:val="single" w:sz="4" w:space="0" w:color="54883D"/>
              <w:bottom w:val="single" w:sz="4" w:space="0" w:color="54883D"/>
              <w:right w:val="single" w:sz="4" w:space="0" w:color="54883D"/>
            </w:tcBorders>
          </w:tcPr>
          <w:p>
            <w:pPr>
              <w:pStyle w:val="Normal"/>
              <w:tabs>
                <w:tab w:val="clear" w:pos="708"/>
                <w:tab w:val="left" w:pos="1222" w:leader="none"/>
              </w:tabs>
              <w:spacing w:lineRule="auto" w:line="240" w:before="80" w:after="0"/>
              <w:rPr>
                <w:sz w:val="20"/>
                <w:szCs w:val="20"/>
              </w:rPr>
            </w:pPr>
            <w:r>
              <w:rPr>
                <w:rFonts w:eastAsia="Times New Roman" w:cs="Times New Roman" w:ascii="Times New Roman" w:hAnsi="Times New Roman"/>
                <w:sz w:val="20"/>
                <w:szCs w:val="20"/>
                <w:lang w:eastAsia="hr-HR"/>
              </w:rPr>
              <w:t>Posjeduju li pravne osobe i udruge od interesa za sustav civilne zaštite vlastita transportna sredstva za prijevoz na teren?</w:t>
            </w:r>
          </w:p>
        </w:tc>
        <w:tc>
          <w:tcPr>
            <w:tcW w:w="994"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rFonts w:eastAsia="Times New Roman" w:cs="Times New Roman" w:ascii="Times New Roman" w:hAnsi="Times New Roman"/>
                <w:b/>
                <w:sz w:val="20"/>
                <w:szCs w:val="20"/>
                <w:lang w:eastAsia="hr-HR"/>
              </w:rPr>
              <w:t>x</w:t>
            </w:r>
          </w:p>
        </w:tc>
        <w:tc>
          <w:tcPr>
            <w:tcW w:w="849" w:type="dxa"/>
            <w:tcBorders>
              <w:top w:val="single" w:sz="4" w:space="0" w:color="54883D"/>
              <w:left w:val="single" w:sz="4" w:space="0" w:color="54883D"/>
              <w:bottom w:val="single" w:sz="4" w:space="0" w:color="54883D"/>
              <w:right w:val="single" w:sz="4" w:space="0" w:color="54883D"/>
            </w:tcBorders>
            <w:vAlign w:val="center"/>
          </w:tcPr>
          <w:p>
            <w:pPr>
              <w:pStyle w:val="Normal"/>
              <w:tabs>
                <w:tab w:val="clear" w:pos="708"/>
                <w:tab w:val="left" w:pos="1222" w:leader="none"/>
              </w:tabs>
              <w:spacing w:lineRule="auto" w:line="240" w:before="80" w:after="0"/>
              <w:jc w:val="center"/>
              <w:rPr>
                <w:b/>
                <w:b/>
                <w:sz w:val="20"/>
                <w:szCs w:val="20"/>
              </w:rPr>
            </w:pPr>
            <w:r>
              <w:rPr>
                <w:b/>
                <w:sz w:val="20"/>
                <w:szCs w:val="20"/>
                <w:lang w:eastAsia="hr-HR"/>
              </w:rPr>
            </w:r>
          </w:p>
        </w:tc>
      </w:tr>
    </w:tbl>
    <w:p>
      <w:pPr>
        <w:pStyle w:val="Normal"/>
        <w:rPr/>
      </w:pPr>
      <w:r>
        <w:rPr/>
      </w:r>
    </w:p>
    <w:p>
      <w:pPr>
        <w:pStyle w:val="Normal"/>
        <w:rPr/>
      </w:pPr>
      <w:r>
        <w:rPr/>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Pr>
          <w:u w:val="single"/>
        </w:rPr>
        <w:t>visokom</w:t>
      </w:r>
      <w:r>
        <w:rPr/>
        <w:t xml:space="preserve"> i to posebno zbog spremnosti najvažnijih operativnih kapaciteta od značaja za sustav civilne zaštite u cjelini. </w:t>
      </w:r>
    </w:p>
    <w:p>
      <w:pPr>
        <w:pStyle w:val="Normal"/>
        <w:spacing w:before="0" w:after="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76</w:t>
      </w:r>
      <w:r>
        <w:rPr>
          <w:sz w:val="20"/>
          <w:szCs w:val="18"/>
          <w:bCs/>
          <w:color w:val="54883D"/>
        </w:rPr>
        <w:fldChar w:fldCharType="end"/>
      </w:r>
      <w:r>
        <w:rPr>
          <w:bCs/>
          <w:color w:val="54883D"/>
          <w:sz w:val="20"/>
          <w:szCs w:val="18"/>
        </w:rPr>
        <w:t xml:space="preserve">. Prikaz ocjene komunikacijskih kapaciteta i mobilnosti snaga sustava civilne zaštite  </w:t>
      </w:r>
    </w:p>
    <w:p>
      <w:pPr>
        <w:pStyle w:val="Normal"/>
        <w:spacing w:before="0" w:after="0"/>
        <w:jc w:val="center"/>
        <w:rPr>
          <w:bCs/>
          <w:color w:val="54883D"/>
          <w:sz w:val="20"/>
          <w:szCs w:val="18"/>
        </w:rPr>
      </w:pPr>
      <w:r>
        <w:rPr>
          <w:bCs/>
          <w:color w:val="54883D"/>
          <w:sz w:val="20"/>
          <w:szCs w:val="18"/>
        </w:rPr>
      </w:r>
    </w:p>
    <w:tbl>
      <w:tblPr>
        <w:tblStyle w:val="Reetkatablice1441"/>
        <w:tblW w:w="6041" w:type="dxa"/>
        <w:jc w:val="center"/>
        <w:tblInd w:w="0" w:type="dxa"/>
        <w:tblCellMar>
          <w:top w:w="0" w:type="dxa"/>
          <w:left w:w="108" w:type="dxa"/>
          <w:bottom w:w="0" w:type="dxa"/>
          <w:right w:w="108" w:type="dxa"/>
        </w:tblCellMar>
        <w:tblLook w:firstRow="1" w:noVBand="1" w:lastRow="0" w:firstColumn="1" w:lastColumn="0" w:noHBand="0" w:val="04a0"/>
      </w:tblPr>
      <w:tblGrid>
        <w:gridCol w:w="3020"/>
        <w:gridCol w:w="3020"/>
      </w:tblGrid>
      <w:tr>
        <w:trPr/>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Opisna ocjena</w:t>
            </w:r>
          </w:p>
        </w:tc>
        <w:tc>
          <w:tcPr>
            <w:tcW w:w="3020" w:type="dxa"/>
            <w:tcBorders>
              <w:top w:val="single" w:sz="4" w:space="0" w:color="54883D"/>
              <w:left w:val="single" w:sz="4" w:space="0" w:color="54883D"/>
              <w:bottom w:val="single" w:sz="4" w:space="0" w:color="54883D"/>
              <w:right w:val="single" w:sz="4" w:space="0" w:color="54883D"/>
            </w:tcBorders>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Ocjena</w:t>
            </w:r>
          </w:p>
        </w:tc>
      </w:tr>
      <w:tr>
        <w:trPr/>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niska spremnost</w:t>
            </w:r>
          </w:p>
        </w:tc>
        <w:tc>
          <w:tcPr>
            <w:tcW w:w="3020"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lineRule="auto" w:line="240" w:before="120" w:after="0"/>
              <w:rPr>
                <w:sz w:val="20"/>
              </w:rPr>
            </w:pPr>
            <w:r>
              <w:rPr>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Niska spremnost</w:t>
            </w:r>
          </w:p>
        </w:tc>
        <w:tc>
          <w:tcPr>
            <w:tcW w:w="3020"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lineRule="auto" w:line="240" w:before="120" w:after="0"/>
              <w:jc w:val="center"/>
              <w:rPr>
                <w:b/>
                <w:b/>
                <w:sz w:val="20"/>
              </w:rPr>
            </w:pPr>
            <w:r>
              <w:rPr>
                <w:b/>
                <w:sz w:val="20"/>
                <w:szCs w:val="24"/>
                <w:lang w:eastAsia="hr-HR"/>
              </w:rPr>
            </w:r>
          </w:p>
        </w:tc>
      </w:tr>
      <w:tr>
        <w:trPr/>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Visoka spremnost</w:t>
            </w:r>
          </w:p>
        </w:tc>
        <w:tc>
          <w:tcPr>
            <w:tcW w:w="3020"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lineRule="auto" w:line="240" w:before="120" w:after="0"/>
              <w:jc w:val="center"/>
              <w:rPr>
                <w:b/>
                <w:b/>
                <w:sz w:val="20"/>
              </w:rPr>
            </w:pPr>
            <w:r>
              <w:rPr>
                <w:rFonts w:eastAsia="Times New Roman" w:cs="Times New Roman" w:ascii="Times New Roman" w:hAnsi="Times New Roman"/>
                <w:b/>
                <w:sz w:val="20"/>
                <w:szCs w:val="24"/>
                <w:lang w:eastAsia="hr-HR"/>
              </w:rPr>
              <w:t>x</w:t>
            </w:r>
          </w:p>
        </w:tc>
      </w:tr>
      <w:tr>
        <w:trPr/>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rPr>
                <w:sz w:val="20"/>
              </w:rPr>
            </w:pPr>
            <w:r>
              <w:rPr>
                <w:rFonts w:eastAsia="Times New Roman" w:cs="Times New Roman" w:ascii="Times New Roman" w:hAnsi="Times New Roman"/>
                <w:sz w:val="20"/>
                <w:szCs w:val="24"/>
                <w:lang w:eastAsia="hr-HR"/>
              </w:rPr>
              <w:t>Vrlo visoka spremnost</w:t>
            </w:r>
          </w:p>
        </w:tc>
        <w:tc>
          <w:tcPr>
            <w:tcW w:w="3020"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lineRule="auto" w:line="240" w:before="120" w:after="0"/>
              <w:jc w:val="center"/>
              <w:rPr>
                <w:b/>
                <w:b/>
                <w:sz w:val="20"/>
              </w:rPr>
            </w:pPr>
            <w:r>
              <w:rPr>
                <w:b/>
                <w:sz w:val="20"/>
                <w:szCs w:val="24"/>
                <w:lang w:eastAsia="hr-HR"/>
              </w:rPr>
            </w:r>
          </w:p>
        </w:tc>
      </w:tr>
    </w:tbl>
    <w:p>
      <w:pPr>
        <w:pStyle w:val="Normal"/>
        <w:rPr/>
      </w:pPr>
      <w:r>
        <w:rPr/>
      </w:r>
    </w:p>
    <w:p>
      <w:pPr>
        <w:pStyle w:val="Normal"/>
        <w:rPr/>
      </w:pPr>
      <w:r>
        <w:rPr/>
        <w:t>U nastavku se nalazi zaključna ocjena na području reagiranja sustava civilne zaštite.</w:t>
      </w:r>
    </w:p>
    <w:p>
      <w:pPr>
        <w:pStyle w:val="Normal"/>
        <w:spacing w:before="0" w:after="160"/>
        <w:jc w:val="center"/>
        <w:rPr>
          <w:bCs/>
          <w:color w:val="54883D"/>
          <w:sz w:val="20"/>
          <w:szCs w:val="18"/>
        </w:rPr>
      </w:pPr>
      <w:r>
        <w:rPr>
          <w:bCs/>
          <w:color w:val="54883D"/>
          <w:sz w:val="20"/>
          <w:szCs w:val="18"/>
        </w:rPr>
      </w:r>
    </w:p>
    <w:p>
      <w:pPr>
        <w:pStyle w:val="Normal"/>
        <w:spacing w:before="0" w:after="160"/>
        <w:jc w:val="center"/>
        <w:rPr>
          <w:bCs/>
          <w:color w:val="54883D"/>
          <w:sz w:val="20"/>
          <w:szCs w:val="18"/>
        </w:rPr>
      </w:pPr>
      <w:r>
        <w:rPr>
          <w:bCs/>
          <w:color w:val="54883D"/>
          <w:sz w:val="20"/>
          <w:szCs w:val="18"/>
        </w:rPr>
        <w:t xml:space="preserve">Tablica </w:t>
      </w:r>
      <w:r>
        <w:rPr>
          <w:bCs/>
          <w:color w:val="54883D"/>
          <w:sz w:val="20"/>
          <w:szCs w:val="18"/>
        </w:rPr>
        <w:fldChar w:fldCharType="begin"/>
      </w:r>
      <w:r>
        <w:rPr>
          <w:sz w:val="20"/>
          <w:szCs w:val="18"/>
          <w:bCs/>
          <w:color w:val="54883D"/>
        </w:rPr>
        <w:instrText> SEQ Tabela \* ARABIC </w:instrText>
      </w:r>
      <w:r>
        <w:rPr>
          <w:sz w:val="20"/>
          <w:szCs w:val="18"/>
          <w:bCs/>
          <w:color w:val="54883D"/>
        </w:rPr>
        <w:fldChar w:fldCharType="separate"/>
      </w:r>
      <w:r>
        <w:rPr>
          <w:sz w:val="20"/>
          <w:szCs w:val="18"/>
          <w:bCs/>
          <w:color w:val="54883D"/>
        </w:rPr>
        <w:t>77</w:t>
      </w:r>
      <w:r>
        <w:rPr>
          <w:sz w:val="20"/>
          <w:szCs w:val="18"/>
          <w:bCs/>
          <w:color w:val="54883D"/>
        </w:rPr>
        <w:fldChar w:fldCharType="end"/>
      </w:r>
      <w:r>
        <w:rPr>
          <w:bCs/>
          <w:color w:val="54883D"/>
          <w:sz w:val="20"/>
          <w:szCs w:val="18"/>
        </w:rPr>
        <w:t>. Analiza sustava civilne zaštite – područje reagiranja - zbirno</w:t>
      </w:r>
    </w:p>
    <w:tbl>
      <w:tblPr>
        <w:tblW w:w="9168" w:type="dxa"/>
        <w:jc w:val="center"/>
        <w:tblInd w:w="0" w:type="dxa"/>
        <w:tblCellMar>
          <w:top w:w="0" w:type="dxa"/>
          <w:left w:w="108" w:type="dxa"/>
          <w:bottom w:w="0" w:type="dxa"/>
          <w:right w:w="108" w:type="dxa"/>
        </w:tblCellMar>
        <w:tblLook w:firstRow="1" w:noVBand="1" w:lastRow="0" w:firstColumn="1" w:lastColumn="0" w:noHBand="0" w:val="04a0"/>
      </w:tblPr>
      <w:tblGrid>
        <w:gridCol w:w="3402"/>
        <w:gridCol w:w="1416"/>
        <w:gridCol w:w="1275"/>
        <w:gridCol w:w="1562"/>
        <w:gridCol w:w="1513"/>
      </w:tblGrid>
      <w:tr>
        <w:trPr>
          <w:trHeight w:val="352" w:hRule="atLeast"/>
        </w:trPr>
        <w:tc>
          <w:tcPr>
            <w:tcW w:w="3402" w:type="dxa"/>
            <w:vMerge w:val="restart"/>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p>
            <w:pPr>
              <w:pStyle w:val="Normal"/>
              <w:spacing w:before="80" w:after="0"/>
              <w:jc w:val="center"/>
              <w:rPr>
                <w:b/>
                <w:b/>
                <w:sz w:val="20"/>
                <w:szCs w:val="20"/>
              </w:rPr>
            </w:pPr>
            <w:r>
              <w:rPr>
                <w:b/>
                <w:sz w:val="20"/>
                <w:szCs w:val="20"/>
              </w:rPr>
              <w:t>PODRUČJE REAGIRANJA</w:t>
            </w:r>
          </w:p>
        </w:tc>
        <w:tc>
          <w:tcPr>
            <w:tcW w:w="1416" w:type="dxa"/>
            <w:tcBorders>
              <w:top w:val="single" w:sz="4" w:space="0" w:color="54883D"/>
              <w:left w:val="single" w:sz="4" w:space="0" w:color="54883D"/>
              <w:bottom w:val="single" w:sz="4" w:space="0" w:color="54883D"/>
              <w:right w:val="single" w:sz="4" w:space="0" w:color="54883D"/>
            </w:tcBorders>
            <w:shd w:color="auto" w:fill="FF0000" w:val="clear"/>
            <w:vAlign w:val="center"/>
          </w:tcPr>
          <w:p>
            <w:pPr>
              <w:pStyle w:val="Normal"/>
              <w:spacing w:before="80" w:after="0"/>
              <w:jc w:val="center"/>
              <w:rPr>
                <w:b/>
                <w:b/>
                <w:sz w:val="20"/>
                <w:szCs w:val="20"/>
              </w:rPr>
            </w:pPr>
            <w:r>
              <w:rPr>
                <w:b/>
                <w:sz w:val="20"/>
                <w:szCs w:val="20"/>
              </w:rPr>
              <w:t>Vrlo niska spremnost</w:t>
            </w:r>
          </w:p>
        </w:tc>
        <w:tc>
          <w:tcPr>
            <w:tcW w:w="1275" w:type="dxa"/>
            <w:tcBorders>
              <w:top w:val="single" w:sz="4" w:space="0" w:color="54883D"/>
              <w:left w:val="single" w:sz="4" w:space="0" w:color="54883D"/>
              <w:bottom w:val="single" w:sz="4" w:space="0" w:color="54883D"/>
              <w:right w:val="single" w:sz="4" w:space="0" w:color="54883D"/>
            </w:tcBorders>
            <w:shd w:color="auto" w:fill="FFC000" w:val="clear"/>
            <w:vAlign w:val="center"/>
          </w:tcPr>
          <w:p>
            <w:pPr>
              <w:pStyle w:val="Normal"/>
              <w:spacing w:before="80" w:after="0"/>
              <w:jc w:val="center"/>
              <w:rPr>
                <w:b/>
                <w:b/>
                <w:sz w:val="20"/>
                <w:szCs w:val="20"/>
              </w:rPr>
            </w:pPr>
            <w:r>
              <w:rPr>
                <w:b/>
                <w:sz w:val="20"/>
                <w:szCs w:val="20"/>
              </w:rPr>
              <w:t>Niska spremnost</w:t>
            </w:r>
          </w:p>
        </w:tc>
        <w:tc>
          <w:tcPr>
            <w:tcW w:w="1562" w:type="dxa"/>
            <w:tcBorders>
              <w:top w:val="single" w:sz="4" w:space="0" w:color="54883D"/>
              <w:left w:val="single" w:sz="4" w:space="0" w:color="54883D"/>
              <w:bottom w:val="single" w:sz="4" w:space="0" w:color="54883D"/>
              <w:right w:val="single" w:sz="4" w:space="0" w:color="54883D"/>
            </w:tcBorders>
            <w:shd w:color="auto" w:fill="FFFF00" w:val="clear"/>
            <w:vAlign w:val="center"/>
          </w:tcPr>
          <w:p>
            <w:pPr>
              <w:pStyle w:val="Normal"/>
              <w:spacing w:before="80" w:after="0"/>
              <w:jc w:val="center"/>
              <w:rPr>
                <w:b/>
                <w:b/>
                <w:sz w:val="20"/>
                <w:szCs w:val="20"/>
              </w:rPr>
            </w:pPr>
            <w:r>
              <w:rPr>
                <w:b/>
                <w:sz w:val="20"/>
                <w:szCs w:val="20"/>
              </w:rPr>
              <w:t>Visoka spremnost</w:t>
            </w:r>
          </w:p>
        </w:tc>
        <w:tc>
          <w:tcPr>
            <w:tcW w:w="1513" w:type="dxa"/>
            <w:tcBorders>
              <w:top w:val="single" w:sz="4" w:space="0" w:color="54883D"/>
              <w:left w:val="single" w:sz="4" w:space="0" w:color="54883D"/>
              <w:bottom w:val="single" w:sz="4" w:space="0" w:color="54883D"/>
              <w:right w:val="single" w:sz="4" w:space="0" w:color="54883D"/>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rHeight w:val="278" w:hRule="atLeast"/>
        </w:trPr>
        <w:tc>
          <w:tcPr>
            <w:tcW w:w="3402" w:type="dxa"/>
            <w:vMerge w:val="continue"/>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4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4</w:t>
            </w:r>
          </w:p>
        </w:tc>
        <w:tc>
          <w:tcPr>
            <w:tcW w:w="12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3</w:t>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2</w:t>
            </w:r>
          </w:p>
        </w:tc>
        <w:tc>
          <w:tcPr>
            <w:tcW w:w="151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1</w:t>
            </w:r>
          </w:p>
        </w:tc>
      </w:tr>
      <w:tr>
        <w:trPr>
          <w:trHeight w:val="534" w:hRule="atLeast"/>
        </w:trPr>
        <w:tc>
          <w:tcPr>
            <w:tcW w:w="340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0" w:after="0"/>
              <w:jc w:val="left"/>
              <w:rPr>
                <w:sz w:val="20"/>
                <w:szCs w:val="20"/>
              </w:rPr>
            </w:pPr>
            <w:r>
              <w:rPr>
                <w:sz w:val="20"/>
                <w:szCs w:val="20"/>
              </w:rPr>
              <w:t>Spremnost odgovornih i upravljačkih kapaciteta</w:t>
            </w:r>
          </w:p>
        </w:tc>
        <w:tc>
          <w:tcPr>
            <w:tcW w:w="14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c>
          <w:tcPr>
            <w:tcW w:w="12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1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r>
      <w:tr>
        <w:trPr>
          <w:trHeight w:val="352" w:hRule="atLeast"/>
        </w:trPr>
        <w:tc>
          <w:tcPr>
            <w:tcW w:w="340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Spremnost operativnih kapaciteta</w:t>
            </w:r>
          </w:p>
        </w:tc>
        <w:tc>
          <w:tcPr>
            <w:tcW w:w="14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c>
          <w:tcPr>
            <w:tcW w:w="12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1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r>
      <w:tr>
        <w:trPr>
          <w:trHeight w:val="503" w:hRule="atLeast"/>
        </w:trPr>
        <w:tc>
          <w:tcPr>
            <w:tcW w:w="340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rPr>
            </w:pPr>
            <w:r>
              <w:rPr>
                <w:sz w:val="20"/>
                <w:szCs w:val="20"/>
              </w:rPr>
              <w:t xml:space="preserve">Stanje komunikacijskih kapaciteta i mobilnosti snaga sustava civilne zaštite  </w:t>
            </w:r>
          </w:p>
        </w:tc>
        <w:tc>
          <w:tcPr>
            <w:tcW w:w="14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c>
          <w:tcPr>
            <w:tcW w:w="12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1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r>
      <w:tr>
        <w:trPr>
          <w:trHeight w:val="503" w:hRule="atLeast"/>
        </w:trPr>
        <w:tc>
          <w:tcPr>
            <w:tcW w:w="340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left"/>
              <w:rPr>
                <w:sz w:val="20"/>
                <w:szCs w:val="20"/>
                <w:u w:val="single"/>
              </w:rPr>
            </w:pPr>
            <w:r>
              <w:rPr>
                <w:sz w:val="20"/>
                <w:szCs w:val="20"/>
                <w:u w:val="single"/>
              </w:rPr>
              <w:t>Područje reagiranja – ZBIRNO</w:t>
            </w:r>
          </w:p>
        </w:tc>
        <w:tc>
          <w:tcPr>
            <w:tcW w:w="1416"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c>
          <w:tcPr>
            <w:tcW w:w="1275"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r>
          </w:p>
        </w:tc>
        <w:tc>
          <w:tcPr>
            <w:tcW w:w="1562"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0"/>
              <w:jc w:val="center"/>
              <w:rPr>
                <w:b/>
                <w:b/>
                <w:sz w:val="20"/>
                <w:szCs w:val="20"/>
              </w:rPr>
            </w:pPr>
            <w:r>
              <w:rPr>
                <w:b/>
                <w:sz w:val="20"/>
                <w:szCs w:val="20"/>
              </w:rPr>
              <w:t>x</w:t>
            </w:r>
          </w:p>
        </w:tc>
        <w:tc>
          <w:tcPr>
            <w:tcW w:w="1513" w:type="dxa"/>
            <w:tcBorders>
              <w:top w:val="single" w:sz="4" w:space="0" w:color="54883D"/>
              <w:left w:val="single" w:sz="4" w:space="0" w:color="54883D"/>
              <w:bottom w:val="single" w:sz="4" w:space="0" w:color="54883D"/>
              <w:right w:val="single" w:sz="4" w:space="0" w:color="54883D"/>
            </w:tcBorders>
            <w:shd w:color="auto" w:fill="auto" w:val="clear"/>
            <w:vAlign w:val="center"/>
          </w:tcPr>
          <w:p>
            <w:pPr>
              <w:pStyle w:val="Normal"/>
              <w:spacing w:before="80" w:after="160"/>
              <w:rPr>
                <w:b/>
                <w:b/>
                <w:sz w:val="20"/>
                <w:szCs w:val="20"/>
              </w:rPr>
            </w:pPr>
            <w:r>
              <w:rPr>
                <w:b/>
                <w:sz w:val="20"/>
                <w:szCs w:val="20"/>
              </w:rPr>
            </w:r>
          </w:p>
        </w:tc>
      </w:tr>
    </w:tbl>
    <w:p>
      <w:pPr>
        <w:pStyle w:val="Stilnaslova3"/>
        <w:numPr>
          <w:ilvl w:val="2"/>
          <w:numId w:val="2"/>
        </w:numPr>
        <w:ind w:left="709" w:hanging="721"/>
        <w:rPr/>
      </w:pPr>
      <w:bookmarkStart w:id="396" w:name="_Toc99955770"/>
      <w:bookmarkStart w:id="397" w:name="_Toc116990218"/>
      <w:r>
        <w:rPr/>
        <w:t>Analiza spremnosti prema rizicima obrađenim u Procjeni rizika</w:t>
      </w:r>
      <w:bookmarkEnd w:id="396"/>
      <w:bookmarkEnd w:id="397"/>
    </w:p>
    <w:p>
      <w:pPr>
        <w:pStyle w:val="Normal"/>
        <w:spacing w:before="120" w:after="160"/>
        <w:rPr>
          <w:u w:val="single"/>
        </w:rPr>
      </w:pPr>
      <w:r>
        <w:rPr/>
        <w:t xml:space="preserve">U sljedećoj tablici navedene su snage civilne zaštite potrebne u slučaju nastanka </w:t>
      </w:r>
      <w:r>
        <w:rPr>
          <w:u w:val="single"/>
        </w:rPr>
        <w:t>požara otvorenog tipa.</w:t>
      </w:r>
    </w:p>
    <w:p>
      <w:pPr>
        <w:pStyle w:val="Normal"/>
        <w:rPr/>
      </w:pPr>
      <w:r>
        <w:rPr/>
        <w:t>Za djelotvorniju provedbu civilne zaštite potrebno je:</w:t>
      </w:r>
    </w:p>
    <w:p>
      <w:pPr>
        <w:pStyle w:val="Normal"/>
        <w:numPr>
          <w:ilvl w:val="0"/>
          <w:numId w:val="32"/>
        </w:numPr>
        <w:spacing w:before="120" w:after="120"/>
        <w:contextualSpacing/>
        <w:jc w:val="left"/>
        <w:rPr>
          <w:rFonts w:eastAsia="Calibri" w:eastAsiaTheme="minorHAnsi"/>
          <w:bCs/>
          <w:color w:val="auto"/>
          <w:szCs w:val="22"/>
        </w:rPr>
      </w:pPr>
      <w:r>
        <w:rPr>
          <w:rFonts w:eastAsia="Calibri" w:eastAsiaTheme="minorHAnsi"/>
          <w:bCs/>
          <w:color w:val="auto"/>
          <w:szCs w:val="22"/>
        </w:rPr>
        <w:t>kontinuirano osposobljavanje snaga civilne zaštite,</w:t>
      </w:r>
    </w:p>
    <w:p>
      <w:pPr>
        <w:pStyle w:val="Normal"/>
        <w:numPr>
          <w:ilvl w:val="0"/>
          <w:numId w:val="32"/>
        </w:numPr>
        <w:spacing w:before="120" w:after="120"/>
        <w:contextualSpacing/>
        <w:jc w:val="left"/>
        <w:rPr>
          <w:rFonts w:eastAsia="Calibri" w:eastAsiaTheme="minorHAnsi"/>
          <w:bCs/>
          <w:color w:val="auto"/>
          <w:szCs w:val="22"/>
        </w:rPr>
      </w:pPr>
      <w:r>
        <w:rPr>
          <w:rFonts w:eastAsia="Calibri" w:eastAsiaTheme="minorHAnsi"/>
          <w:bCs/>
          <w:color w:val="auto"/>
          <w:szCs w:val="22"/>
        </w:rPr>
        <w:t>opremiti vatrogasne postrojbe sa potrebnim MTS-a,</w:t>
      </w:r>
    </w:p>
    <w:p>
      <w:pPr>
        <w:pStyle w:val="Normal"/>
        <w:numPr>
          <w:ilvl w:val="0"/>
          <w:numId w:val="32"/>
        </w:numPr>
        <w:spacing w:before="120" w:after="120"/>
        <w:contextualSpacing/>
        <w:jc w:val="left"/>
        <w:rPr>
          <w:rFonts w:eastAsia="Calibri" w:eastAsiaTheme="minorHAnsi"/>
          <w:bCs/>
          <w:color w:val="auto"/>
          <w:szCs w:val="22"/>
        </w:rPr>
      </w:pPr>
      <w:r>
        <w:rPr>
          <w:rFonts w:eastAsia="Calibri" w:eastAsiaTheme="minorHAnsi"/>
          <w:bCs/>
          <w:color w:val="auto"/>
          <w:szCs w:val="22"/>
        </w:rPr>
        <w:t>educirati stanovništvo o mogućim opasnostima od požara otvorenog tipa,</w:t>
      </w:r>
    </w:p>
    <w:p>
      <w:pPr>
        <w:pStyle w:val="Normal"/>
        <w:numPr>
          <w:ilvl w:val="0"/>
          <w:numId w:val="32"/>
        </w:numPr>
        <w:spacing w:before="120" w:after="120"/>
        <w:contextualSpacing/>
        <w:jc w:val="left"/>
        <w:rPr>
          <w:rFonts w:eastAsia="Calibri" w:eastAsiaTheme="minorHAnsi"/>
          <w:bCs/>
          <w:color w:val="auto"/>
          <w:szCs w:val="22"/>
        </w:rPr>
      </w:pPr>
      <w:r>
        <w:rPr>
          <w:rFonts w:eastAsia="Calibri" w:eastAsiaTheme="minorHAnsi"/>
          <w:bCs/>
          <w:color w:val="auto"/>
          <w:szCs w:val="22"/>
        </w:rPr>
        <w:t>provoditi vježbe kako bi svi sudionici civilne zaštite bili upoznati sa svojim aktivnostima u slučaju požara otvorenog tipa.</w:t>
      </w:r>
    </w:p>
    <w:p>
      <w:pPr>
        <w:pStyle w:val="Caption"/>
        <w:rPr/>
      </w:pPr>
      <w:r>
        <w:rPr/>
      </w:r>
    </w:p>
    <w:p>
      <w:pPr>
        <w:pStyle w:val="Caption"/>
        <w:rPr/>
      </w:pPr>
      <w:r>
        <w:rPr/>
        <w:t xml:space="preserve">Tablica </w:t>
      </w:r>
      <w:r>
        <w:rPr/>
        <w:fldChar w:fldCharType="begin"/>
      </w:r>
      <w:r>
        <w:rPr/>
        <w:instrText> SEQ Tabela \* ARABIC </w:instrText>
      </w:r>
      <w:r>
        <w:rPr/>
        <w:fldChar w:fldCharType="separate"/>
      </w:r>
      <w:r>
        <w:rPr/>
        <w:t>78</w:t>
      </w:r>
      <w:r>
        <w:rPr/>
        <w:fldChar w:fldCharType="end"/>
      </w:r>
      <w:r>
        <w:rPr/>
        <w:t>. Potrebne snage u slučaju požara otvorenog prostora</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color w:val="auto"/>
                <w:sz w:val="20"/>
                <w:szCs w:val="20"/>
              </w:rPr>
              <w:t>Povjerenici civilne zaštite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b/>
                <w:b/>
              </w:rPr>
            </w:pPr>
            <w:r>
              <w:rPr>
                <w:b/>
                <w:sz w:val="20"/>
              </w:rPr>
              <w:t>Operativne snage Hrvatskog Crvenog križa, Gradsko društvo Crvenog križa Buje</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rPr>
                <w:b/>
                <w:b/>
                <w:sz w:val="20"/>
                <w:szCs w:val="20"/>
              </w:rPr>
            </w:pPr>
            <w:r>
              <w:rPr>
                <w:b/>
                <w:sz w:val="20"/>
              </w:rPr>
              <w:t>Operativne snage Hrvatske gorske službe spašavanja, Hrvatska gorska služba spašavanja – Stanica Istra</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i udruge od interesa za sustav civilne zaštite Grada Buja - Buie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rPr>
          <w:highlight w:val="yellow"/>
        </w:rPr>
      </w:pPr>
      <w:r>
        <w:rPr>
          <w:highlight w:val="yellow"/>
        </w:rPr>
      </w:r>
    </w:p>
    <w:p>
      <w:pPr>
        <w:pStyle w:val="Normal"/>
        <w:rPr/>
      </w:pPr>
      <w:r>
        <w:rPr/>
        <w:t>Mogući požari otvorenog prostora koje prijete Gradu Buje ne mogu poprimiti obim velike nesreće. Postojeće snage civilne zaštite u navedenom slučaju (najgori slučaj) bi bile dovoljne u provođenju mjera civilne zaštite. Po potrebi se može zatražiti pomoć sa županijske razine zbog malog kapaciteta materijalno-tehničkih sredstava.</w:t>
      </w:r>
    </w:p>
    <w:p>
      <w:pPr>
        <w:pStyle w:val="Normal"/>
        <w:rPr>
          <w:highlight w:val="yellow"/>
          <w:lang w:bidi="en-US"/>
        </w:rPr>
      </w:pPr>
      <w:r>
        <w:rPr>
          <w:highlight w:val="yellow"/>
          <w:lang w:bidi="en-US"/>
        </w:rPr>
      </w:r>
    </w:p>
    <w:p>
      <w:pPr>
        <w:pStyle w:val="Normal"/>
        <w:spacing w:before="120" w:after="160"/>
        <w:rPr>
          <w:u w:val="single"/>
        </w:rPr>
      </w:pPr>
      <w:r>
        <w:rPr/>
        <w:t xml:space="preserve">U sljedećoj tablici navedene su snage civilne zaštite potrebne u slučaju nastanka </w:t>
      </w:r>
      <w:r>
        <w:rPr>
          <w:u w:val="single"/>
        </w:rPr>
        <w:t>epidemije i pandemije.</w:t>
      </w:r>
    </w:p>
    <w:p>
      <w:pPr>
        <w:pStyle w:val="Normal"/>
        <w:rPr>
          <w:szCs w:val="22"/>
        </w:rPr>
      </w:pPr>
      <w:r>
        <w:rPr>
          <w:szCs w:val="22"/>
        </w:rPr>
        <w:t>Za djelotvornije provođenje mjera civilne zaštite u slučaju epidemije i pandemije potrebno je:</w:t>
      </w:r>
    </w:p>
    <w:p>
      <w:pPr>
        <w:pStyle w:val="ListParagraph"/>
        <w:numPr>
          <w:ilvl w:val="0"/>
          <w:numId w:val="50"/>
        </w:numPr>
        <w:rPr/>
      </w:pPr>
      <w:r>
        <w:rPr/>
        <w:t xml:space="preserve">osigurati pravovremeno obavješćivanje stanovništva o mogućoj opasnosti od epidemije i pandemije, </w:t>
      </w:r>
    </w:p>
    <w:p>
      <w:pPr>
        <w:pStyle w:val="ListParagraph"/>
        <w:numPr>
          <w:ilvl w:val="0"/>
          <w:numId w:val="50"/>
        </w:numPr>
        <w:rPr/>
      </w:pPr>
      <w:r>
        <w:rPr/>
        <w:t>provoditi edukaciju stanovništva u provođenju zdravstvene zaštite,</w:t>
      </w:r>
    </w:p>
    <w:p>
      <w:pPr>
        <w:pStyle w:val="ListParagraph"/>
        <w:numPr>
          <w:ilvl w:val="0"/>
          <w:numId w:val="50"/>
        </w:numPr>
        <w:rPr/>
      </w:pPr>
      <w:r>
        <w:rPr/>
        <w:t>osigurati pravovremene mjere zaštite stanovništva,</w:t>
      </w:r>
    </w:p>
    <w:p>
      <w:pPr>
        <w:pStyle w:val="ListParagraph"/>
        <w:numPr>
          <w:ilvl w:val="0"/>
          <w:numId w:val="50"/>
        </w:numPr>
        <w:rPr/>
      </w:pPr>
      <w:r>
        <w:rPr/>
        <w:t>provoditi vježbe kako bi svi sudionici u sustavu civilne zaštite bili upoznati sa svojim aktivnostima u slučaju epidemije i pandemije.</w:t>
      </w:r>
    </w:p>
    <w:p>
      <w:pPr>
        <w:pStyle w:val="Normal"/>
        <w:ind w:left="360" w:hanging="0"/>
        <w:rPr/>
      </w:pPr>
      <w:r>
        <w:rPr/>
      </w:r>
    </w:p>
    <w:p>
      <w:pPr>
        <w:pStyle w:val="Caption"/>
        <w:rPr/>
      </w:pPr>
      <w:r>
        <w:rPr/>
        <w:t xml:space="preserve">Tablica </w:t>
      </w:r>
      <w:r>
        <w:rPr/>
        <w:fldChar w:fldCharType="begin"/>
      </w:r>
      <w:r>
        <w:rPr/>
        <w:instrText> SEQ Tabela \* ARABIC </w:instrText>
      </w:r>
      <w:r>
        <w:rPr/>
        <w:fldChar w:fldCharType="separate"/>
      </w:r>
      <w:r>
        <w:rPr/>
        <w:t>79</w:t>
      </w:r>
      <w:r>
        <w:rPr/>
        <w:fldChar w:fldCharType="end"/>
      </w:r>
      <w:r>
        <w:rPr/>
        <w:t>. Potrebne snage u slučaju epidemije i pandemije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b/>
                <w:b/>
              </w:rPr>
            </w:pPr>
            <w:r>
              <w:rPr>
                <w:b/>
                <w:sz w:val="20"/>
              </w:rPr>
              <w:t>Operativne snage Hrvatskog Crvenog križa, Gradsko društvo Crvenog križa Buje</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i udruge od interesa za sustav civilne zaštite Grada Buje - Buie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bookmarkStart w:id="398" w:name="_Hlk507357434"/>
            <w:bookmarkStart w:id="399" w:name="_Hlk507357434"/>
            <w:bookmarkEnd w:id="399"/>
          </w:p>
        </w:tc>
      </w:tr>
    </w:tbl>
    <w:p>
      <w:pPr>
        <w:pStyle w:val="Normal"/>
        <w:spacing w:before="120" w:after="160"/>
        <w:rPr>
          <w:u w:val="single"/>
        </w:rPr>
      </w:pPr>
      <w:r>
        <w:rPr/>
        <w:t xml:space="preserve">U sljedećoj tablici navedene su snage civilne zaštite potrebne u slučaju nastanka </w:t>
      </w:r>
      <w:r>
        <w:rPr>
          <w:u w:val="single"/>
        </w:rPr>
        <w:t>industrijske nesreće.</w:t>
      </w:r>
    </w:p>
    <w:p>
      <w:pPr>
        <w:pStyle w:val="Normal"/>
        <w:rPr/>
      </w:pPr>
      <w:r>
        <w:rPr/>
        <w:t>Za djelotvornije provođenje mjera civilne zaštite u slučaju industrijske nesreće potrebno je:</w:t>
      </w:r>
    </w:p>
    <w:p>
      <w:pPr>
        <w:pStyle w:val="ListParagraph"/>
        <w:numPr>
          <w:ilvl w:val="0"/>
          <w:numId w:val="50"/>
        </w:numPr>
        <w:rPr/>
      </w:pPr>
      <w:r>
        <w:rPr/>
        <w:t xml:space="preserve">osigurati pravovremeno uzbunjivanje stanovništva, </w:t>
      </w:r>
    </w:p>
    <w:p>
      <w:pPr>
        <w:pStyle w:val="ListParagraph"/>
        <w:numPr>
          <w:ilvl w:val="0"/>
          <w:numId w:val="50"/>
        </w:numPr>
        <w:rPr/>
      </w:pPr>
      <w:r>
        <w:rPr/>
        <w:t>opremati kadrovski i materijalno vatrogasne snage Grada,</w:t>
      </w:r>
    </w:p>
    <w:p>
      <w:pPr>
        <w:pStyle w:val="ListParagraph"/>
        <w:numPr>
          <w:ilvl w:val="0"/>
          <w:numId w:val="50"/>
        </w:numPr>
        <w:rPr/>
      </w:pPr>
      <w:r>
        <w:rPr/>
        <w:t>snage sustava civilne zaštite upoznati s njihovim zadaćama u provođenju mjera civilne zaštite,</w:t>
      </w:r>
    </w:p>
    <w:p>
      <w:pPr>
        <w:pStyle w:val="ListParagraph"/>
        <w:numPr>
          <w:ilvl w:val="0"/>
          <w:numId w:val="50"/>
        </w:numPr>
        <w:rPr/>
      </w:pPr>
      <w:r>
        <w:rPr/>
        <w:t>redovito ažurirati snage civilne zaštite s podacima o ljudskim i materijalnim sredstvima,</w:t>
      </w:r>
    </w:p>
    <w:p>
      <w:pPr>
        <w:pStyle w:val="ListParagraph"/>
        <w:numPr>
          <w:ilvl w:val="0"/>
          <w:numId w:val="50"/>
        </w:numPr>
        <w:rPr/>
      </w:pPr>
      <w:r>
        <w:rPr/>
        <w:t>provoditi vježbe kako bi svi sudionici sustava civilne zaštite bili upoznati sa svojim aktivnostima u slučaju industrijskih nesreća.</w:t>
      </w:r>
    </w:p>
    <w:p>
      <w:pPr>
        <w:pStyle w:val="Caption"/>
        <w:rPr/>
      </w:pPr>
      <w:r>
        <w:rPr/>
      </w:r>
    </w:p>
    <w:p>
      <w:pPr>
        <w:pStyle w:val="Caption"/>
        <w:rPr/>
      </w:pPr>
      <w:r>
        <w:rPr/>
        <w:t xml:space="preserve">Tablica </w:t>
      </w:r>
      <w:r>
        <w:rPr/>
        <w:fldChar w:fldCharType="begin"/>
      </w:r>
      <w:r>
        <w:rPr/>
        <w:instrText> SEQ Tabela \* ARABIC </w:instrText>
      </w:r>
      <w:r>
        <w:rPr/>
        <w:fldChar w:fldCharType="separate"/>
      </w:r>
      <w:r>
        <w:rPr/>
        <w:t>80</w:t>
      </w:r>
      <w:r>
        <w:rPr/>
        <w:fldChar w:fldCharType="end"/>
      </w:r>
      <w:r>
        <w:rPr/>
        <w:t>. Potrebne snage u slučaju industrijske nesreće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545"/>
        <w:gridCol w:w="1986"/>
        <w:gridCol w:w="1843"/>
        <w:gridCol w:w="1701"/>
        <w:gridCol w:w="1797"/>
      </w:tblGrid>
      <w:tr>
        <w:trPr>
          <w:tblHeader w:val="true"/>
          <w:trHeight w:val="352" w:hRule="atLeast"/>
        </w:trPr>
        <w:tc>
          <w:tcPr>
            <w:tcW w:w="254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rFonts w:ascii="Arial Narrow" w:hAnsi="Arial Narrow"/>
                <w:b/>
                <w:b/>
                <w:sz w:val="20"/>
                <w:szCs w:val="20"/>
              </w:rPr>
            </w:pPr>
            <w:r>
              <w:rPr>
                <w:rFonts w:ascii="Arial Narrow" w:hAnsi="Arial Narrow"/>
                <w:b/>
                <w:sz w:val="20"/>
                <w:szCs w:val="20"/>
              </w:rPr>
            </w:r>
          </w:p>
          <w:p>
            <w:pPr>
              <w:pStyle w:val="Normal"/>
              <w:spacing w:before="80" w:after="0"/>
              <w:rPr>
                <w:rFonts w:ascii="Arial Narrow" w:hAnsi="Arial Narrow"/>
                <w:b/>
                <w:b/>
                <w:sz w:val="20"/>
                <w:szCs w:val="20"/>
              </w:rPr>
            </w:pPr>
            <w:r>
              <w:rPr>
                <w:rFonts w:ascii="Arial Narrow" w:hAnsi="Arial Narrow"/>
                <w:b/>
                <w:sz w:val="20"/>
                <w:szCs w:val="20"/>
              </w:rPr>
              <w:t>PODRUČJE REAGIRANJA</w:t>
            </w:r>
          </w:p>
        </w:tc>
        <w:tc>
          <w:tcPr>
            <w:tcW w:w="1986"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rFonts w:ascii="Arial Narrow" w:hAnsi="Arial Narrow"/>
                <w:b/>
                <w:b/>
                <w:sz w:val="20"/>
                <w:szCs w:val="20"/>
              </w:rPr>
            </w:pPr>
            <w:r>
              <w:rPr>
                <w:rFonts w:ascii="Arial Narrow" w:hAnsi="Arial Narrow"/>
                <w:b/>
                <w:sz w:val="20"/>
                <w:szCs w:val="20"/>
              </w:rPr>
              <w:t>Vrlo niska spremnost</w:t>
            </w:r>
          </w:p>
        </w:tc>
        <w:tc>
          <w:tcPr>
            <w:tcW w:w="1843"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Niska spremnost</w:t>
            </w:r>
          </w:p>
        </w:tc>
        <w:tc>
          <w:tcPr>
            <w:tcW w:w="17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Visoka spremnost</w:t>
            </w:r>
          </w:p>
        </w:tc>
        <w:tc>
          <w:tcPr>
            <w:tcW w:w="1797"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Vrlo visoka spremnost</w:t>
            </w:r>
          </w:p>
        </w:tc>
      </w:tr>
      <w:tr>
        <w:trPr>
          <w:tblHeader w:val="true"/>
          <w:trHeight w:val="278" w:hRule="atLeast"/>
        </w:trPr>
        <w:tc>
          <w:tcPr>
            <w:tcW w:w="254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rFonts w:ascii="Arial Narrow" w:hAnsi="Arial Narrow"/>
                <w:b/>
                <w:b/>
                <w:sz w:val="20"/>
                <w:szCs w:val="20"/>
              </w:rPr>
            </w:pPr>
            <w:r>
              <w:rPr>
                <w:rFonts w:ascii="Arial Narrow" w:hAnsi="Arial Narrow"/>
                <w:b/>
                <w:sz w:val="20"/>
                <w:szCs w:val="20"/>
              </w:rPr>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rFonts w:ascii="Arial Narrow" w:hAnsi="Arial Narrow"/>
                <w:b/>
                <w:b/>
                <w:sz w:val="20"/>
                <w:szCs w:val="20"/>
              </w:rPr>
            </w:pPr>
            <w:r>
              <w:rPr>
                <w:rFonts w:ascii="Arial Narrow" w:hAnsi="Arial Narrow"/>
                <w:b/>
                <w:sz w:val="20"/>
                <w:szCs w:val="20"/>
              </w:rPr>
              <w:t>4</w:t>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rFonts w:ascii="Arial Narrow" w:hAnsi="Arial Narrow"/>
                <w:b/>
                <w:b/>
                <w:sz w:val="20"/>
                <w:szCs w:val="20"/>
              </w:rPr>
            </w:pPr>
            <w:r>
              <w:rPr>
                <w:rFonts w:ascii="Arial Narrow" w:hAnsi="Arial Narrow"/>
                <w:b/>
                <w:sz w:val="20"/>
                <w:szCs w:val="20"/>
              </w:rPr>
              <w:t>3</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rFonts w:ascii="Arial Narrow" w:hAnsi="Arial Narrow"/>
                <w:b/>
                <w:b/>
                <w:sz w:val="20"/>
                <w:szCs w:val="20"/>
              </w:rPr>
            </w:pPr>
            <w:r>
              <w:rPr>
                <w:rFonts w:ascii="Arial Narrow" w:hAnsi="Arial Narrow"/>
                <w:b/>
                <w:sz w:val="20"/>
                <w:szCs w:val="20"/>
              </w:rPr>
              <w:t>2</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rFonts w:ascii="Arial Narrow" w:hAnsi="Arial Narrow"/>
                <w:b/>
                <w:b/>
                <w:sz w:val="20"/>
                <w:szCs w:val="20"/>
              </w:rPr>
            </w:pPr>
            <w:r>
              <w:rPr>
                <w:rFonts w:ascii="Arial Narrow" w:hAnsi="Arial Narrow"/>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rFonts w:ascii="Arial Narrow" w:hAnsi="Arial Narrow"/>
                <w:b/>
                <w:b/>
                <w:sz w:val="20"/>
                <w:szCs w:val="20"/>
              </w:rPr>
            </w:pPr>
            <w:r>
              <w:rPr>
                <w:rFonts w:ascii="Arial Narrow" w:hAnsi="Arial Narrow"/>
                <w:b/>
                <w:sz w:val="20"/>
                <w:szCs w:val="20"/>
              </w:rPr>
              <w:t xml:space="preserve">Stožer civilne zaštite </w:t>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rFonts w:ascii="Arial Narrow" w:hAnsi="Arial Narrow"/>
                <w:sz w:val="20"/>
                <w:szCs w:val="20"/>
              </w:rPr>
            </w:pPr>
            <w:r>
              <w:rPr>
                <w:rFonts w:ascii="Arial Narrow" w:hAnsi="Arial Narrow"/>
                <w:sz w:val="20"/>
                <w:szCs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b/>
                <w:b/>
                <w:sz w:val="20"/>
                <w:szCs w:val="20"/>
              </w:rPr>
            </w:pPr>
            <w:r>
              <w:rPr>
                <w:rFonts w:ascii="Arial Narrow" w:hAnsi="Arial Narrow"/>
                <w:sz w:val="20"/>
                <w:szCs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rFonts w:ascii="Arial Narrow" w:hAnsi="Arial Narrow"/>
                <w:b/>
                <w:b/>
                <w:sz w:val="20"/>
                <w:szCs w:val="20"/>
              </w:rPr>
            </w:pPr>
            <w:r>
              <w:rPr>
                <w:rFonts w:ascii="Arial Narrow" w:hAnsi="Arial Narrow"/>
                <w:b/>
                <w:color w:val="auto"/>
                <w:sz w:val="20"/>
                <w:szCs w:val="20"/>
              </w:rPr>
              <w:t>Povjerenici civilne zaštite</w:t>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b/>
                <w:b/>
                <w:sz w:val="20"/>
                <w:szCs w:val="20"/>
              </w:rPr>
            </w:pPr>
            <w:r>
              <w:rPr>
                <w:rFonts w:ascii="Arial Narrow" w:hAnsi="Arial Narrow"/>
                <w:sz w:val="20"/>
                <w:szCs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rPr>
                <w:rFonts w:ascii="Arial Narrow" w:hAnsi="Arial Narrow"/>
                <w:b/>
                <w:b/>
                <w:sz w:val="20"/>
                <w:szCs w:val="20"/>
              </w:rPr>
            </w:pPr>
            <w:r>
              <w:rPr>
                <w:rFonts w:ascii="Arial Narrow" w:hAnsi="Arial Narrow"/>
                <w:b/>
                <w:sz w:val="20"/>
                <w:szCs w:val="20"/>
              </w:rPr>
              <w:t>Operativne snage vatrogastva (JVP Umag, DVD Buje)</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rFonts w:ascii="Arial Narrow" w:hAnsi="Arial Narrow"/>
                <w:sz w:val="20"/>
                <w:szCs w:val="20"/>
                <w:u w:val="single"/>
              </w:rPr>
            </w:pPr>
            <w:r>
              <w:rPr>
                <w:rFonts w:ascii="Arial Narrow" w:hAnsi="Arial Narrow"/>
                <w:sz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rFonts w:ascii="Arial Narrow" w:hAnsi="Arial Narrow"/>
                <w:b/>
                <w:b/>
              </w:rPr>
            </w:pPr>
            <w:r>
              <w:rPr>
                <w:rFonts w:ascii="Arial Narrow" w:hAnsi="Arial Narrow"/>
                <w:b/>
                <w:sz w:val="20"/>
              </w:rPr>
              <w:t>Operativne snage Hrvatskog Crvenog križa, Gradsko društvo Crvenog križa Buje</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b/>
                <w:b/>
                <w:sz w:val="20"/>
                <w:szCs w:val="20"/>
              </w:rPr>
            </w:pPr>
            <w:r>
              <w:rPr>
                <w:rFonts w:ascii="Arial Narrow" w:hAnsi="Arial Narrow"/>
                <w:sz w:val="20"/>
                <w:szCs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rPr>
                <w:rFonts w:ascii="Arial Narrow" w:hAnsi="Arial Narrow"/>
                <w:b/>
                <w:b/>
                <w:sz w:val="20"/>
                <w:szCs w:val="20"/>
              </w:rPr>
            </w:pPr>
            <w:r>
              <w:rPr>
                <w:rFonts w:ascii="Arial Narrow" w:hAnsi="Arial Narrow"/>
                <w:b/>
                <w:sz w:val="20"/>
              </w:rPr>
              <w:t>Operativne snage Hrvatske gorske službe spašavanja, Hrvatska gorska služba spašavanja – Stanica Istra</w:t>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b/>
                <w:b/>
                <w:sz w:val="20"/>
                <w:szCs w:val="20"/>
              </w:rPr>
            </w:pPr>
            <w:r>
              <w:rPr>
                <w:rFonts w:ascii="Arial Narrow" w:hAnsi="Arial Narrow"/>
                <w:sz w:val="20"/>
                <w:szCs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rFonts w:ascii="Arial Narrow" w:hAnsi="Arial Narrow"/>
                <w:b/>
                <w:b/>
                <w:sz w:val="20"/>
                <w:szCs w:val="20"/>
              </w:rPr>
            </w:pPr>
            <w:r>
              <w:rPr>
                <w:rFonts w:ascii="Arial Narrow" w:hAnsi="Arial Narrow"/>
                <w:b/>
                <w:sz w:val="20"/>
                <w:szCs w:val="20"/>
              </w:rPr>
              <w:t>Pravne osobe od interesa za sustav civilne zaštite Grada Buje - Buie</w:t>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popunjenosti ljudstvom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spremnosti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rFonts w:ascii="Arial Narrow" w:hAnsi="Arial Narrow"/>
                <w:sz w:val="20"/>
                <w:szCs w:val="20"/>
              </w:rPr>
            </w:pPr>
            <w:r>
              <w:rPr>
                <w:rFonts w:ascii="Arial Narrow" w:hAnsi="Arial Narrow"/>
                <w:sz w:val="20"/>
                <w:szCs w:val="20"/>
              </w:rPr>
              <w:t>Stupanj osposobljenosti ljudstva i zapovjednog osoblja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b/>
                <w:b/>
                <w:sz w:val="20"/>
                <w:szCs w:val="20"/>
              </w:rPr>
            </w:pPr>
            <w:r>
              <w:rPr>
                <w:rFonts w:ascii="Arial Narrow" w:hAnsi="Arial Narrow"/>
                <w:sz w:val="20"/>
                <w:szCs w:val="20"/>
              </w:rPr>
              <w:t>Stupanj uvježbanosti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Stupanj opremljenosti materijalnim sredstvima i opremom</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Vrijeme mobilizacijske spremnosti/operativne gotovosti</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5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rPr>
              <w:t>Samodostatnost i logistička potpora</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r>
        <w:trPr>
          <w:trHeight w:val="362" w:hRule="atLeast"/>
        </w:trPr>
        <w:tc>
          <w:tcPr>
            <w:tcW w:w="25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rFonts w:ascii="Arial Narrow" w:hAnsi="Arial Narrow"/>
                <w:sz w:val="20"/>
                <w:szCs w:val="20"/>
                <w:u w:val="single"/>
              </w:rPr>
            </w:pPr>
            <w:r>
              <w:rPr>
                <w:rFonts w:ascii="Arial Narrow" w:hAnsi="Arial Narrow"/>
                <w:sz w:val="20"/>
                <w:szCs w:val="20"/>
                <w:u w:val="single"/>
              </w:rPr>
              <w:t>Područje reagiranja - ZBIRNO</w:t>
            </w:r>
          </w:p>
        </w:tc>
        <w:tc>
          <w:tcPr>
            <w:tcW w:w="1986"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rFonts w:ascii="Arial Narrow" w:hAnsi="Arial Narrow"/>
                <w:b/>
                <w:b/>
                <w:sz w:val="20"/>
                <w:szCs w:val="20"/>
              </w:rPr>
            </w:pPr>
            <w:r>
              <w:rPr>
                <w:rFonts w:ascii="Arial Narrow" w:hAnsi="Arial Narrow"/>
                <w:b/>
                <w:sz w:val="20"/>
                <w:szCs w:val="20"/>
              </w:rPr>
              <w:t>x</w:t>
            </w:r>
          </w:p>
        </w:tc>
        <w:tc>
          <w:tcPr>
            <w:tcW w:w="170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rFonts w:ascii="Arial Narrow" w:hAnsi="Arial Narrow"/>
                <w:b/>
                <w:b/>
                <w:sz w:val="20"/>
                <w:szCs w:val="20"/>
              </w:rPr>
            </w:pPr>
            <w:r>
              <w:rPr>
                <w:rFonts w:ascii="Arial Narrow" w:hAnsi="Arial Narrow"/>
                <w:b/>
                <w:sz w:val="20"/>
                <w:szCs w:val="20"/>
              </w:rPr>
            </w:r>
          </w:p>
        </w:tc>
        <w:tc>
          <w:tcPr>
            <w:tcW w:w="1797"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rFonts w:ascii="Arial Narrow" w:hAnsi="Arial Narrow"/>
                <w:b/>
                <w:b/>
                <w:sz w:val="20"/>
                <w:szCs w:val="20"/>
              </w:rPr>
            </w:pPr>
            <w:r>
              <w:rPr>
                <w:rFonts w:ascii="Arial Narrow" w:hAnsi="Arial Narrow"/>
                <w:b/>
                <w:sz w:val="20"/>
                <w:szCs w:val="20"/>
              </w:rPr>
            </w:r>
          </w:p>
        </w:tc>
      </w:tr>
    </w:tbl>
    <w:p>
      <w:pPr>
        <w:pStyle w:val="Normal"/>
        <w:rPr/>
      </w:pPr>
      <w:r>
        <w:rPr/>
      </w:r>
    </w:p>
    <w:p>
      <w:pPr>
        <w:pStyle w:val="Normal"/>
        <w:rPr/>
      </w:pPr>
      <w:r>
        <w:rPr/>
        <w:t>Moguće industrijske nesreće koje prijete Gradu Buje mogu poprimiti obim velike nesreće. Postojeće snage civilne zaštite u navedenom slučaju (najgori slučaj) bile bi dovoljne u provođenju mjera civilne zaštite. Po potrebi se može zatražiti pomoć županijske razine zbog malog kapaciteta operativnih kapaciteta i materijalno-tehničkih sredstava.</w:t>
      </w:r>
    </w:p>
    <w:p>
      <w:pPr>
        <w:pStyle w:val="Normal"/>
        <w:rPr>
          <w:highlight w:val="yellow"/>
          <w:lang w:bidi="en-US"/>
        </w:rPr>
      </w:pPr>
      <w:r>
        <w:rPr>
          <w:highlight w:val="yellow"/>
          <w:lang w:bidi="en-US"/>
        </w:rPr>
      </w:r>
    </w:p>
    <w:p>
      <w:pPr>
        <w:pStyle w:val="Normal"/>
        <w:spacing w:before="120" w:after="160"/>
        <w:rPr/>
      </w:pPr>
      <w:r>
        <w:rPr/>
        <w:t xml:space="preserve">U sljedećoj tablici navedene su snage civilne zaštite potrebne u slučaju nastanka </w:t>
      </w:r>
      <w:r>
        <w:rPr>
          <w:u w:val="single"/>
        </w:rPr>
        <w:t>potresa.</w:t>
      </w:r>
    </w:p>
    <w:p>
      <w:pPr>
        <w:pStyle w:val="Normal"/>
        <w:rPr>
          <w:szCs w:val="22"/>
        </w:rPr>
      </w:pPr>
      <w:r>
        <w:rPr>
          <w:szCs w:val="22"/>
        </w:rPr>
        <w:t>Za djelotvorniju provedbu mjera civilne zaštite potrebno je:</w:t>
      </w:r>
    </w:p>
    <w:p>
      <w:pPr>
        <w:pStyle w:val="ListParagraph"/>
        <w:numPr>
          <w:ilvl w:val="0"/>
          <w:numId w:val="50"/>
        </w:numPr>
        <w:rPr/>
      </w:pPr>
      <w:r>
        <w:rPr/>
        <w:t>kontinuirano osposobljavanje snaga civilne zaštite,</w:t>
      </w:r>
    </w:p>
    <w:p>
      <w:pPr>
        <w:pStyle w:val="ListParagraph"/>
        <w:numPr>
          <w:ilvl w:val="0"/>
          <w:numId w:val="50"/>
        </w:numPr>
        <w:rPr/>
      </w:pPr>
      <w:r>
        <w:rPr/>
        <w:t>opremiti vatrogasne postrojbe sa potrebnim materijalno-tehničkim sredstvima za spašavanje u slučaju potresa,</w:t>
      </w:r>
    </w:p>
    <w:p>
      <w:pPr>
        <w:pStyle w:val="ListParagraph"/>
        <w:numPr>
          <w:ilvl w:val="0"/>
          <w:numId w:val="50"/>
        </w:numPr>
        <w:rPr/>
      </w:pPr>
      <w:r>
        <w:rPr/>
        <w:t>educirati stanovništvo o mogućim opasnostima od potresa,</w:t>
      </w:r>
    </w:p>
    <w:p>
      <w:pPr>
        <w:pStyle w:val="ListParagraph"/>
        <w:numPr>
          <w:ilvl w:val="0"/>
          <w:numId w:val="50"/>
        </w:numPr>
        <w:rPr/>
      </w:pPr>
      <w:r>
        <w:rPr/>
        <w:t>prilikom izgradnje stambenih i poslovnih objekata poštivati mjere koje omogućavaju lokalizaciju i ograničavanje posljedica potresa  (protu potresno projektiranje),</w:t>
      </w:r>
    </w:p>
    <w:p>
      <w:pPr>
        <w:pStyle w:val="ListParagraph"/>
        <w:numPr>
          <w:ilvl w:val="0"/>
          <w:numId w:val="50"/>
        </w:numPr>
        <w:rPr/>
      </w:pPr>
      <w:r>
        <w:rPr/>
        <w:t>provoditi vježbe kako bi svi sudionici zaštite i spašavanja bili upoznati sa svojim aktivnostima u slučaju potresa.</w:t>
      </w:r>
    </w:p>
    <w:p>
      <w:pPr>
        <w:pStyle w:val="Caption"/>
        <w:rPr/>
      </w:pPr>
      <w:r>
        <w:rPr/>
      </w:r>
    </w:p>
    <w:p>
      <w:pPr>
        <w:pStyle w:val="Caption"/>
        <w:rPr/>
      </w:pPr>
      <w:r>
        <w:rPr/>
        <w:t xml:space="preserve">Tablica </w:t>
      </w:r>
      <w:r>
        <w:rPr/>
        <w:fldChar w:fldCharType="begin"/>
      </w:r>
      <w:r>
        <w:rPr/>
        <w:instrText> SEQ Tabela \* ARABIC </w:instrText>
      </w:r>
      <w:r>
        <w:rPr/>
        <w:fldChar w:fldCharType="separate"/>
      </w:r>
      <w:r>
        <w:rPr/>
        <w:t>81</w:t>
      </w:r>
      <w:r>
        <w:rPr/>
        <w:fldChar w:fldCharType="end"/>
      </w:r>
      <w:r>
        <w:rPr/>
        <w:t>. Potrebne snage u slučaju potres</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color w:val="auto"/>
                <w:sz w:val="20"/>
                <w:szCs w:val="20"/>
              </w:rPr>
              <w:t>Povjerenici civilne zaštite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b/>
                <w:b/>
              </w:rPr>
            </w:pPr>
            <w:r>
              <w:rPr>
                <w:b/>
                <w:sz w:val="20"/>
              </w:rPr>
              <w:t>Operativne snage Hrvatskog Crvenog križa, Gradsko društvo Crvenog križa Buje</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rPr>
                <w:b/>
                <w:b/>
                <w:sz w:val="20"/>
                <w:szCs w:val="20"/>
              </w:rPr>
            </w:pPr>
            <w:r>
              <w:rPr>
                <w:b/>
                <w:sz w:val="20"/>
              </w:rPr>
              <w:t>Operativne snage Hrvatske gorske službe spašavanja, Hrvatska gorska služba spašavanja – Stanica Istra</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i udruge od interesa za sustav civilne zaštite Grada Buje - Buie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rPr/>
      </w:pPr>
      <w:r>
        <w:rPr/>
      </w:r>
    </w:p>
    <w:p>
      <w:pPr>
        <w:pStyle w:val="Normal"/>
        <w:rPr/>
      </w:pPr>
      <w:r>
        <w:rPr/>
        <w:t>Raspoložive snage civilne zaštite bit će dostatne za saniranje šteta nastalih posljedicama potresa manjeg intenziteta, no kod potresa jačine VII° po MCS ljestvici i jače (za što postoji mala vjerojatnost) postojećim snagama civilne zaštite Grada Buja bit će potrebna pomoć operativnih i specijalističkih snaga sa županijske i državne razine.</w:t>
      </w:r>
    </w:p>
    <w:p>
      <w:pPr>
        <w:pStyle w:val="Normal"/>
        <w:spacing w:before="120" w:after="160"/>
        <w:rPr/>
      </w:pPr>
      <w:r>
        <w:rPr/>
      </w:r>
    </w:p>
    <w:p>
      <w:pPr>
        <w:pStyle w:val="Normal"/>
        <w:spacing w:before="120" w:after="160"/>
        <w:rPr/>
      </w:pPr>
      <w:r>
        <w:rPr/>
        <w:t xml:space="preserve">U sljedećoj tablici navedene su snage civilne zaštite potrebne u slučaju nastanka </w:t>
      </w:r>
      <w:r>
        <w:rPr>
          <w:u w:val="single"/>
        </w:rPr>
        <w:t>poplava.</w:t>
      </w:r>
    </w:p>
    <w:p>
      <w:pPr>
        <w:pStyle w:val="Normal"/>
        <w:rPr/>
      </w:pPr>
      <w:r>
        <w:rPr/>
        <w:t>Za djelotvornije provođenje mjera civilne zaštite u slučaju poplave potrebno je:</w:t>
      </w:r>
    </w:p>
    <w:p>
      <w:pPr>
        <w:pStyle w:val="ListParagraph"/>
        <w:numPr>
          <w:ilvl w:val="0"/>
          <w:numId w:val="50"/>
        </w:numPr>
        <w:rPr/>
      </w:pPr>
      <w:r>
        <w:rPr/>
        <w:t xml:space="preserve">osigurati pravovremeno uzbunjivanje stanovništva, </w:t>
      </w:r>
    </w:p>
    <w:p>
      <w:pPr>
        <w:pStyle w:val="ListParagraph"/>
        <w:numPr>
          <w:ilvl w:val="0"/>
          <w:numId w:val="50"/>
        </w:numPr>
        <w:rPr/>
      </w:pPr>
      <w:r>
        <w:rPr/>
        <w:t>provoditi edukaciju stanovništva u provođenju samozaštite i uzajamne zaštite,</w:t>
      </w:r>
    </w:p>
    <w:p>
      <w:pPr>
        <w:pStyle w:val="ListParagraph"/>
        <w:numPr>
          <w:ilvl w:val="0"/>
          <w:numId w:val="50"/>
        </w:numPr>
        <w:rPr/>
      </w:pPr>
      <w:r>
        <w:rPr/>
        <w:t xml:space="preserve">opremati kadrovski i materijalno sustav civilne zaštite Grada </w:t>
      </w:r>
    </w:p>
    <w:p>
      <w:pPr>
        <w:pStyle w:val="ListParagraph"/>
        <w:numPr>
          <w:ilvl w:val="0"/>
          <w:numId w:val="50"/>
        </w:numPr>
        <w:rPr/>
      </w:pPr>
      <w:r>
        <w:rPr/>
        <w:t>snage civilne zaštite upoznati s njihovim zadaćama u provođenju mjera civilne zaštite,</w:t>
      </w:r>
    </w:p>
    <w:p>
      <w:pPr>
        <w:pStyle w:val="ListParagraph"/>
        <w:numPr>
          <w:ilvl w:val="0"/>
          <w:numId w:val="50"/>
        </w:numPr>
        <w:rPr/>
      </w:pPr>
      <w:r>
        <w:rPr/>
        <w:t>redovito ažurirati snage civilne zaštite s podacima o ljudskim i materijalnim sredstvima,</w:t>
      </w:r>
    </w:p>
    <w:p>
      <w:pPr>
        <w:pStyle w:val="ListParagraph"/>
        <w:numPr>
          <w:ilvl w:val="0"/>
          <w:numId w:val="50"/>
        </w:numPr>
        <w:rPr/>
      </w:pPr>
      <w:r>
        <w:rPr/>
        <w:t>provoditi vježbe kako bi svi sudionici sustava civilne zašite bili upoznati sa svojim aktivnostima u slučaju poplava.</w:t>
      </w:r>
    </w:p>
    <w:p>
      <w:pPr>
        <w:pStyle w:val="Normal"/>
        <w:ind w:left="1440" w:hanging="0"/>
        <w:rPr/>
      </w:pPr>
      <w:r>
        <w:rPr/>
      </w:r>
    </w:p>
    <w:p>
      <w:pPr>
        <w:pStyle w:val="Caption"/>
        <w:rPr/>
      </w:pPr>
      <w:r>
        <w:rPr/>
        <w:t xml:space="preserve">Tablica </w:t>
      </w:r>
      <w:r>
        <w:rPr/>
        <w:fldChar w:fldCharType="begin"/>
      </w:r>
      <w:r>
        <w:rPr/>
        <w:instrText> SEQ Tabela \* ARABIC </w:instrText>
      </w:r>
      <w:r>
        <w:rPr/>
        <w:fldChar w:fldCharType="separate"/>
      </w:r>
      <w:r>
        <w:rPr/>
        <w:t>82</w:t>
      </w:r>
      <w:r>
        <w:rPr/>
        <w:fldChar w:fldCharType="end"/>
      </w:r>
      <w:r>
        <w:rPr/>
        <w:t>. Potrebne snage u slučaju poplave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color w:val="auto"/>
                <w:sz w:val="20"/>
                <w:szCs w:val="20"/>
              </w:rPr>
              <w:t>Povjerenici civilne zaštite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b/>
                <w:b/>
              </w:rPr>
            </w:pPr>
            <w:r>
              <w:rPr>
                <w:b/>
                <w:sz w:val="20"/>
              </w:rPr>
              <w:t>Operativne snage Hrvatskog Crvenog križa, Gradsko društvo Crvenog križa Buje</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rPr>
                <w:b/>
                <w:b/>
                <w:sz w:val="20"/>
                <w:szCs w:val="20"/>
              </w:rPr>
            </w:pPr>
            <w:r>
              <w:rPr>
                <w:b/>
                <w:sz w:val="20"/>
              </w:rPr>
              <w:t>Operativne snage Hrvatske gorske službe spašavanja, Hrvatska gorska služba spašavanja – Stanica Istra</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od interesa za sustav civilne zaštite Grada Buje - Buie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spacing w:before="120" w:after="160"/>
        <w:rPr/>
      </w:pPr>
      <w:r>
        <w:rPr/>
      </w:r>
    </w:p>
    <w:p>
      <w:pPr>
        <w:pStyle w:val="Normal"/>
        <w:spacing w:before="120" w:after="160"/>
        <w:rPr/>
      </w:pPr>
      <w:r>
        <w:rPr/>
      </w:r>
    </w:p>
    <w:p>
      <w:pPr>
        <w:pStyle w:val="Normal"/>
        <w:spacing w:before="120" w:after="160"/>
        <w:rPr/>
      </w:pPr>
      <w:r>
        <w:rPr/>
      </w:r>
    </w:p>
    <w:p>
      <w:pPr>
        <w:pStyle w:val="Normal"/>
        <w:spacing w:before="120" w:after="160"/>
        <w:rPr/>
      </w:pPr>
      <w:r>
        <w:rPr/>
      </w:r>
    </w:p>
    <w:p>
      <w:pPr>
        <w:pStyle w:val="Normal"/>
        <w:spacing w:before="120" w:after="160"/>
        <w:rPr>
          <w:u w:val="single"/>
        </w:rPr>
      </w:pPr>
      <w:r>
        <w:rPr/>
        <w:t xml:space="preserve">U sljedećoj tablici navedene su snage civilne zaštite potrebne u slučaju nastanka </w:t>
      </w:r>
      <w:r>
        <w:rPr>
          <w:u w:val="single"/>
        </w:rPr>
        <w:t>ekstremnih temperatura</w:t>
      </w:r>
    </w:p>
    <w:p>
      <w:pPr>
        <w:pStyle w:val="Normal"/>
        <w:rPr/>
      </w:pPr>
      <w:r>
        <w:rPr/>
      </w:r>
    </w:p>
    <w:p>
      <w:pPr>
        <w:pStyle w:val="Caption"/>
        <w:rPr/>
      </w:pPr>
      <w:r>
        <w:rPr/>
        <w:t xml:space="preserve">Tablica </w:t>
      </w:r>
      <w:r>
        <w:rPr/>
        <w:fldChar w:fldCharType="begin"/>
      </w:r>
      <w:r>
        <w:rPr/>
        <w:instrText> SEQ Tabela \* ARABIC </w:instrText>
      </w:r>
      <w:r>
        <w:rPr/>
        <w:fldChar w:fldCharType="separate"/>
      </w:r>
      <w:r>
        <w:rPr/>
        <w:t>83</w:t>
      </w:r>
      <w:r>
        <w:rPr/>
        <w:fldChar w:fldCharType="end"/>
      </w:r>
      <w:r>
        <w:rPr/>
        <w:t>. Potrebne snage u slučaju ekstremnih temperatura</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120" w:after="120"/>
              <w:rPr>
                <w:b/>
                <w:b/>
              </w:rPr>
            </w:pPr>
            <w:r>
              <w:rPr>
                <w:b/>
                <w:sz w:val="20"/>
              </w:rPr>
              <w:t>Operativne snage Hrvatskog Crvenog križa, Gradsko društvo Crvenog križa Buje</w:t>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i udruge od interesa za sustav civilne zaštite Grada Buja - Buie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spacing w:before="120" w:after="160"/>
        <w:rPr/>
      </w:pPr>
      <w:r>
        <w:rPr/>
        <w:t xml:space="preserve">U sljedećoj tablici navedene su snage civilne zaštite potrebne u slučaju nastanka </w:t>
      </w:r>
      <w:r>
        <w:rPr>
          <w:u w:val="single"/>
        </w:rPr>
        <w:t>suše</w:t>
      </w:r>
      <w:r>
        <w:rPr/>
        <w:t>.</w:t>
      </w:r>
    </w:p>
    <w:p>
      <w:pPr>
        <w:pStyle w:val="Normal"/>
        <w:rPr>
          <w:szCs w:val="22"/>
        </w:rPr>
      </w:pPr>
      <w:r>
        <w:rPr>
          <w:szCs w:val="22"/>
        </w:rPr>
        <w:t>Za djelotvornije provođenje mjera civilne zaštite u slučaju suše potrebno je:</w:t>
      </w:r>
    </w:p>
    <w:p>
      <w:pPr>
        <w:pStyle w:val="ListParagraph"/>
        <w:numPr>
          <w:ilvl w:val="0"/>
          <w:numId w:val="50"/>
        </w:numPr>
        <w:rPr/>
      </w:pPr>
      <w:r>
        <w:rPr/>
        <w:t xml:space="preserve">osigurati pravovremeno obavješćivanje stanovništva o mogućoj opasnosti od dugotrajne suše, </w:t>
      </w:r>
    </w:p>
    <w:p>
      <w:pPr>
        <w:pStyle w:val="ListParagraph"/>
        <w:numPr>
          <w:ilvl w:val="0"/>
          <w:numId w:val="50"/>
        </w:numPr>
        <w:rPr/>
      </w:pPr>
      <w:r>
        <w:rPr/>
        <w:t>osigurati pravovremene mjere zaštite od dugotrajne suše,</w:t>
      </w:r>
    </w:p>
    <w:p>
      <w:pPr>
        <w:pStyle w:val="ListParagraph"/>
        <w:numPr>
          <w:ilvl w:val="0"/>
          <w:numId w:val="50"/>
        </w:numPr>
        <w:rPr/>
      </w:pPr>
      <w:r>
        <w:rPr/>
        <w:t>provoditi vježbe kako bi svi sudionici u sustavu civilne zaštite bili upoznati sa svojim aktivnostima u slučaju pojave dugotrajne suše.</w:t>
      </w:r>
    </w:p>
    <w:p>
      <w:pPr>
        <w:pStyle w:val="Normal"/>
        <w:rPr>
          <w:highlight w:val="yellow"/>
        </w:rPr>
      </w:pPr>
      <w:r>
        <w:rPr>
          <w:highlight w:val="yellow"/>
        </w:rPr>
      </w:r>
    </w:p>
    <w:p>
      <w:pPr>
        <w:pStyle w:val="Caption"/>
        <w:rPr/>
      </w:pPr>
      <w:r>
        <w:rPr/>
        <w:t xml:space="preserve">Tablica </w:t>
      </w:r>
      <w:r>
        <w:rPr/>
        <w:fldChar w:fldCharType="begin"/>
      </w:r>
      <w:r>
        <w:rPr/>
        <w:instrText> SEQ Tabela \* ARABIC </w:instrText>
      </w:r>
      <w:r>
        <w:rPr/>
        <w:fldChar w:fldCharType="separate"/>
      </w:r>
      <w:r>
        <w:rPr/>
        <w:t>84</w:t>
      </w:r>
      <w:r>
        <w:rPr/>
        <w:fldChar w:fldCharType="end"/>
      </w:r>
      <w:r>
        <w:rPr/>
        <w:t>. Potrebne snage u slučaju suše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od interesa za sustav civilne zaštite Grada Buja</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spacing w:before="0" w:after="200"/>
        <w:jc w:val="left"/>
        <w:rPr>
          <w:color w:val="auto"/>
        </w:rPr>
      </w:pPr>
      <w:r>
        <w:rPr/>
        <w:t xml:space="preserve">U sljedećoj tablici navedene su snage </w:t>
      </w:r>
      <w:r>
        <w:rPr>
          <w:color w:val="auto"/>
        </w:rPr>
        <w:t xml:space="preserve">civilne zaštite potrebne u slučaju nastanka </w:t>
      </w:r>
      <w:r>
        <w:rPr>
          <w:color w:val="auto"/>
          <w:u w:val="single"/>
        </w:rPr>
        <w:t>tuče.</w:t>
      </w:r>
    </w:p>
    <w:p>
      <w:pPr>
        <w:pStyle w:val="Normal"/>
        <w:rPr>
          <w:szCs w:val="22"/>
        </w:rPr>
      </w:pPr>
      <w:r>
        <w:rPr>
          <w:szCs w:val="22"/>
        </w:rPr>
        <w:t>Za djelotvornije provođenje mjera civilne zaštite u slučaju suše potrebno je:</w:t>
      </w:r>
    </w:p>
    <w:p>
      <w:pPr>
        <w:pStyle w:val="ListParagraph"/>
        <w:numPr>
          <w:ilvl w:val="0"/>
          <w:numId w:val="50"/>
        </w:numPr>
        <w:rPr/>
      </w:pPr>
      <w:r>
        <w:rPr/>
        <w:t xml:space="preserve">osigurati pravovremeno obavješćivanje stanovništva o mogućoj opasnosti od tuče, </w:t>
      </w:r>
    </w:p>
    <w:p>
      <w:pPr>
        <w:pStyle w:val="ListParagraph"/>
        <w:numPr>
          <w:ilvl w:val="0"/>
          <w:numId w:val="50"/>
        </w:numPr>
        <w:rPr/>
      </w:pPr>
      <w:r>
        <w:rPr/>
        <w:t>osigurati pravovremene mjere zaštite od tuče,</w:t>
      </w:r>
    </w:p>
    <w:p>
      <w:pPr>
        <w:pStyle w:val="ListParagraph"/>
        <w:numPr>
          <w:ilvl w:val="0"/>
          <w:numId w:val="50"/>
        </w:numPr>
        <w:rPr/>
      </w:pPr>
      <w:r>
        <w:rPr/>
        <w:t>provoditi vježbe kako bi svi sudionici u sustavu civilne zaštite bili upoznati sa svojim aktivnostima u slučaju pojave tuče.</w:t>
      </w:r>
    </w:p>
    <w:p>
      <w:pPr>
        <w:pStyle w:val="Normal"/>
        <w:spacing w:before="0" w:after="0"/>
        <w:rPr>
          <w:b/>
          <w:b/>
          <w:bCs/>
          <w:color w:val="auto"/>
          <w:sz w:val="20"/>
          <w:szCs w:val="20"/>
        </w:rPr>
      </w:pPr>
      <w:r>
        <w:rPr>
          <w:b/>
          <w:bCs/>
          <w:color w:val="auto"/>
          <w:sz w:val="20"/>
          <w:szCs w:val="20"/>
        </w:rPr>
      </w:r>
    </w:p>
    <w:p>
      <w:pPr>
        <w:pStyle w:val="Normal"/>
        <w:spacing w:before="0" w:after="0"/>
        <w:jc w:val="center"/>
        <w:rPr>
          <w:b/>
          <w:b/>
          <w:bCs/>
          <w:color w:val="auto"/>
          <w:sz w:val="20"/>
          <w:szCs w:val="20"/>
        </w:rPr>
      </w:pPr>
      <w:r>
        <w:rPr>
          <w:b/>
          <w:bCs/>
          <w:color w:val="auto"/>
          <w:sz w:val="20"/>
          <w:szCs w:val="20"/>
        </w:rPr>
      </w:r>
    </w:p>
    <w:p>
      <w:pPr>
        <w:pStyle w:val="Normal"/>
        <w:spacing w:before="0" w:after="0"/>
        <w:jc w:val="center"/>
        <w:rPr>
          <w:b/>
          <w:b/>
          <w:bCs/>
          <w:color w:val="76923C" w:themeColor="accent3" w:themeShade="bf"/>
          <w:sz w:val="20"/>
          <w:szCs w:val="20"/>
        </w:rPr>
      </w:pPr>
      <w:r>
        <w:rPr>
          <w:b/>
          <w:bCs/>
          <w:color w:val="76923C" w:themeColor="accent3" w:themeShade="bf"/>
          <w:sz w:val="20"/>
          <w:szCs w:val="20"/>
        </w:rPr>
        <w:t xml:space="preserve">Tablica </w:t>
      </w:r>
      <w:r>
        <w:rPr>
          <w:b/>
          <w:bCs/>
          <w:color w:val="76923C"/>
          <w:sz w:val="20"/>
          <w:szCs w:val="20"/>
        </w:rPr>
        <w:fldChar w:fldCharType="begin"/>
      </w:r>
      <w:r>
        <w:rPr>
          <w:sz w:val="20"/>
          <w:b/>
          <w:szCs w:val="20"/>
          <w:bCs/>
          <w:color w:val="76923C"/>
        </w:rPr>
        <w:instrText> SEQ Tablica \* ARABIC </w:instrText>
      </w:r>
      <w:r>
        <w:rPr>
          <w:sz w:val="20"/>
          <w:b/>
          <w:szCs w:val="20"/>
          <w:bCs/>
          <w:color w:val="76923C"/>
        </w:rPr>
        <w:fldChar w:fldCharType="separate"/>
      </w:r>
      <w:r>
        <w:rPr>
          <w:sz w:val="20"/>
          <w:b/>
          <w:szCs w:val="20"/>
          <w:bCs/>
          <w:color w:val="76923C"/>
        </w:rPr>
        <w:t>15</w:t>
      </w:r>
      <w:r>
        <w:rPr>
          <w:sz w:val="20"/>
          <w:b/>
          <w:szCs w:val="20"/>
          <w:bCs/>
          <w:color w:val="76923C"/>
        </w:rPr>
        <w:fldChar w:fldCharType="end"/>
      </w:r>
      <w:r>
        <w:rPr>
          <w:b/>
          <w:bCs/>
          <w:color w:val="76923C" w:themeColor="accent3" w:themeShade="bf"/>
          <w:sz w:val="20"/>
          <w:szCs w:val="20"/>
        </w:rPr>
        <w:t>. Potrebne snage u slučaju tuče</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blHeader w:val="true"/>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vAlign w:val="center"/>
          </w:tcPr>
          <w:p>
            <w:pPr>
              <w:pStyle w:val="Normal"/>
              <w:spacing w:lineRule="auto" w:line="240"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vAlign w:val="center"/>
          </w:tcPr>
          <w:p>
            <w:pPr>
              <w:pStyle w:val="Normal"/>
              <w:spacing w:before="80" w:after="0"/>
              <w:jc w:val="center"/>
              <w:rPr>
                <w:b/>
                <w:b/>
                <w:sz w:val="20"/>
                <w:szCs w:val="20"/>
              </w:rPr>
            </w:pPr>
            <w:r>
              <w:rPr>
                <w:b/>
                <w:sz w:val="20"/>
                <w:szCs w:val="20"/>
              </w:rPr>
              <w:t>Vrlo visoka spremnost</w:t>
            </w:r>
          </w:p>
        </w:tc>
      </w:tr>
      <w:tr>
        <w:trPr>
          <w:tblHeader w:val="true"/>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rPr>
                <w:b/>
                <w:b/>
                <w:sz w:val="20"/>
                <w:szCs w:val="20"/>
              </w:rPr>
            </w:pPr>
            <w:r>
              <w:rPr>
                <w:b/>
                <w:sz w:val="20"/>
                <w:szCs w:val="20"/>
              </w:rPr>
              <w:t xml:space="preserve">STOŽER CIVILNE ZAŠTITE </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t>x</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left"/>
              <w:rPr>
                <w:b/>
                <w:b/>
                <w:sz w:val="20"/>
                <w:szCs w:val="20"/>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Operativne snage vatrogastva (JVP Umag, DVD Buje)</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278" w:hRule="atLeast"/>
        </w:trPr>
        <w:tc>
          <w:tcPr>
            <w:tcW w:w="9872" w:type="dxa"/>
            <w:gridSpan w:val="5"/>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left"/>
              <w:rPr>
                <w:b/>
                <w:b/>
                <w:sz w:val="20"/>
                <w:szCs w:val="20"/>
              </w:rPr>
            </w:pPr>
            <w:r>
              <w:rPr>
                <w:b/>
                <w:sz w:val="20"/>
                <w:szCs w:val="20"/>
              </w:rPr>
              <w:t>Pravne osobe od interesa za sustav civilne zaštite Grada Buja</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popunjenosti ljudstvom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spremnosti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left"/>
              <w:rPr>
                <w:sz w:val="20"/>
                <w:szCs w:val="20"/>
              </w:rPr>
            </w:pPr>
            <w:r>
              <w:rPr>
                <w:sz w:val="20"/>
                <w:szCs w:val="20"/>
              </w:rPr>
              <w:t>Stupanj osposobljenosti ljudstva i zapovjednog osoblja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b/>
                <w:b/>
                <w:sz w:val="20"/>
                <w:szCs w:val="20"/>
              </w:rPr>
            </w:pPr>
            <w:r>
              <w:rPr>
                <w:sz w:val="20"/>
                <w:szCs w:val="20"/>
              </w:rPr>
              <w:t>Stupanj uvježbanosti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Stupanj opremljenosti materijalnim sredstvima i opremom</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Vrijeme mobilizacijske spremnosti/operativne gotovosti</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rPr>
              <w:t>Samodostatnost i logistička potpora</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6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160"/>
              <w:jc w:val="left"/>
              <w:rPr>
                <w:sz w:val="20"/>
                <w:szCs w:val="20"/>
                <w:u w:val="single"/>
              </w:rPr>
            </w:pPr>
            <w:r>
              <w:rPr>
                <w:sz w:val="20"/>
                <w:szCs w:val="20"/>
                <w:u w:val="single"/>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Caption"/>
        <w:rPr/>
      </w:pPr>
      <w:r>
        <w:rPr/>
        <w:t xml:space="preserve">Tablica </w:t>
      </w:r>
      <w:r>
        <w:rPr/>
        <w:fldChar w:fldCharType="begin"/>
      </w:r>
      <w:r>
        <w:rPr/>
        <w:instrText> SEQ Tabela \* ARABIC </w:instrText>
      </w:r>
      <w:r>
        <w:rPr/>
        <w:fldChar w:fldCharType="separate"/>
      </w:r>
      <w:r>
        <w:rPr/>
        <w:t>85</w:t>
      </w:r>
      <w:r>
        <w:rPr/>
        <w:fldChar w:fldCharType="end"/>
      </w:r>
      <w:r>
        <w:rPr/>
        <w:t>.  Analiza sustava civilne zaštite – sustav civilne zaštite - zbirno</w:t>
      </w:r>
    </w:p>
    <w:tbl>
      <w:tblPr>
        <w:tblW w:w="9872" w:type="dxa"/>
        <w:jc w:val="center"/>
        <w:tblInd w:w="0" w:type="dxa"/>
        <w:tblCellMar>
          <w:top w:w="0" w:type="dxa"/>
          <w:left w:w="108" w:type="dxa"/>
          <w:bottom w:w="0" w:type="dxa"/>
          <w:right w:w="108" w:type="dxa"/>
        </w:tblCellMar>
        <w:tblLook w:firstRow="1" w:noVBand="1" w:lastRow="0" w:firstColumn="1" w:lastColumn="0" w:noHBand="0" w:val="04a0"/>
      </w:tblPr>
      <w:tblGrid>
        <w:gridCol w:w="2995"/>
        <w:gridCol w:w="1755"/>
        <w:gridCol w:w="1651"/>
        <w:gridCol w:w="1819"/>
        <w:gridCol w:w="1652"/>
      </w:tblGrid>
      <w:tr>
        <w:trPr>
          <w:trHeight w:val="352" w:hRule="atLeast"/>
        </w:trPr>
        <w:tc>
          <w:tcPr>
            <w:tcW w:w="299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p>
            <w:pPr>
              <w:pStyle w:val="Normal"/>
              <w:spacing w:before="80" w:after="0"/>
              <w:jc w:val="center"/>
              <w:rPr>
                <w:b/>
                <w:b/>
                <w:sz w:val="20"/>
                <w:szCs w:val="20"/>
              </w:rPr>
            </w:pPr>
            <w:r>
              <w:rPr>
                <w:b/>
                <w:sz w:val="20"/>
                <w:szCs w:val="20"/>
              </w:rPr>
              <w:t>PODRUČJE REAGIRANJA</w:t>
            </w:r>
          </w:p>
        </w:tc>
        <w:tc>
          <w:tcPr>
            <w:tcW w:w="1755" w:type="dxa"/>
            <w:tcBorders>
              <w:top w:val="single" w:sz="4" w:space="0" w:color="000000"/>
              <w:left w:val="single" w:sz="4" w:space="0" w:color="000000"/>
              <w:bottom w:val="single" w:sz="4" w:space="0" w:color="000000"/>
              <w:right w:val="single" w:sz="4" w:space="0" w:color="000000"/>
            </w:tcBorders>
            <w:shd w:color="auto" w:fill="FF0000" w:val="clear"/>
          </w:tcPr>
          <w:p>
            <w:pPr>
              <w:pStyle w:val="Normal"/>
              <w:spacing w:before="80" w:after="0"/>
              <w:jc w:val="center"/>
              <w:rPr>
                <w:b/>
                <w:b/>
                <w:sz w:val="20"/>
                <w:szCs w:val="20"/>
              </w:rPr>
            </w:pPr>
            <w:r>
              <w:rPr>
                <w:b/>
                <w:sz w:val="20"/>
                <w:szCs w:val="20"/>
              </w:rPr>
              <w:t>Vrlo niska spremnost</w:t>
            </w:r>
          </w:p>
        </w:tc>
        <w:tc>
          <w:tcPr>
            <w:tcW w:w="1651" w:type="dxa"/>
            <w:tcBorders>
              <w:top w:val="single" w:sz="4" w:space="0" w:color="000000"/>
              <w:left w:val="single" w:sz="4" w:space="0" w:color="000000"/>
              <w:bottom w:val="single" w:sz="4" w:space="0" w:color="000000"/>
              <w:right w:val="single" w:sz="4" w:space="0" w:color="000000"/>
            </w:tcBorders>
            <w:shd w:color="auto" w:fill="FFC000" w:val="clear"/>
            <w:vAlign w:val="center"/>
          </w:tcPr>
          <w:p>
            <w:pPr>
              <w:pStyle w:val="Normal"/>
              <w:spacing w:before="80" w:after="0"/>
              <w:jc w:val="center"/>
              <w:rPr>
                <w:b/>
                <w:b/>
                <w:sz w:val="20"/>
                <w:szCs w:val="20"/>
              </w:rPr>
            </w:pPr>
            <w:r>
              <w:rPr>
                <w:b/>
                <w:sz w:val="20"/>
                <w:szCs w:val="20"/>
              </w:rPr>
              <w:t>Niska spremnost</w:t>
            </w:r>
          </w:p>
        </w:tc>
        <w:tc>
          <w:tcPr>
            <w:tcW w:w="1819"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rmal"/>
              <w:spacing w:before="80" w:after="0"/>
              <w:jc w:val="center"/>
              <w:rPr>
                <w:b/>
                <w:b/>
                <w:sz w:val="20"/>
                <w:szCs w:val="20"/>
              </w:rPr>
            </w:pPr>
            <w:r>
              <w:rPr>
                <w:b/>
                <w:sz w:val="20"/>
                <w:szCs w:val="20"/>
              </w:rPr>
              <w:t>Visoka spremnost</w:t>
            </w:r>
          </w:p>
        </w:tc>
        <w:tc>
          <w:tcPr>
            <w:tcW w:w="1652" w:type="dxa"/>
            <w:tcBorders>
              <w:top w:val="single" w:sz="4" w:space="0" w:color="000000"/>
              <w:left w:val="single" w:sz="4" w:space="0" w:color="000000"/>
              <w:bottom w:val="single" w:sz="4" w:space="0" w:color="000000"/>
              <w:right w:val="single" w:sz="4" w:space="0" w:color="000000"/>
            </w:tcBorders>
            <w:shd w:color="auto" w:fill="92D050" w:val="clear"/>
          </w:tcPr>
          <w:p>
            <w:pPr>
              <w:pStyle w:val="Normal"/>
              <w:spacing w:before="80" w:after="0"/>
              <w:jc w:val="center"/>
              <w:rPr>
                <w:b/>
                <w:b/>
                <w:sz w:val="20"/>
                <w:szCs w:val="20"/>
              </w:rPr>
            </w:pPr>
            <w:r>
              <w:rPr>
                <w:b/>
                <w:sz w:val="20"/>
                <w:szCs w:val="20"/>
              </w:rPr>
              <w:t>Vrlo visoka spremnost</w:t>
            </w:r>
          </w:p>
        </w:tc>
      </w:tr>
      <w:tr>
        <w:trPr>
          <w:trHeight w:val="278" w:hRule="atLeast"/>
        </w:trPr>
        <w:tc>
          <w:tcPr>
            <w:tcW w:w="299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4</w:t>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3</w:t>
            </w:r>
          </w:p>
        </w:tc>
        <w:tc>
          <w:tcPr>
            <w:tcW w:w="1819"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2</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1</w:t>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Područje preventive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352"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Područje reagiranja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r>
        <w:trPr>
          <w:trHeight w:val="503" w:hRule="atLeast"/>
        </w:trPr>
        <w:tc>
          <w:tcPr>
            <w:tcW w:w="299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0"/>
              <w:jc w:val="center"/>
              <w:rPr>
                <w:b/>
                <w:b/>
                <w:sz w:val="20"/>
                <w:szCs w:val="20"/>
              </w:rPr>
            </w:pPr>
            <w:r>
              <w:rPr>
                <w:b/>
                <w:sz w:val="20"/>
                <w:szCs w:val="20"/>
              </w:rPr>
              <w:t>Sustav civilne zaštite - ZBIRNO</w:t>
            </w:r>
          </w:p>
        </w:tc>
        <w:tc>
          <w:tcPr>
            <w:tcW w:w="1755"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c>
          <w:tcPr>
            <w:tcW w:w="1651"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jc w:val="center"/>
              <w:rPr>
                <w:b/>
                <w:b/>
                <w:sz w:val="20"/>
                <w:szCs w:val="20"/>
              </w:rPr>
            </w:pPr>
            <w:r>
              <w:rPr>
                <w:b/>
                <w:sz w:val="20"/>
                <w:szCs w:val="20"/>
              </w:rPr>
            </w:r>
          </w:p>
        </w:tc>
        <w:tc>
          <w:tcPr>
            <w:tcW w:w="181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spacing w:before="80" w:after="0"/>
              <w:jc w:val="center"/>
              <w:rPr>
                <w:b/>
                <w:b/>
                <w:sz w:val="20"/>
                <w:szCs w:val="20"/>
              </w:rPr>
            </w:pPr>
            <w:r>
              <w:rPr>
                <w:b/>
                <w:sz w:val="20"/>
                <w:szCs w:val="20"/>
              </w:rPr>
              <w:t>x</w:t>
            </w:r>
          </w:p>
        </w:tc>
        <w:tc>
          <w:tcPr>
            <w:tcW w:w="1652"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before="80" w:after="160"/>
              <w:rPr>
                <w:b/>
                <w:b/>
                <w:sz w:val="20"/>
                <w:szCs w:val="20"/>
              </w:rPr>
            </w:pPr>
            <w:r>
              <w:rPr>
                <w:b/>
                <w:sz w:val="20"/>
                <w:szCs w:val="20"/>
              </w:rPr>
            </w:r>
          </w:p>
        </w:tc>
      </w:tr>
    </w:tbl>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Normal"/>
        <w:rPr>
          <w:highlight w:val="yellow"/>
        </w:rPr>
      </w:pPr>
      <w:r>
        <w:rPr>
          <w:highlight w:val="yellow"/>
        </w:rPr>
      </w:r>
    </w:p>
    <w:p>
      <w:pPr>
        <w:pStyle w:val="Stilnaslova1"/>
        <w:numPr>
          <w:ilvl w:val="0"/>
          <w:numId w:val="2"/>
        </w:numPr>
        <w:rPr/>
      </w:pPr>
      <w:bookmarkStart w:id="400" w:name="_Toc492284994"/>
      <w:bookmarkStart w:id="401" w:name="_Toc496856141"/>
      <w:bookmarkStart w:id="402" w:name="_Toc99955771"/>
      <w:bookmarkStart w:id="403" w:name="_Toc116990219"/>
      <w:r>
        <w:rPr/>
        <w:t>VREDNOVANJE RIZIKA</w:t>
      </w:r>
      <w:bookmarkEnd w:id="400"/>
      <w:bookmarkEnd w:id="401"/>
      <w:bookmarkEnd w:id="402"/>
      <w:bookmarkEnd w:id="403"/>
    </w:p>
    <w:p>
      <w:pPr>
        <w:pStyle w:val="Normal"/>
        <w:rPr/>
      </w:pPr>
      <w:r>
        <w:rPr/>
      </w:r>
    </w:p>
    <w:p>
      <w:pPr>
        <w:pStyle w:val="Normal"/>
        <w:rPr/>
      </w:pPr>
      <w:r>
        <w:rPr/>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pPr>
        <w:pStyle w:val="Caption"/>
        <w:rPr/>
      </w:pPr>
      <w:r>
        <w:rPr/>
        <w:t>Slika 13. Vrednovanje rizika – ALARP NAČELA</w:t>
      </w:r>
    </w:p>
    <w:p>
      <w:pPr>
        <w:pStyle w:val="Caption"/>
        <w:rPr/>
      </w:pPr>
      <w:r>
        <w:rPr/>
        <w:drawing>
          <wp:anchor behindDoc="0" distT="0" distB="0" distL="0" distR="0" simplePos="0" locked="0" layoutInCell="1" allowOverlap="1" relativeHeight="51">
            <wp:simplePos x="0" y="0"/>
            <wp:positionH relativeFrom="column">
              <wp:posOffset>166370</wp:posOffset>
            </wp:positionH>
            <wp:positionV relativeFrom="paragraph">
              <wp:posOffset>91440</wp:posOffset>
            </wp:positionV>
            <wp:extent cx="5759450" cy="5234940"/>
            <wp:effectExtent l="0" t="0" r="0" b="0"/>
            <wp:wrapNone/>
            <wp:docPr id="189" name="Picture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09" descr=""/>
                    <pic:cNvPicPr>
                      <a:picLocks noChangeAspect="1" noChangeArrowheads="1"/>
                    </pic:cNvPicPr>
                  </pic:nvPicPr>
                  <pic:blipFill>
                    <a:blip r:embed="rId150"/>
                    <a:stretch>
                      <a:fillRect/>
                    </a:stretch>
                  </pic:blipFill>
                  <pic:spPr bwMode="auto">
                    <a:xfrm>
                      <a:off x="0" y="0"/>
                      <a:ext cx="5759450" cy="5234940"/>
                    </a:xfrm>
                    <a:prstGeom prst="rect">
                      <a:avLst/>
                    </a:prstGeom>
                  </pic:spPr>
                </pic:pic>
              </a:graphicData>
            </a:graphic>
          </wp:anchor>
        </w:drawing>
      </w:r>
    </w:p>
    <w:p>
      <w:pPr>
        <w:pStyle w:val="Caption"/>
        <w:rPr/>
      </w:pPr>
      <w:r>
        <w:rPr/>
      </w:r>
    </w:p>
    <w:p>
      <w:pPr>
        <w:pStyle w:val="Caption"/>
        <w:rPr/>
      </w:pPr>
      <w:r>
        <w:rPr/>
      </w:r>
    </w:p>
    <w:p>
      <w:pPr>
        <w:pStyle w:val="Caption"/>
        <w:rPr/>
      </w:pPr>
      <w:r>
        <w:rPr/>
      </w:r>
    </w:p>
    <w:p>
      <w:pPr>
        <w:pStyle w:val="Caption"/>
        <w:rPr/>
      </w:pPr>
      <w:r>
        <w:rPr/>
      </w:r>
    </w:p>
    <w:p>
      <w:pPr>
        <w:pStyle w:val="Caption"/>
        <w:rPr/>
      </w:pPr>
      <w:r>
        <w:rPr/>
        <w:t>Izvor: DUZS, Kriteriji za izradu smjernica koje donose čelnici područne (regionalne) samouprave za potrebe izrade procjena rizika od velikih nesreća na razinama jedinica lokalnih i područnih (regionalnih) samouprava DUZS, Sektor za civilnu zaštitu od 28. studenog 2016. godine.</w:t>
      </w:r>
    </w:p>
    <w:p>
      <w:pPr>
        <w:pStyle w:val="Caption"/>
        <w:rPr/>
      </w:pPr>
      <w:r>
        <w:rPr/>
      </w:r>
    </w:p>
    <w:p>
      <w:pPr>
        <w:pStyle w:val="Caption"/>
        <w:rPr/>
      </w:pPr>
      <w:r>
        <w:rPr/>
      </w:r>
    </w:p>
    <w:p>
      <w:pPr>
        <w:pStyle w:val="Normal"/>
        <w:rPr/>
      </w:pPr>
      <w:r>
        <w:rPr/>
      </w:r>
    </w:p>
    <w:p>
      <w:pPr>
        <w:pStyle w:val="Caption"/>
        <w:rPr/>
      </w:pPr>
      <w:r>
        <w:rPr/>
        <w:t xml:space="preserve">Tablica </w:t>
      </w:r>
      <w:r>
        <w:rPr/>
        <w:fldChar w:fldCharType="begin"/>
      </w:r>
      <w:r>
        <w:rPr/>
        <w:instrText> SEQ Tabela \* ARABIC </w:instrText>
      </w:r>
      <w:r>
        <w:rPr/>
        <w:fldChar w:fldCharType="separate"/>
      </w:r>
      <w:r>
        <w:rPr/>
        <w:t>86</w:t>
      </w:r>
      <w:r>
        <w:rPr/>
        <w:fldChar w:fldCharType="end"/>
      </w:r>
      <w:r>
        <w:rPr/>
        <w:t>. Vrednovanje rizika</w:t>
      </w:r>
    </w:p>
    <w:tbl>
      <w:tblPr>
        <w:tblW w:w="5000" w:type="pct"/>
        <w:jc w:val="center"/>
        <w:tblInd w:w="0" w:type="dxa"/>
        <w:tblCellMar>
          <w:top w:w="0" w:type="dxa"/>
          <w:left w:w="108" w:type="dxa"/>
          <w:bottom w:w="0" w:type="dxa"/>
          <w:right w:w="108" w:type="dxa"/>
        </w:tblCellMar>
        <w:tblLook w:firstRow="1" w:noVBand="0" w:lastRow="0" w:firstColumn="1" w:lastColumn="0" w:noHBand="0" w:val="00a0"/>
      </w:tblPr>
      <w:tblGrid>
        <w:gridCol w:w="5568"/>
        <w:gridCol w:w="3501"/>
      </w:tblGrid>
      <w:tr>
        <w:trPr>
          <w:tblHeader w:val="true"/>
          <w:trHeight w:val="340" w:hRule="atLeast"/>
        </w:trPr>
        <w:tc>
          <w:tcPr>
            <w:tcW w:w="5568"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80" w:after="160"/>
              <w:jc w:val="center"/>
              <w:rPr>
                <w:b/>
                <w:b/>
                <w:sz w:val="20"/>
              </w:rPr>
            </w:pPr>
            <w:r>
              <w:rPr>
                <w:b/>
                <w:sz w:val="20"/>
              </w:rPr>
              <w:t>SCENARIJ</w:t>
            </w:r>
          </w:p>
        </w:tc>
        <w:tc>
          <w:tcPr>
            <w:tcW w:w="3501" w:type="dxa"/>
            <w:tcBorders>
              <w:top w:val="single" w:sz="4" w:space="0" w:color="000000"/>
              <w:left w:val="single" w:sz="4" w:space="0" w:color="000000"/>
              <w:bottom w:val="single" w:sz="4" w:space="0" w:color="000000"/>
              <w:right w:val="single" w:sz="4" w:space="0" w:color="000000"/>
            </w:tcBorders>
            <w:shd w:color="auto" w:fill="FFFFFF" w:themeFill="background1" w:val="clear"/>
            <w:vAlign w:val="center"/>
          </w:tcPr>
          <w:p>
            <w:pPr>
              <w:pStyle w:val="Normal"/>
              <w:spacing w:before="80" w:after="160"/>
              <w:jc w:val="center"/>
              <w:rPr>
                <w:b/>
                <w:b/>
                <w:sz w:val="20"/>
              </w:rPr>
            </w:pPr>
            <w:r>
              <w:rPr>
                <w:b/>
                <w:sz w:val="20"/>
              </w:rPr>
              <w:t>VREDNOVANJE</w:t>
            </w:r>
          </w:p>
        </w:tc>
      </w:tr>
      <w:tr>
        <w:trPr>
          <w:trHeight w:val="465"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Požar otvorenog tipa</w:t>
            </w:r>
          </w:p>
        </w:tc>
        <w:tc>
          <w:tcPr>
            <w:tcW w:w="3501" w:type="dxa"/>
            <w:tcBorders>
              <w:top w:val="single" w:sz="4" w:space="0" w:color="000000"/>
              <w:left w:val="single" w:sz="4" w:space="0" w:color="000000"/>
              <w:bottom w:val="single" w:sz="4" w:space="0" w:color="000000"/>
              <w:right w:val="single" w:sz="4" w:space="0" w:color="000000"/>
            </w:tcBorders>
            <w:shd w:color="auto" w:fill="F79646" w:themeFill="accent6"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Epidemija i pandemija</w:t>
            </w:r>
          </w:p>
        </w:tc>
        <w:tc>
          <w:tcPr>
            <w:tcW w:w="3501" w:type="dxa"/>
            <w:tcBorders>
              <w:top w:val="single" w:sz="4" w:space="0" w:color="000000"/>
              <w:left w:val="single" w:sz="4" w:space="0" w:color="000000"/>
              <w:bottom w:val="single" w:sz="4" w:space="0" w:color="000000"/>
              <w:right w:val="single" w:sz="4" w:space="0" w:color="000000"/>
            </w:tcBorders>
            <w:shd w:color="auto" w:fill="F79646" w:themeFill="accent6"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Industrijska nesreća</w:t>
            </w:r>
          </w:p>
        </w:tc>
        <w:tc>
          <w:tcPr>
            <w:tcW w:w="35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Potres</w:t>
            </w:r>
          </w:p>
        </w:tc>
        <w:tc>
          <w:tcPr>
            <w:tcW w:w="35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 xml:space="preserve">Poplava </w:t>
            </w:r>
          </w:p>
        </w:tc>
        <w:tc>
          <w:tcPr>
            <w:tcW w:w="35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Ekstremne temperature</w:t>
            </w:r>
          </w:p>
        </w:tc>
        <w:tc>
          <w:tcPr>
            <w:tcW w:w="35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Suša</w:t>
            </w:r>
          </w:p>
        </w:tc>
        <w:tc>
          <w:tcPr>
            <w:tcW w:w="3501" w:type="dxa"/>
            <w:tcBorders>
              <w:top w:val="single" w:sz="4" w:space="0" w:color="000000"/>
              <w:left w:val="single" w:sz="4" w:space="0" w:color="000000"/>
              <w:bottom w:val="single" w:sz="4" w:space="0" w:color="000000"/>
              <w:right w:val="single" w:sz="4" w:space="0" w:color="000000"/>
            </w:tcBorders>
            <w:shd w:color="auto" w:fill="FFFF00" w:val="clear"/>
            <w:vAlign w:val="center"/>
          </w:tcPr>
          <w:p>
            <w:pPr>
              <w:pStyle w:val="NoSpacing"/>
              <w:rPr/>
            </w:pPr>
            <w:r>
              <w:rPr/>
            </w:r>
          </w:p>
        </w:tc>
      </w:tr>
      <w:tr>
        <w:trPr>
          <w:trHeight w:val="459" w:hRule="atLeast"/>
        </w:trPr>
        <w:tc>
          <w:tcPr>
            <w:tcW w:w="5568" w:type="dxa"/>
            <w:tcBorders>
              <w:top w:val="single" w:sz="4" w:space="0" w:color="000000"/>
              <w:left w:val="single" w:sz="4" w:space="0" w:color="000000"/>
              <w:bottom w:val="single" w:sz="4" w:space="0" w:color="000000"/>
              <w:right w:val="single" w:sz="4" w:space="0" w:color="000000"/>
            </w:tcBorders>
            <w:vAlign w:val="center"/>
          </w:tcPr>
          <w:p>
            <w:pPr>
              <w:pStyle w:val="Normal"/>
              <w:spacing w:before="80" w:after="160"/>
              <w:jc w:val="left"/>
              <w:rPr>
                <w:sz w:val="20"/>
              </w:rPr>
            </w:pPr>
            <w:r>
              <w:rPr>
                <w:sz w:val="20"/>
              </w:rPr>
              <w:t>Tuča</w:t>
            </w:r>
          </w:p>
        </w:tc>
        <w:tc>
          <w:tcPr>
            <w:tcW w:w="3501" w:type="dxa"/>
            <w:tcBorders>
              <w:top w:val="single" w:sz="4" w:space="0" w:color="000000"/>
              <w:left w:val="single" w:sz="4" w:space="0" w:color="000000"/>
              <w:bottom w:val="single" w:sz="4" w:space="0" w:color="000000"/>
              <w:right w:val="single" w:sz="4" w:space="0" w:color="000000"/>
            </w:tcBorders>
            <w:shd w:color="auto" w:fill="F79646" w:themeFill="accent6" w:val="clear"/>
            <w:vAlign w:val="center"/>
          </w:tcPr>
          <w:p>
            <w:pPr>
              <w:pStyle w:val="NoSpacing"/>
              <w:rPr/>
            </w:pPr>
            <w:r>
              <w:rPr/>
            </w:r>
          </w:p>
        </w:tc>
      </w:tr>
    </w:tbl>
    <w:p>
      <w:pPr>
        <w:pStyle w:val="Normal"/>
        <w:rPr>
          <w:highlight w:val="yellow"/>
        </w:rPr>
      </w:pPr>
      <w:r>
        <w:rPr>
          <w:highlight w:val="yellow"/>
        </w:rPr>
      </w:r>
    </w:p>
    <w:p>
      <w:pPr>
        <w:pStyle w:val="Normal"/>
        <w:rPr>
          <w:szCs w:val="22"/>
        </w:rPr>
      </w:pPr>
      <w:r>
        <w:rPr>
          <w:szCs w:val="22"/>
        </w:rPr>
        <w:t xml:space="preserve">Tolerirani (može se prihvatiti ukoliko je smanjenje nepraktično i troškovi premašuju dobit): </w:t>
      </w:r>
    </w:p>
    <w:p>
      <w:pPr>
        <w:pStyle w:val="ListParagraph"/>
        <w:numPr>
          <w:ilvl w:val="0"/>
          <w:numId w:val="33"/>
        </w:numPr>
        <w:rPr/>
      </w:pPr>
      <w:r>
        <w:rPr/>
        <w:t>Epidemija i pandemija</w:t>
      </w:r>
    </w:p>
    <w:p>
      <w:pPr>
        <w:pStyle w:val="ListParagraph"/>
        <w:numPr>
          <w:ilvl w:val="0"/>
          <w:numId w:val="33"/>
        </w:numPr>
        <w:rPr/>
      </w:pPr>
      <w:r>
        <w:rPr/>
        <w:t>Industrijska nesreća</w:t>
      </w:r>
    </w:p>
    <w:p>
      <w:pPr>
        <w:pStyle w:val="ListParagraph"/>
        <w:numPr>
          <w:ilvl w:val="0"/>
          <w:numId w:val="33"/>
        </w:numPr>
        <w:rPr/>
      </w:pPr>
      <w:r>
        <w:rPr/>
        <w:t>Poplava</w:t>
      </w:r>
    </w:p>
    <w:p>
      <w:pPr>
        <w:pStyle w:val="ListParagraph"/>
        <w:numPr>
          <w:ilvl w:val="0"/>
          <w:numId w:val="33"/>
        </w:numPr>
        <w:rPr/>
      </w:pPr>
      <w:r>
        <w:rPr/>
        <w:t>Potres</w:t>
      </w:r>
    </w:p>
    <w:p>
      <w:pPr>
        <w:pStyle w:val="ListParagraph"/>
        <w:numPr>
          <w:ilvl w:val="0"/>
          <w:numId w:val="33"/>
        </w:numPr>
        <w:rPr/>
      </w:pPr>
      <w:r>
        <w:rPr/>
        <w:t>Ekstremne temperature</w:t>
      </w:r>
    </w:p>
    <w:p>
      <w:pPr>
        <w:pStyle w:val="ListParagraph"/>
        <w:numPr>
          <w:ilvl w:val="0"/>
          <w:numId w:val="33"/>
        </w:numPr>
        <w:rPr/>
      </w:pPr>
      <w:r>
        <w:rPr/>
        <w:t>Požar</w:t>
      </w:r>
    </w:p>
    <w:p>
      <w:pPr>
        <w:pStyle w:val="ListParagraph"/>
        <w:numPr>
          <w:ilvl w:val="0"/>
          <w:numId w:val="33"/>
        </w:numPr>
        <w:rPr/>
      </w:pPr>
      <w:r>
        <w:rPr/>
        <w:t>Tuča</w:t>
      </w:r>
    </w:p>
    <w:p>
      <w:pPr>
        <w:pStyle w:val="ListParagraph"/>
        <w:numPr>
          <w:ilvl w:val="0"/>
          <w:numId w:val="33"/>
        </w:numPr>
        <w:rPr/>
      </w:pPr>
      <w:r>
        <w:rPr/>
        <w:t>Suša</w:t>
      </w:r>
    </w:p>
    <w:p>
      <w:pPr>
        <w:pStyle w:val="Normal"/>
        <w:ind w:left="720" w:hanging="0"/>
        <w:rPr>
          <w:szCs w:val="22"/>
        </w:rPr>
      </w:pPr>
      <w:r>
        <w:rPr>
          <w:szCs w:val="22"/>
        </w:rPr>
      </w:r>
    </w:p>
    <w:p>
      <w:pPr>
        <w:pStyle w:val="Normal"/>
        <w:rPr/>
      </w:pPr>
      <w:r>
        <w:rPr/>
      </w:r>
    </w:p>
    <w:p>
      <w:pPr>
        <w:pStyle w:val="Normal"/>
        <w:rPr/>
      </w:pPr>
      <w:r>
        <w:rPr/>
      </w:r>
    </w:p>
    <w:p>
      <w:pPr>
        <w:pStyle w:val="Normal"/>
        <w:rPr/>
      </w:pPr>
      <w:r>
        <w:rPr/>
      </w:r>
    </w:p>
    <w:p>
      <w:pPr>
        <w:pStyle w:val="Normal"/>
        <w:rPr/>
      </w:pPr>
      <w:r>
        <w:rPr/>
      </w:r>
    </w:p>
    <w:p>
      <w:pPr>
        <w:pStyle w:val="Stilnaslova1"/>
        <w:numPr>
          <w:ilvl w:val="0"/>
          <w:numId w:val="2"/>
        </w:numPr>
        <w:rPr/>
      </w:pPr>
      <w:bookmarkStart w:id="404" w:name="_Toc492284995"/>
      <w:bookmarkStart w:id="405" w:name="_Toc496856142"/>
      <w:bookmarkStart w:id="406" w:name="_Toc99955772"/>
      <w:bookmarkStart w:id="407" w:name="_Toc116990220"/>
      <w:r>
        <w:rPr/>
        <w:t>POPIS SUDIONIKA U IZRADI PROCJENE RIZIKA</w:t>
      </w:r>
      <w:bookmarkEnd w:id="404"/>
      <w:bookmarkEnd w:id="405"/>
      <w:bookmarkEnd w:id="406"/>
      <w:bookmarkEnd w:id="407"/>
    </w:p>
    <w:tbl>
      <w:tblPr>
        <w:tblStyle w:val="GridTable6Colorful-Accent31"/>
        <w:tblW w:w="8757" w:type="dxa"/>
        <w:jc w:val="left"/>
        <w:tblInd w:w="0" w:type="dxa"/>
        <w:tblCellMar>
          <w:top w:w="0" w:type="dxa"/>
          <w:left w:w="108" w:type="dxa"/>
          <w:bottom w:w="0" w:type="dxa"/>
          <w:right w:w="108" w:type="dxa"/>
        </w:tblCellMar>
        <w:tblLook w:firstRow="1" w:noVBand="1" w:lastRow="0" w:firstColumn="1" w:lastColumn="0" w:noHBand="0" w:val="04a0"/>
      </w:tblPr>
      <w:tblGrid>
        <w:gridCol w:w="8757"/>
      </w:tblGrid>
      <w:tr>
        <w:trPr>
          <w:trHeight w:val="433" w:hRule="atLeast"/>
          <w:cnfStyle w:val="100000000000" w:firstRow="1" w:lastRow="0" w:firstColumn="0" w:lastColumn="0" w:oddVBand="0" w:evenVBand="0" w:oddHBand="0"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Epidemija i pandemija</w:t>
            </w:r>
          </w:p>
        </w:tc>
      </w:tr>
      <w:tr>
        <w:trPr>
          <w:trHeight w:val="453"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33" w:hRule="atLeast"/>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Denis Stipanov, član</w:t>
            </w:r>
          </w:p>
        </w:tc>
      </w:tr>
      <w:tr>
        <w:trPr>
          <w:trHeight w:val="433"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27" w:type="dxa"/>
        <w:jc w:val="left"/>
        <w:tblInd w:w="0" w:type="dxa"/>
        <w:tblCellMar>
          <w:top w:w="0" w:type="dxa"/>
          <w:left w:w="108" w:type="dxa"/>
          <w:bottom w:w="0" w:type="dxa"/>
          <w:right w:w="108" w:type="dxa"/>
        </w:tblCellMar>
        <w:tblLook w:firstRow="1" w:noVBand="1" w:lastRow="0" w:firstColumn="1" w:lastColumn="0" w:noHBand="0" w:val="04a0"/>
      </w:tblPr>
      <w:tblGrid>
        <w:gridCol w:w="8727"/>
      </w:tblGrid>
      <w:tr>
        <w:trPr>
          <w:trHeight w:val="450" w:hRule="atLeast"/>
          <w:cnfStyle w:val="100000000000" w:firstRow="1" w:lastRow="0" w:firstColumn="0" w:lastColumn="0" w:oddVBand="0" w:evenVBand="0" w:oddHBand="0" w:evenHBand="0" w:firstRowFirstColumn="0" w:firstRowLastColumn="0" w:lastRowFirstColumn="0" w:lastRowLastColumn="0"/>
        </w:trPr>
        <w:tc>
          <w:tcPr>
            <w:tcW w:w="872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Industrijska nesreća</w:t>
            </w:r>
          </w:p>
        </w:tc>
      </w:tr>
      <w:tr>
        <w:trPr>
          <w:trHeight w:val="471" w:hRule="atLeast"/>
          <w:cnfStyle w:val="000000100000" w:firstRow="0" w:lastRow="0" w:firstColumn="0" w:lastColumn="0" w:oddVBand="0" w:evenVBand="0" w:oddHBand="1" w:evenHBand="0" w:firstRowFirstColumn="0" w:firstRowLastColumn="0" w:lastRowFirstColumn="0" w:lastRowLastColumn="0"/>
        </w:trPr>
        <w:tc>
          <w:tcPr>
            <w:tcW w:w="872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50" w:hRule="atLeast"/>
        </w:trPr>
        <w:tc>
          <w:tcPr>
            <w:tcW w:w="872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Denis Stipanov, član</w:t>
            </w:r>
          </w:p>
        </w:tc>
      </w:tr>
      <w:tr>
        <w:trPr>
          <w:trHeight w:val="450" w:hRule="atLeast"/>
          <w:cnfStyle w:val="000000100000" w:firstRow="0" w:lastRow="0" w:firstColumn="0" w:lastColumn="0" w:oddVBand="0" w:evenVBand="0" w:oddHBand="1" w:evenHBand="0" w:firstRowFirstColumn="0" w:firstRowLastColumn="0" w:lastRowFirstColumn="0" w:lastRowLastColumn="0"/>
        </w:trPr>
        <w:tc>
          <w:tcPr>
            <w:tcW w:w="8727"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42" w:type="dxa"/>
        <w:jc w:val="left"/>
        <w:tblInd w:w="0" w:type="dxa"/>
        <w:tblCellMar>
          <w:top w:w="0" w:type="dxa"/>
          <w:left w:w="108" w:type="dxa"/>
          <w:bottom w:w="0" w:type="dxa"/>
          <w:right w:w="108" w:type="dxa"/>
        </w:tblCellMar>
        <w:tblLook w:firstRow="1" w:noVBand="1" w:lastRow="0" w:firstColumn="1" w:lastColumn="0" w:noHBand="0" w:val="04a0"/>
      </w:tblPr>
      <w:tblGrid>
        <w:gridCol w:w="8742"/>
      </w:tblGrid>
      <w:tr>
        <w:trPr>
          <w:trHeight w:val="450" w:hRule="atLeast"/>
          <w:cnfStyle w:val="100000000000" w:firstRow="1" w:lastRow="0" w:firstColumn="0" w:lastColumn="0" w:oddVBand="0" w:evenVBand="0" w:oddHBand="0"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Požar otvorenog prostora</w:t>
            </w:r>
          </w:p>
        </w:tc>
      </w:tr>
      <w:tr>
        <w:trPr>
          <w:trHeight w:val="471" w:hRule="atLeast"/>
          <w:cnfStyle w:val="000000100000" w:firstRow="0" w:lastRow="0" w:firstColumn="0" w:lastColumn="0" w:oddVBand="0" w:evenVBand="0" w:oddHBand="1"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50" w:hRule="atLeast"/>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450" w:hRule="atLeast"/>
          <w:cnfStyle w:val="000000100000" w:firstRow="0" w:lastRow="0" w:firstColumn="0" w:lastColumn="0" w:oddVBand="0" w:evenVBand="0" w:oddHBand="1"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72" w:type="dxa"/>
        <w:jc w:val="left"/>
        <w:tblInd w:w="0" w:type="dxa"/>
        <w:tblCellMar>
          <w:top w:w="0" w:type="dxa"/>
          <w:left w:w="108" w:type="dxa"/>
          <w:bottom w:w="0" w:type="dxa"/>
          <w:right w:w="108" w:type="dxa"/>
        </w:tblCellMar>
        <w:tblLook w:firstRow="1" w:noVBand="1" w:lastRow="0" w:firstColumn="1" w:lastColumn="0" w:noHBand="0" w:val="04a0"/>
      </w:tblPr>
      <w:tblGrid>
        <w:gridCol w:w="8772"/>
      </w:tblGrid>
      <w:tr>
        <w:trPr>
          <w:trHeight w:val="436" w:hRule="atLeast"/>
          <w:cnfStyle w:val="100000000000" w:firstRow="1" w:lastRow="0" w:firstColumn="0" w:lastColumn="0" w:oddVBand="0" w:evenVBand="0" w:oddHBand="0" w:evenHBand="0" w:firstRowFirstColumn="0" w:firstRowLastColumn="0" w:lastRowFirstColumn="0" w:lastRowLastColumn="0"/>
        </w:trPr>
        <w:tc>
          <w:tcPr>
            <w:tcW w:w="877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Potres</w:t>
            </w:r>
          </w:p>
        </w:tc>
      </w:tr>
      <w:tr>
        <w:trPr>
          <w:trHeight w:val="457" w:hRule="atLeast"/>
          <w:cnfStyle w:val="000000100000" w:firstRow="0" w:lastRow="0" w:firstColumn="0" w:lastColumn="0" w:oddVBand="0" w:evenVBand="0" w:oddHBand="1" w:evenHBand="0" w:firstRowFirstColumn="0" w:firstRowLastColumn="0" w:lastRowFirstColumn="0" w:lastRowLastColumn="0"/>
        </w:trPr>
        <w:tc>
          <w:tcPr>
            <w:tcW w:w="877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36" w:hRule="atLeast"/>
        </w:trPr>
        <w:tc>
          <w:tcPr>
            <w:tcW w:w="877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436" w:hRule="atLeast"/>
          <w:cnfStyle w:val="000000100000" w:firstRow="0" w:lastRow="0" w:firstColumn="0" w:lastColumn="0" w:oddVBand="0" w:evenVBand="0" w:oddHBand="1" w:evenHBand="0" w:firstRowFirstColumn="0" w:firstRowLastColumn="0" w:lastRowFirstColumn="0" w:lastRowLastColumn="0"/>
        </w:trPr>
        <w:tc>
          <w:tcPr>
            <w:tcW w:w="8772"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57" w:type="dxa"/>
        <w:jc w:val="left"/>
        <w:tblInd w:w="0" w:type="dxa"/>
        <w:tblCellMar>
          <w:top w:w="0" w:type="dxa"/>
          <w:left w:w="108" w:type="dxa"/>
          <w:bottom w:w="0" w:type="dxa"/>
          <w:right w:w="108" w:type="dxa"/>
        </w:tblCellMar>
        <w:tblLook w:firstRow="1" w:noVBand="1" w:lastRow="0" w:firstColumn="1" w:lastColumn="0" w:noHBand="0" w:val="04a0"/>
      </w:tblPr>
      <w:tblGrid>
        <w:gridCol w:w="8757"/>
      </w:tblGrid>
      <w:tr>
        <w:trPr>
          <w:trHeight w:val="422" w:hRule="atLeast"/>
          <w:cnfStyle w:val="100000000000" w:firstRow="1" w:lastRow="0" w:firstColumn="0" w:lastColumn="0" w:oddVBand="0" w:evenVBand="0" w:oddHBand="0"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Suša</w:t>
            </w:r>
          </w:p>
        </w:tc>
      </w:tr>
      <w:tr>
        <w:trPr>
          <w:trHeight w:val="442"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22" w:hRule="atLeast"/>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422"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p>
      <w:pPr>
        <w:pStyle w:val="Normal"/>
        <w:rPr>
          <w:color w:val="FF0000"/>
          <w:szCs w:val="22"/>
        </w:rPr>
      </w:pPr>
      <w:r>
        <w:rPr>
          <w:color w:val="FF0000"/>
          <w:szCs w:val="22"/>
        </w:rPr>
      </w:r>
    </w:p>
    <w:p>
      <w:pPr>
        <w:pStyle w:val="Normal"/>
        <w:rPr>
          <w:color w:val="FF0000"/>
          <w:szCs w:val="22"/>
        </w:rPr>
      </w:pPr>
      <w:r>
        <w:rPr>
          <w:color w:val="FF0000"/>
          <w:szCs w:val="22"/>
        </w:rPr>
      </w:r>
    </w:p>
    <w:p>
      <w:pPr>
        <w:pStyle w:val="Normal"/>
        <w:rPr>
          <w:color w:val="FF0000"/>
          <w:szCs w:val="22"/>
        </w:rPr>
      </w:pPr>
      <w:r>
        <w:rPr>
          <w:color w:val="FF0000"/>
          <w:szCs w:val="22"/>
        </w:rPr>
      </w:r>
    </w:p>
    <w:tbl>
      <w:tblPr>
        <w:tblStyle w:val="GridTable6Colorful-Accent31"/>
        <w:tblW w:w="8742" w:type="dxa"/>
        <w:jc w:val="left"/>
        <w:tblInd w:w="0" w:type="dxa"/>
        <w:tblCellMar>
          <w:top w:w="0" w:type="dxa"/>
          <w:left w:w="108" w:type="dxa"/>
          <w:bottom w:w="0" w:type="dxa"/>
          <w:right w:w="108" w:type="dxa"/>
        </w:tblCellMar>
        <w:tblLook w:firstRow="1" w:noVBand="1" w:lastRow="0" w:firstColumn="1" w:lastColumn="0" w:noHBand="0" w:val="04a0"/>
      </w:tblPr>
      <w:tblGrid>
        <w:gridCol w:w="8742"/>
      </w:tblGrid>
      <w:tr>
        <w:trPr>
          <w:trHeight w:val="401" w:hRule="atLeast"/>
          <w:cnfStyle w:val="100000000000" w:firstRow="1" w:lastRow="0" w:firstColumn="0" w:lastColumn="0" w:oddVBand="0" w:evenVBand="0" w:oddHBand="0"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Poplava</w:t>
            </w:r>
          </w:p>
        </w:tc>
      </w:tr>
      <w:tr>
        <w:trPr>
          <w:trHeight w:val="420" w:hRule="atLeast"/>
          <w:cnfStyle w:val="000000100000" w:firstRow="0" w:lastRow="0" w:firstColumn="0" w:lastColumn="0" w:oddVBand="0" w:evenVBand="0" w:oddHBand="1"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01" w:hRule="atLeast"/>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401" w:hRule="atLeast"/>
          <w:cnfStyle w:val="000000100000" w:firstRow="0" w:lastRow="0" w:firstColumn="0" w:lastColumn="0" w:oddVBand="0" w:evenVBand="0" w:oddHBand="1" w:evenHBand="0" w:firstRowFirstColumn="0" w:firstRowLastColumn="0" w:lastRowFirstColumn="0" w:lastRowLastColumn="0"/>
        </w:trPr>
        <w:tc>
          <w:tcPr>
            <w:tcW w:w="8742"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57" w:type="dxa"/>
        <w:jc w:val="left"/>
        <w:tblInd w:w="0" w:type="dxa"/>
        <w:tblCellMar>
          <w:top w:w="0" w:type="dxa"/>
          <w:left w:w="108" w:type="dxa"/>
          <w:bottom w:w="0" w:type="dxa"/>
          <w:right w:w="108" w:type="dxa"/>
        </w:tblCellMar>
        <w:tblLook w:firstRow="1" w:noVBand="1" w:lastRow="0" w:firstColumn="1" w:lastColumn="0" w:noHBand="0" w:val="04a0"/>
      </w:tblPr>
      <w:tblGrid>
        <w:gridCol w:w="8757"/>
      </w:tblGrid>
      <w:tr>
        <w:trPr>
          <w:trHeight w:val="412" w:hRule="atLeast"/>
          <w:cnfStyle w:val="100000000000" w:firstRow="1" w:lastRow="0" w:firstColumn="0" w:lastColumn="0" w:oddVBand="0" w:evenVBand="0" w:oddHBand="0"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Ekstremne temperature</w:t>
            </w:r>
          </w:p>
        </w:tc>
      </w:tr>
      <w:tr>
        <w:trPr>
          <w:trHeight w:val="431"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412" w:hRule="atLeast"/>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412" w:hRule="atLeast"/>
          <w:cnfStyle w:val="000000100000" w:firstRow="0" w:lastRow="0" w:firstColumn="0" w:lastColumn="0" w:oddVBand="0" w:evenVBand="0" w:oddHBand="1" w:evenHBand="0" w:firstRowFirstColumn="0" w:firstRowLastColumn="0" w:lastRowFirstColumn="0" w:lastRowLastColumn="0"/>
        </w:trPr>
        <w:tc>
          <w:tcPr>
            <w:tcW w:w="8757"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tbl>
      <w:tblPr>
        <w:tblStyle w:val="GridTable6Colorful-Accent31"/>
        <w:tblW w:w="8784" w:type="dxa"/>
        <w:jc w:val="left"/>
        <w:tblInd w:w="0" w:type="dxa"/>
        <w:tblCellMar>
          <w:top w:w="0" w:type="dxa"/>
          <w:left w:w="108" w:type="dxa"/>
          <w:bottom w:w="0" w:type="dxa"/>
          <w:right w:w="108" w:type="dxa"/>
        </w:tblCellMar>
        <w:tblLook w:firstRow="1" w:noVBand="1" w:lastRow="0" w:firstColumn="1" w:lastColumn="0" w:noHBand="0" w:val="04a0"/>
      </w:tblPr>
      <w:tblGrid>
        <w:gridCol w:w="8784"/>
      </w:tblGrid>
      <w:tr>
        <w:trPr>
          <w:cnfStyle w:val="100000000000" w:firstRow="1" w:lastRow="0" w:firstColumn="0" w:lastColumn="0" w:oddVBand="0" w:evenVBand="0" w:oddHBand="0" w:evenHBand="0" w:firstRowFirstColumn="0" w:firstRowLastColumn="0" w:lastRowFirstColumn="0" w:lastRowLastColumn="0"/>
        </w:trPr>
        <w:tc>
          <w:tcPr>
            <w:tcW w:w="8784" w:type="dxa"/>
            <w:cnfStyle w:val="001000000000" w:firstRow="0" w:lastRow="0" w:firstColumn="1" w:lastColumn="0" w:oddVBand="0" w:evenVBand="0" w:oddHBand="0" w:evenHBand="0" w:firstRowFirstColumn="0" w:firstRowLastColumn="0" w:lastRowFirstColumn="0" w:lastRowLastColumn="0"/>
            <w:tcBorders>
              <w:bottom w:val="single" w:sz="12" w:space="0" w:color="C2D69B"/>
            </w:tcBorders>
            <w:shd w:color="auto" w:fill="EAF1DD" w:themeFill="accent3" w:themeFillTint="33" w:val="clear"/>
          </w:tcPr>
          <w:p>
            <w:pPr>
              <w:pStyle w:val="Normal"/>
              <w:spacing w:lineRule="auto" w:line="240" w:before="80" w:after="0"/>
              <w:rPr>
                <w:b/>
                <w:b/>
                <w:bCs/>
                <w:color w:val="76923C" w:themeColor="accent3" w:themeShade="bf"/>
              </w:rPr>
            </w:pPr>
            <w:r>
              <w:rPr>
                <w:b/>
                <w:bCs/>
                <w:color w:val="76923C" w:themeColor="accent3" w:themeShade="bf"/>
              </w:rPr>
              <w:t>RIZIK: Tuča</w:t>
            </w:r>
          </w:p>
        </w:tc>
      </w:tr>
      <w:tr>
        <w:trPr>
          <w:trHeight w:val="515" w:hRule="atLeast"/>
          <w:cnfStyle w:val="000000100000" w:firstRow="0" w:lastRow="0" w:firstColumn="0" w:lastColumn="0" w:oddVBand="0" w:evenVBand="0" w:oddHBand="1" w:evenHBand="0" w:firstRowFirstColumn="0" w:firstRowLastColumn="0" w:lastRowFirstColumn="0" w:lastRowLastColumn="0"/>
        </w:trPr>
        <w:tc>
          <w:tcPr>
            <w:tcW w:w="8784"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Elvis Glavičić, voditelj</w:t>
            </w:r>
          </w:p>
        </w:tc>
      </w:tr>
      <w:tr>
        <w:trPr>
          <w:trHeight w:val="557" w:hRule="atLeast"/>
        </w:trPr>
        <w:tc>
          <w:tcPr>
            <w:tcW w:w="8784" w:type="dxa"/>
            <w:cnfStyle w:val="001000000000" w:firstRow="0" w:lastRow="0" w:firstColumn="1" w:lastColumn="0" w:oddVBand="0" w:evenVBand="0" w:oddHBand="0" w:evenHBand="0" w:firstRowFirstColumn="0" w:firstRowLastColumn="0" w:lastRowFirstColumn="0" w:lastRowLastColumn="0"/>
            <w:tcBorders>
              <w:left w:val="single" w:sz="4" w:space="0" w:color="9BBB59"/>
              <w:right w:val="single" w:sz="4" w:space="0" w:color="9BBB59"/>
            </w:tcBorders>
            <w:shd w:color="auto" w:fill="FFFFFF" w:themeFill="background1" w:val="clear"/>
          </w:tcPr>
          <w:p>
            <w:pPr>
              <w:pStyle w:val="Normal"/>
              <w:spacing w:lineRule="auto" w:line="240" w:before="80" w:after="0"/>
              <w:rPr>
                <w:b/>
                <w:b/>
                <w:bCs/>
                <w:color w:val="76923C" w:themeColor="accent3" w:themeShade="bf"/>
              </w:rPr>
            </w:pPr>
            <w:r>
              <w:rPr>
                <w:b/>
                <w:bCs w:val="false"/>
                <w:color w:val="auto" w:themeColor="accent3" w:themeShade="bf"/>
                <w:szCs w:val="20"/>
              </w:rPr>
              <w:t>Denis Stipanov, član</w:t>
            </w:r>
          </w:p>
        </w:tc>
      </w:tr>
      <w:tr>
        <w:trPr>
          <w:trHeight w:val="564" w:hRule="atLeast"/>
          <w:cnfStyle w:val="000000100000" w:firstRow="0" w:lastRow="0" w:firstColumn="0" w:lastColumn="0" w:oddVBand="0" w:evenVBand="0" w:oddHBand="1" w:evenHBand="0" w:firstRowFirstColumn="0" w:firstRowLastColumn="0" w:lastRowFirstColumn="0" w:lastRowLastColumn="0"/>
        </w:trPr>
        <w:tc>
          <w:tcPr>
            <w:tcW w:w="8784" w:type="dxa"/>
            <w:cnfStyle w:val="001000000000" w:firstRow="0" w:lastRow="0" w:firstColumn="1" w:lastColumn="0" w:oddVBand="0" w:evenVBand="0" w:oddHBand="0" w:evenHBand="0" w:firstRowFirstColumn="0" w:firstRowLastColumn="0" w:lastRowFirstColumn="0" w:lastRowLastColumn="0"/>
            <w:tcBorders>
              <w:left w:val="single" w:sz="4" w:space="0" w:color="9BBB59"/>
              <w:bottom w:val="single" w:sz="4" w:space="0" w:color="9BBB59"/>
              <w:right w:val="single" w:sz="4" w:space="0" w:color="9BBB59"/>
            </w:tcBorders>
            <w:shd w:color="auto" w:fill="FFFFFF" w:themeFill="background1" w:val="clear"/>
          </w:tcPr>
          <w:p>
            <w:pPr>
              <w:pStyle w:val="Normal"/>
              <w:spacing w:lineRule="auto" w:line="240" w:before="80" w:after="0"/>
              <w:rPr>
                <w:b w:val="false"/>
                <w:b w:val="false"/>
              </w:rPr>
            </w:pPr>
            <w:r>
              <w:rPr>
                <w:b/>
                <w:bCs w:val="false"/>
                <w:color w:val="auto" w:themeColor="accent3" w:themeShade="bf"/>
                <w:szCs w:val="20"/>
              </w:rPr>
              <w:t>Davor Lakošeljac, član</w:t>
            </w:r>
          </w:p>
        </w:tc>
      </w:tr>
    </w:tbl>
    <w:p>
      <w:pPr>
        <w:pStyle w:val="Normal"/>
        <w:rPr>
          <w:color w:val="FF0000"/>
          <w:szCs w:val="22"/>
        </w:rPr>
      </w:pPr>
      <w:r>
        <w:rPr>
          <w:color w:val="FF0000"/>
          <w:szCs w:val="22"/>
        </w:rPr>
      </w:r>
    </w:p>
    <w:p>
      <w:pPr>
        <w:pStyle w:val="Stilnaslova1"/>
        <w:numPr>
          <w:ilvl w:val="0"/>
          <w:numId w:val="2"/>
        </w:numPr>
        <w:rPr/>
      </w:pPr>
      <w:bookmarkStart w:id="408" w:name="_Toc99955773"/>
      <w:bookmarkStart w:id="409" w:name="_Toc116990221"/>
      <w:r>
        <w:rPr/>
        <w:t>PRILOZI</w:t>
      </w:r>
      <w:bookmarkEnd w:id="408"/>
      <w:bookmarkEnd w:id="409"/>
    </w:p>
    <w:p>
      <w:pPr>
        <w:pStyle w:val="Stilnaslova2"/>
        <w:numPr>
          <w:ilvl w:val="1"/>
          <w:numId w:val="2"/>
        </w:numPr>
        <w:rPr/>
      </w:pPr>
      <w:bookmarkStart w:id="410" w:name="_Toc99955774"/>
      <w:bookmarkStart w:id="411" w:name="_Toc116990222"/>
      <w:r>
        <w:rPr/>
        <w:t>Odluka o izradi revizije Procjene rizika od velikih nesreća za Grad Buje</w:t>
      </w:r>
      <w:bookmarkEnd w:id="410"/>
      <w:bookmarkEnd w:id="411"/>
    </w:p>
    <w:p>
      <w:pPr>
        <w:pStyle w:val="Normal"/>
        <w:jc w:val="center"/>
        <w:rPr/>
      </w:pPr>
      <w:r>
        <w:rPr/>
        <w:drawing>
          <wp:inline distT="0" distB="0" distL="0" distR="0">
            <wp:extent cx="4667885" cy="6350635"/>
            <wp:effectExtent l="0" t="0" r="0" b="0"/>
            <wp:docPr id="190" name="Picture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52" descr=""/>
                    <pic:cNvPicPr>
                      <a:picLocks noChangeAspect="1" noChangeArrowheads="1"/>
                    </pic:cNvPicPr>
                  </pic:nvPicPr>
                  <pic:blipFill>
                    <a:blip r:embed="rId151"/>
                    <a:stretch>
                      <a:fillRect/>
                    </a:stretch>
                  </pic:blipFill>
                  <pic:spPr bwMode="auto">
                    <a:xfrm>
                      <a:off x="0" y="0"/>
                      <a:ext cx="4667885" cy="6350635"/>
                    </a:xfrm>
                    <a:prstGeom prst="rect">
                      <a:avLst/>
                    </a:prstGeom>
                  </pic:spPr>
                </pic:pic>
              </a:graphicData>
            </a:graphic>
          </wp:inline>
        </w:drawing>
      </w:r>
    </w:p>
    <w:p>
      <w:pPr>
        <w:pStyle w:val="Normal"/>
        <w:jc w:val="center"/>
        <w:rPr/>
      </w:pPr>
      <w:r>
        <w:rPr/>
        <w:drawing>
          <wp:inline distT="0" distB="0" distL="0" distR="0">
            <wp:extent cx="5180330" cy="7565390"/>
            <wp:effectExtent l="0" t="0" r="0" b="0"/>
            <wp:docPr id="191" name="Picture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57" descr=""/>
                    <pic:cNvPicPr>
                      <a:picLocks noChangeAspect="1" noChangeArrowheads="1"/>
                    </pic:cNvPicPr>
                  </pic:nvPicPr>
                  <pic:blipFill>
                    <a:blip r:embed="rId152"/>
                    <a:stretch>
                      <a:fillRect/>
                    </a:stretch>
                  </pic:blipFill>
                  <pic:spPr bwMode="auto">
                    <a:xfrm>
                      <a:off x="0" y="0"/>
                      <a:ext cx="5180330" cy="7565390"/>
                    </a:xfrm>
                    <a:prstGeom prst="rect">
                      <a:avLst/>
                    </a:prstGeom>
                  </pic:spPr>
                </pic:pic>
              </a:graphicData>
            </a:graphic>
          </wp:inline>
        </w:drawing>
      </w:r>
    </w:p>
    <w:p>
      <w:pPr>
        <w:pStyle w:val="Normal"/>
        <w:rPr/>
      </w:pPr>
      <w:r>
        <w:rPr/>
      </w:r>
    </w:p>
    <w:p>
      <w:pPr>
        <w:sectPr>
          <w:headerReference w:type="default" r:id="rId153"/>
          <w:headerReference w:type="first" r:id="rId154"/>
          <w:footerReference w:type="default" r:id="rId155"/>
          <w:footerReference w:type="first" r:id="rId156"/>
          <w:footnotePr>
            <w:numFmt w:val="decimal"/>
          </w:footnotePr>
          <w:type w:val="nextPage"/>
          <w:pgSz w:w="11906" w:h="16838"/>
          <w:pgMar w:left="1418" w:right="1418" w:header="567" w:top="1418" w:footer="0" w:bottom="1418" w:gutter="0"/>
          <w:pgNumType w:fmt="decimal"/>
          <w:formProt w:val="false"/>
          <w:titlePg/>
          <w:textDirection w:val="lrTb"/>
          <w:docGrid w:type="default" w:linePitch="360" w:charSpace="4096"/>
        </w:sectPr>
        <w:pStyle w:val="Normal"/>
        <w:rPr/>
      </w:pPr>
      <w:r>
        <w:rPr/>
      </w:r>
    </w:p>
    <w:p>
      <w:pPr>
        <w:pStyle w:val="Normal"/>
        <w:rPr/>
      </w:pPr>
      <w:r>
        <w:rPr/>
      </w:r>
    </w:p>
    <w:p>
      <w:pPr>
        <w:sectPr>
          <w:headerReference w:type="default" r:id="rId157"/>
          <w:footerReference w:type="default" r:id="rId158"/>
          <w:footnotePr>
            <w:numFmt w:val="decimal"/>
          </w:footnotePr>
          <w:type w:val="nextPage"/>
          <w:pgSz w:orient="landscape" w:w="16838" w:h="11906"/>
          <w:pgMar w:left="1418" w:right="1418" w:header="567" w:top="1418" w:footer="0" w:bottom="1418" w:gutter="0"/>
          <w:pgNumType w:fmt="decimal"/>
          <w:formProt w:val="false"/>
          <w:textDirection w:val="lrTb"/>
          <w:docGrid w:type="default" w:linePitch="360" w:charSpace="4096"/>
        </w:sectPr>
        <w:pStyle w:val="Normal"/>
        <w:keepNext w:val="true"/>
        <w:numPr>
          <w:ilvl w:val="1"/>
          <w:numId w:val="2"/>
        </w:numPr>
        <w:outlineLvl w:val="1"/>
        <w:rPr>
          <w:bCs/>
          <w:color w:val="54883D"/>
          <w:sz w:val="32"/>
        </w:rPr>
      </w:pPr>
      <w:r>
        <w:rPr>
          <w:bCs/>
          <w:color w:val="54883D"/>
          <w:sz w:val="32"/>
        </w:rPr>
        <w:t>Karta prijetnji - pregledna karta rizika od poplava za malu vjerojatnosti pojavljivanja (Plan upravljanja vodnim područjima 2016.-2021., Hrvatske vode, 2017.</w:t>
      </w:r>
      <w:bookmarkStart w:id="412" w:name="_Toc66302988"/>
      <w:bookmarkStart w:id="413" w:name="_Toc99955775"/>
      <w:bookmarkStart w:id="414" w:name="_Toc116990223"/>
      <w:bookmarkEnd w:id="412"/>
      <w:bookmarkEnd w:id="413"/>
      <w:bookmarkEnd w:id="414"/>
      <w:r>
        <w:rPr>
          <w:bCs/>
          <w:color w:val="54883D"/>
          <w:sz w:val="32"/>
        </w:rPr>
        <w:t>)</w:t>
      </w:r>
    </w:p>
    <w:p>
      <w:pPr>
        <w:sectPr>
          <w:headerReference w:type="default" r:id="rId160"/>
          <w:footerReference w:type="default" r:id="rId161"/>
          <w:footnotePr>
            <w:numFmt w:val="decimal"/>
          </w:footnotePr>
          <w:type w:val="nextPage"/>
          <w:pgSz w:w="11906" w:h="16838"/>
          <w:pgMar w:left="1418" w:right="1418" w:header="567" w:top="1418" w:footer="0" w:bottom="1418" w:gutter="0"/>
          <w:pgNumType w:fmt="decimal"/>
          <w:formProt w:val="false"/>
          <w:textDirection w:val="lrTb"/>
          <w:docGrid w:type="default" w:linePitch="360" w:charSpace="4096"/>
        </w:sectPr>
        <w:pStyle w:val="Normal"/>
        <w:rPr/>
      </w:pPr>
      <w:r>
        <w:rPr/>
        <w:drawing>
          <wp:inline distT="0" distB="0" distL="0" distR="0">
            <wp:extent cx="6962140" cy="4669790"/>
            <wp:effectExtent l="0" t="0" r="0" b="0"/>
            <wp:docPr id="198" name="Picture 9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910" descr=""/>
                    <pic:cNvPicPr>
                      <a:picLocks noChangeAspect="1" noChangeArrowheads="1"/>
                    </pic:cNvPicPr>
                  </pic:nvPicPr>
                  <pic:blipFill>
                    <a:blip r:embed="rId159"/>
                    <a:stretch>
                      <a:fillRect/>
                    </a:stretch>
                  </pic:blipFill>
                  <pic:spPr bwMode="auto">
                    <a:xfrm>
                      <a:off x="0" y="0"/>
                      <a:ext cx="6962140" cy="4669790"/>
                    </a:xfrm>
                    <a:prstGeom prst="rect">
                      <a:avLst/>
                    </a:prstGeom>
                  </pic:spPr>
                </pic:pic>
              </a:graphicData>
            </a:graphic>
          </wp:inline>
        </w:drawing>
      </w:r>
    </w:p>
    <w:p>
      <w:pPr>
        <w:pStyle w:val="Stilnaslova2"/>
        <w:numPr>
          <w:ilvl w:val="1"/>
          <w:numId w:val="2"/>
        </w:numPr>
        <w:rPr/>
      </w:pPr>
      <w:bookmarkStart w:id="415" w:name="_Toc99955776"/>
      <w:bookmarkStart w:id="416" w:name="_Toc116990224"/>
      <w:r>
        <w:rPr/>
        <w:t>Ovlaštenje</w:t>
      </w:r>
      <w:bookmarkEnd w:id="415"/>
      <w:bookmarkEnd w:id="416"/>
      <w:r>
        <w:rPr/>
        <w:t xml:space="preserve"> </w:t>
      </w:r>
    </w:p>
    <w:p>
      <w:pPr>
        <w:pStyle w:val="Normal"/>
        <w:jc w:val="center"/>
        <w:rPr/>
      </w:pPr>
      <w:r>
        <w:rPr/>
        <w:drawing>
          <wp:inline distT="0" distB="0" distL="0" distR="0">
            <wp:extent cx="5024755" cy="6868160"/>
            <wp:effectExtent l="0" t="0" r="0" b="0"/>
            <wp:docPr id="201" name="Picture 8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896" descr=""/>
                    <pic:cNvPicPr>
                      <a:picLocks noChangeAspect="1" noChangeArrowheads="1"/>
                    </pic:cNvPicPr>
                  </pic:nvPicPr>
                  <pic:blipFill>
                    <a:blip r:embed="rId162"/>
                    <a:stretch>
                      <a:fillRect/>
                    </a:stretch>
                  </pic:blipFill>
                  <pic:spPr bwMode="auto">
                    <a:xfrm>
                      <a:off x="0" y="0"/>
                      <a:ext cx="5024755" cy="6868160"/>
                    </a:xfrm>
                    <a:prstGeom prst="rect">
                      <a:avLst/>
                    </a:prstGeom>
                  </pic:spPr>
                </pic:pic>
              </a:graphicData>
            </a:graphic>
          </wp:inline>
        </w:drawing>
      </w:r>
    </w:p>
    <w:p>
      <w:pPr>
        <w:pStyle w:val="Normal"/>
        <w:rPr/>
      </w:pPr>
      <w:r>
        <w:rPr/>
      </w:r>
    </w:p>
    <w:p>
      <w:pPr>
        <w:pStyle w:val="Normal"/>
        <w:rPr/>
      </w:pPr>
      <w:r>
        <w:rPr/>
      </w:r>
    </w:p>
    <w:p>
      <w:pPr>
        <w:pStyle w:val="Normal"/>
        <w:jc w:val="center"/>
        <w:rPr/>
      </w:pPr>
      <w:r>
        <w:rPr/>
        <w:drawing>
          <wp:inline distT="0" distB="0" distL="0" distR="0">
            <wp:extent cx="5128260" cy="5880735"/>
            <wp:effectExtent l="0" t="0" r="0" b="0"/>
            <wp:docPr id="202" name="Picture 9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902" descr=""/>
                    <pic:cNvPicPr>
                      <a:picLocks noChangeAspect="1" noChangeArrowheads="1"/>
                    </pic:cNvPicPr>
                  </pic:nvPicPr>
                  <pic:blipFill>
                    <a:blip r:embed="rId163"/>
                    <a:stretch>
                      <a:fillRect/>
                    </a:stretch>
                  </pic:blipFill>
                  <pic:spPr bwMode="auto">
                    <a:xfrm>
                      <a:off x="0" y="0"/>
                      <a:ext cx="5128260" cy="5880735"/>
                    </a:xfrm>
                    <a:prstGeom prst="rect">
                      <a:avLst/>
                    </a:prstGeom>
                  </pic:spPr>
                </pic:pic>
              </a:graphicData>
            </a:graphic>
          </wp:inline>
        </w:drawing>
      </w:r>
    </w:p>
    <w:p>
      <w:pPr>
        <w:pStyle w:val="Normal"/>
        <w:widowControl/>
        <w:bidi w:val="0"/>
        <w:spacing w:lineRule="auto" w:line="276" w:before="80" w:after="160"/>
        <w:jc w:val="both"/>
        <w:rPr/>
      </w:pPr>
      <w:r>
        <w:rPr/>
      </w:r>
    </w:p>
    <w:sectPr>
      <w:headerReference w:type="default" r:id="rId164"/>
      <w:footerReference w:type="default" r:id="rId165"/>
      <w:footnotePr>
        <w:numFmt w:val="decimal"/>
      </w:footnotePr>
      <w:type w:val="nextPage"/>
      <w:pgSz w:w="11906" w:h="16838"/>
      <w:pgMar w:left="1418" w:right="1418" w:header="567" w:top="1418" w:footer="0" w:bottom="1418" w:gutter="0"/>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ee"/>
    <w:family w:val="roman"/>
    <w:pitch w:val="variable"/>
  </w:font>
  <w:font w:name="Calibri">
    <w:charset w:val="ee"/>
    <w:family w:val="roman"/>
    <w:pitch w:val="variable"/>
  </w:font>
  <w:font w:name="Arial">
    <w:charset w:val="ee"/>
    <w:family w:val="roman"/>
    <w:pitch w:val="variable"/>
  </w:font>
  <w:font w:name="Cambria">
    <w:charset w:val="ee"/>
    <w:family w:val="roman"/>
    <w:pitch w:val="variable"/>
  </w:font>
  <w:font w:name="Tahoma">
    <w:charset w:val="ee"/>
    <w:family w:val="roman"/>
    <w:pitch w:val="variable"/>
  </w:font>
  <w:font w:name="Adviso OTF Std">
    <w:charset w:val="ee"/>
    <w:family w:val="roman"/>
    <w:pitch w:val="variable"/>
  </w:font>
  <w:font w:name="Consolas">
    <w:charset w:val="ee"/>
    <w:family w:val="roman"/>
    <w:pitch w:val="variable"/>
  </w:font>
  <w:font w:name="Liberation Sans">
    <w:altName w:val="Arial"/>
    <w:charset w:val="ee"/>
    <w:family w:val="roman"/>
    <w:pitch w:val="variable"/>
  </w:font>
  <w:font w:name="Times New Roman">
    <w:charset w:val="ee"/>
    <w:family w:val="roman"/>
    <w:pitch w:val="variable"/>
  </w:font>
  <w:font w:name="Arial Narrow">
    <w:charset w:val="ee"/>
    <w:family w:val="roman"/>
    <w:pitch w:val="variable"/>
  </w:font>
  <w:font w:name="Calibri">
    <w:charset w:val="ee"/>
    <w:family w:val="auto"/>
    <w:pitch w:val="default"/>
  </w:font>
  <w:font w:name="Symbol">
    <w:charset w:val="ee"/>
    <w:family w:val="roman"/>
    <w:pitch w:val="variable"/>
  </w:font>
  <w:font w:name="Courier New">
    <w:charset w:val="ee"/>
    <w:family w:val="roman"/>
    <w:pitch w:val="variable"/>
  </w:font>
  <w:font w:name="Segoe UI">
    <w:charset w:val="ee"/>
    <w:family w:val="roman"/>
    <w:pitch w:val="variable"/>
  </w:font>
  <w:font w:name="Arial">
    <w:charset w:val="01"/>
    <w:family w:val="swiss"/>
    <w:pitch w:val="variable"/>
  </w:font>
  <w:font w:name="Calibri">
    <w:charset w:val="01"/>
    <w:family w:val="swiss"/>
    <w:pitch w:val="variable"/>
  </w:font>
  <w:font w:name="Courier New">
    <w:charset w:val="01"/>
    <w:family w:val="modern"/>
    <w:pitch w:val="fixed"/>
  </w:font>
  <w:font w:name="Wingdings">
    <w:charset w:val="02"/>
    <w:family w:val="auto"/>
    <w:pitch w:val="variable"/>
  </w:font>
  <w:font w:name="OpenSymbol">
    <w:altName w:val="Arial Unicode MS"/>
    <w:charset w:val="01"/>
    <w:family w:val="auto"/>
    <w:pitch w:val="variable"/>
  </w:font>
  <w:font w:name="Century Gothic">
    <w:charset w:val="01"/>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114300" distR="114300" simplePos="0" locked="0" layoutInCell="1" allowOverlap="1" relativeHeight="136" wp14:anchorId="21F70B79">
              <wp:simplePos x="0" y="0"/>
              <wp:positionH relativeFrom="page">
                <wp:posOffset>914400</wp:posOffset>
              </wp:positionH>
              <wp:positionV relativeFrom="paragraph">
                <wp:posOffset>57785</wp:posOffset>
              </wp:positionV>
              <wp:extent cx="5728970" cy="534035"/>
              <wp:effectExtent l="0" t="0" r="0" b="635"/>
              <wp:wrapTopAndBottom/>
              <wp:docPr id="32" name="Grupa 15_0"/>
              <a:graphic xmlns:a="http://schemas.openxmlformats.org/drawingml/2006/main">
                <a:graphicData uri="http://schemas.microsoft.com/office/word/2010/wordprocessingGroup">
                  <wpg:wgp>
                    <wpg:cNvGrpSpPr/>
                    <wpg:grpSpPr>
                      <a:xfrm>
                        <a:off x="0" y="0"/>
                        <a:ext cx="5728320" cy="533520"/>
                      </a:xfrm>
                    </wpg:grpSpPr>
                    <wps:wsp>
                      <wps:cNvSpPr/>
                      <wps:spPr>
                        <a:xfrm>
                          <a:off x="973440" y="276840"/>
                          <a:ext cx="4754880" cy="25200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90520" y="0"/>
                          <a:ext cx="937440" cy="4100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3" name="Slika 13_0" descr=""/>
                        <pic:cNvPicPr/>
                      </pic:nvPicPr>
                      <pic:blipFill>
                        <a:blip r:embed="rId1"/>
                        <a:stretch/>
                      </pic:blipFill>
                      <pic:spPr>
                        <a:xfrm>
                          <a:off x="363240" y="172080"/>
                          <a:ext cx="605880" cy="361440"/>
                        </a:xfrm>
                        <a:prstGeom prst="rect">
                          <a:avLst/>
                        </a:prstGeom>
                        <a:ln>
                          <a:noFill/>
                        </a:ln>
                      </pic:spPr>
                    </pic:pic>
                    <wps:wsp>
                      <wps:cNvSpPr/>
                      <wps:spPr>
                        <a:xfrm>
                          <a:off x="0" y="65520"/>
                          <a:ext cx="14860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_0" style="position:absolute;margin-left:72pt;margin-top:4.55pt;width:451.05pt;height:42pt" coordorigin="1440,91" coordsize="9021,840">
              <v:rect id="shape_0" stroked="f" style="position:absolute;left:2973;top:527;width:7487;height:396;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984;top:91;width:1475;height:645;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0" stroked="f" style="position:absolute;left:2012;top:362;width:953;height:568;mso-position-horizontal-relative:page" type="shapetype_75">
                <v:imagedata r:id="rId1" o:detectmouseclick="t"/>
                <w10:wrap type="none"/>
                <v:stroke color="#3465a4" joinstyle="round" endcap="flat"/>
              </v:shape>
              <v:line id="shape_0" from="1440,194" to="3779,194" stroked="t" style="position:absolute;mso-position-horizontal-relative:page">
                <v:stroke color="#00b050" weight="19080" joinstyle="round" endcap="flat"/>
                <v:fill o:detectmouseclick="t" on="false"/>
              </v:line>
            </v:group>
          </w:pict>
        </mc:Fallback>
      </mc:AlternateContent>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0" distR="0" simplePos="0" locked="0" layoutInCell="1" allowOverlap="1" relativeHeight="12" wp14:anchorId="36E75CBB">
              <wp:simplePos x="0" y="0"/>
              <wp:positionH relativeFrom="page">
                <wp:align>center</wp:align>
              </wp:positionH>
              <wp:positionV relativeFrom="paragraph">
                <wp:posOffset>107950</wp:posOffset>
              </wp:positionV>
              <wp:extent cx="5728970" cy="1599565"/>
              <wp:effectExtent l="0" t="0" r="0" b="1905"/>
              <wp:wrapNone/>
              <wp:docPr id="33" name="Grupa 15"/>
              <a:graphic xmlns:a="http://schemas.openxmlformats.org/drawingml/2006/main">
                <a:graphicData uri="http://schemas.microsoft.com/office/word/2010/wordprocessingGroup">
                  <wpg:wgp>
                    <wpg:cNvGrpSpPr/>
                    <wpg:grpSpPr>
                      <a:xfrm>
                        <a:off x="0" y="0"/>
                        <a:ext cx="5728320" cy="1598760"/>
                      </a:xfrm>
                    </wpg:grpSpPr>
                    <wps:wsp>
                      <wps:cNvSpPr/>
                      <wps:spPr>
                        <a:xfrm>
                          <a:off x="609480" y="247680"/>
                          <a:ext cx="5077440" cy="13514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27520" y="0"/>
                          <a:ext cx="1000800" cy="40896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36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4" name="Slika 13" descr=""/>
                        <pic:cNvPicPr/>
                      </pic:nvPicPr>
                      <pic:blipFill>
                        <a:blip r:embed="rId1"/>
                        <a:stretch/>
                      </pic:blipFill>
                      <pic:spPr>
                        <a:xfrm>
                          <a:off x="0" y="171360"/>
                          <a:ext cx="646560" cy="361440"/>
                        </a:xfrm>
                        <a:prstGeom prst="rect">
                          <a:avLst/>
                        </a:prstGeom>
                        <a:ln>
                          <a:noFill/>
                        </a:ln>
                      </pic:spPr>
                    </pic:pic>
                    <wps:wsp>
                      <wps:cNvSpPr/>
                      <wps:spPr>
                        <a:xfrm>
                          <a:off x="232560" y="30960"/>
                          <a:ext cx="15868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 style="position:absolute;margin-left:72.1pt;margin-top:8.5pt;width:451.05pt;height:125.9pt" coordorigin="1442,170" coordsize="9021,2518">
              <v:rect id="shape_0" stroked="f" style="position:absolute;left:2402;top:560;width:7995;height:2127;mso-position-horizontal:center;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887;top:170;width:1575;height:643;mso-position-horizontal:center;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36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 stroked="f" style="position:absolute;left:1442;top:440;width:1017;height:568;mso-position-horizontal:center;mso-position-horizontal-relative:page" type="shapetype_75">
                <v:imagedata r:id="rId1" o:detectmouseclick="t"/>
                <w10:wrap type="none"/>
                <v:stroke color="#3465a4" joinstyle="round" endcap="flat"/>
              </v:shape>
              <v:line id="shape_0" from="1809,219" to="4307,219" stroked="t" style="position:absolute;mso-position-horizontal:center;mso-position-horizontal-relative:page">
                <v:stroke color="#00b050" weight="19080" joinstyle="round" endcap="flat"/>
                <v:fill o:detectmouseclick="t" on="false"/>
              </v:line>
            </v:group>
          </w:pict>
        </mc:Fallback>
      </mc:AlternateConten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114300" distR="114300" simplePos="0" locked="0" layoutInCell="1" allowOverlap="1" relativeHeight="138" wp14:anchorId="21F70B79">
              <wp:simplePos x="0" y="0"/>
              <wp:positionH relativeFrom="page">
                <wp:posOffset>914400</wp:posOffset>
              </wp:positionH>
              <wp:positionV relativeFrom="paragraph">
                <wp:posOffset>57785</wp:posOffset>
              </wp:positionV>
              <wp:extent cx="5728970" cy="534035"/>
              <wp:effectExtent l="0" t="0" r="0" b="635"/>
              <wp:wrapTopAndBottom/>
              <wp:docPr id="36" name="Grupa 15_1"/>
              <a:graphic xmlns:a="http://schemas.openxmlformats.org/drawingml/2006/main">
                <a:graphicData uri="http://schemas.microsoft.com/office/word/2010/wordprocessingGroup">
                  <wpg:wgp>
                    <wpg:cNvGrpSpPr/>
                    <wpg:grpSpPr>
                      <a:xfrm>
                        <a:off x="0" y="0"/>
                        <a:ext cx="5728320" cy="533520"/>
                      </a:xfrm>
                    </wpg:grpSpPr>
                    <wps:wsp>
                      <wps:cNvSpPr/>
                      <wps:spPr>
                        <a:xfrm>
                          <a:off x="973440" y="276840"/>
                          <a:ext cx="4754880" cy="25200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90520" y="0"/>
                          <a:ext cx="937440" cy="4100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7" name="Slika 13_1" descr=""/>
                        <pic:cNvPicPr/>
                      </pic:nvPicPr>
                      <pic:blipFill>
                        <a:blip r:embed="rId1"/>
                        <a:stretch/>
                      </pic:blipFill>
                      <pic:spPr>
                        <a:xfrm>
                          <a:off x="363240" y="172080"/>
                          <a:ext cx="605880" cy="361440"/>
                        </a:xfrm>
                        <a:prstGeom prst="rect">
                          <a:avLst/>
                        </a:prstGeom>
                        <a:ln>
                          <a:noFill/>
                        </a:ln>
                      </pic:spPr>
                    </pic:pic>
                    <wps:wsp>
                      <wps:cNvSpPr/>
                      <wps:spPr>
                        <a:xfrm>
                          <a:off x="0" y="65520"/>
                          <a:ext cx="14860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_1" style="position:absolute;margin-left:72pt;margin-top:4.55pt;width:451.05pt;height:42pt" coordorigin="1440,91" coordsize="9021,840">
              <v:rect id="shape_0" stroked="f" style="position:absolute;left:2973;top:527;width:7487;height:396;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984;top:91;width:1475;height:645;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1" stroked="f" style="position:absolute;left:2012;top:362;width:953;height:568;mso-position-horizontal-relative:page" type="shapetype_75">
                <v:imagedata r:id="rId1" o:detectmouseclick="t"/>
                <w10:wrap type="none"/>
                <v:stroke color="#3465a4" joinstyle="round" endcap="flat"/>
              </v:shape>
              <v:line id="shape_0" from="1440,194" to="3779,194" stroked="t" style="position:absolute;mso-position-horizontal-relative:page">
                <v:stroke color="#00b050" weight="19080" joinstyle="round" endcap="flat"/>
                <v:fill o:detectmouseclick="t" on="false"/>
              </v:line>
            </v:group>
          </w:pict>
        </mc:Fallback>
      </mc:AlternateContent>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0" distR="0" simplePos="0" locked="0" layoutInCell="1" allowOverlap="1" relativeHeight="140" wp14:anchorId="36E75CBB">
              <wp:simplePos x="0" y="0"/>
              <wp:positionH relativeFrom="page">
                <wp:align>center</wp:align>
              </wp:positionH>
              <wp:positionV relativeFrom="paragraph">
                <wp:posOffset>107950</wp:posOffset>
              </wp:positionV>
              <wp:extent cx="5728970" cy="1599565"/>
              <wp:effectExtent l="0" t="0" r="0" b="1905"/>
              <wp:wrapNone/>
              <wp:docPr id="37" name="Grupa 15_2"/>
              <a:graphic xmlns:a="http://schemas.openxmlformats.org/drawingml/2006/main">
                <a:graphicData uri="http://schemas.microsoft.com/office/word/2010/wordprocessingGroup">
                  <wpg:wgp>
                    <wpg:cNvGrpSpPr/>
                    <wpg:grpSpPr>
                      <a:xfrm>
                        <a:off x="0" y="0"/>
                        <a:ext cx="5728320" cy="1598760"/>
                      </a:xfrm>
                    </wpg:grpSpPr>
                    <wps:wsp>
                      <wps:cNvSpPr/>
                      <wps:spPr>
                        <a:xfrm>
                          <a:off x="609480" y="247680"/>
                          <a:ext cx="5077440" cy="13514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27520" y="0"/>
                          <a:ext cx="1000800" cy="40896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36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8" name="Slika 13_2" descr=""/>
                        <pic:cNvPicPr/>
                      </pic:nvPicPr>
                      <pic:blipFill>
                        <a:blip r:embed="rId1"/>
                        <a:stretch/>
                      </pic:blipFill>
                      <pic:spPr>
                        <a:xfrm>
                          <a:off x="0" y="171360"/>
                          <a:ext cx="646560" cy="361440"/>
                        </a:xfrm>
                        <a:prstGeom prst="rect">
                          <a:avLst/>
                        </a:prstGeom>
                        <a:ln>
                          <a:noFill/>
                        </a:ln>
                      </pic:spPr>
                    </pic:pic>
                    <wps:wsp>
                      <wps:cNvSpPr/>
                      <wps:spPr>
                        <a:xfrm>
                          <a:off x="232560" y="30960"/>
                          <a:ext cx="15868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_2" style="position:absolute;margin-left:195.4pt;margin-top:8.5pt;width:451.05pt;height:125.9pt" coordorigin="3908,170" coordsize="9021,2518">
              <v:rect id="shape_0" stroked="f" style="position:absolute;left:4868;top:560;width:7995;height:2127;mso-position-horizontal:center;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11353;top:170;width:1575;height:643;mso-position-horizontal:center;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36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2" stroked="f" style="position:absolute;left:3908;top:440;width:1017;height:568;mso-position-horizontal:center;mso-position-horizontal-relative:page" type="shapetype_75">
                <v:imagedata r:id="rId1" o:detectmouseclick="t"/>
                <w10:wrap type="none"/>
                <v:stroke color="#3465a4" joinstyle="round" endcap="flat"/>
              </v:shape>
              <v:line id="shape_0" from="4274,219" to="6772,219" stroked="t" style="position:absolute;mso-position-horizontal:center;mso-position-horizontal-relative:page">
                <v:stroke color="#00b050" weight="19080" joinstyle="round" endcap="flat"/>
                <v:fill o:detectmouseclick="t" on="false"/>
              </v:line>
            </v:group>
          </w:pict>
        </mc:Fallback>
      </mc:AlternateContent>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114300" distR="114300" simplePos="0" locked="0" layoutInCell="1" allowOverlap="1" relativeHeight="463" wp14:anchorId="21F70B79">
              <wp:simplePos x="0" y="0"/>
              <wp:positionH relativeFrom="page">
                <wp:posOffset>914400</wp:posOffset>
              </wp:positionH>
              <wp:positionV relativeFrom="paragraph">
                <wp:posOffset>57785</wp:posOffset>
              </wp:positionV>
              <wp:extent cx="5728970" cy="534035"/>
              <wp:effectExtent l="0" t="0" r="0" b="635"/>
              <wp:wrapTopAndBottom/>
              <wp:docPr id="194" name="Grupa 15_9"/>
              <a:graphic xmlns:a="http://schemas.openxmlformats.org/drawingml/2006/main">
                <a:graphicData uri="http://schemas.microsoft.com/office/word/2010/wordprocessingGroup">
                  <wpg:wgp>
                    <wpg:cNvGrpSpPr/>
                    <wpg:grpSpPr>
                      <a:xfrm>
                        <a:off x="0" y="0"/>
                        <a:ext cx="5728320" cy="533520"/>
                      </a:xfrm>
                    </wpg:grpSpPr>
                    <wps:wsp>
                      <wps:cNvSpPr/>
                      <wps:spPr>
                        <a:xfrm>
                          <a:off x="973440" y="276840"/>
                          <a:ext cx="4754880" cy="25200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90520" y="0"/>
                          <a:ext cx="937440" cy="4100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1" name="Slika 13_9" descr=""/>
                        <pic:cNvPicPr/>
                      </pic:nvPicPr>
                      <pic:blipFill>
                        <a:blip r:embed="rId1"/>
                        <a:stretch/>
                      </pic:blipFill>
                      <pic:spPr>
                        <a:xfrm>
                          <a:off x="363240" y="172080"/>
                          <a:ext cx="605880" cy="361440"/>
                        </a:xfrm>
                        <a:prstGeom prst="rect">
                          <a:avLst/>
                        </a:prstGeom>
                        <a:ln>
                          <a:noFill/>
                        </a:ln>
                      </pic:spPr>
                    </pic:pic>
                    <wps:wsp>
                      <wps:cNvSpPr/>
                      <wps:spPr>
                        <a:xfrm>
                          <a:off x="0" y="65520"/>
                          <a:ext cx="14860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_9" style="position:absolute;margin-left:72pt;margin-top:4.55pt;width:451.05pt;height:42pt" coordorigin="1440,91" coordsize="9021,840">
              <v:rect id="shape_0" stroked="f" style="position:absolute;left:2973;top:527;width:7487;height:396;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984;top:91;width:1475;height:645;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9" stroked="f" style="position:absolute;left:2012;top:362;width:953;height:568;mso-position-horizontal-relative:page" type="shapetype_75">
                <v:imagedata r:id="rId1" o:detectmouseclick="t"/>
                <w10:wrap type="none"/>
                <v:stroke color="#3465a4" joinstyle="round" endcap="flat"/>
              </v:shape>
              <v:line id="shape_0" from="1440,194" to="3779,194" stroked="t" style="position:absolute;mso-position-horizontal-relative:page">
                <v:stroke color="#00b050" weight="19080" joinstyle="round" endcap="flat"/>
                <v:fill o:detectmouseclick="t" on="false"/>
              </v:line>
            </v:group>
          </w:pict>
        </mc:Fallback>
      </mc:AlternateContent>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0" distR="0" simplePos="0" locked="0" layoutInCell="1" allowOverlap="1" relativeHeight="14" wp14:anchorId="6CD47F5E">
              <wp:simplePos x="0" y="0"/>
              <wp:positionH relativeFrom="page">
                <wp:align>center</wp:align>
              </wp:positionH>
              <wp:positionV relativeFrom="paragraph">
                <wp:posOffset>107950</wp:posOffset>
              </wp:positionV>
              <wp:extent cx="5728970" cy="1599565"/>
              <wp:effectExtent l="0" t="0" r="0" b="1905"/>
              <wp:wrapNone/>
              <wp:docPr id="195" name="Grupa 15"/>
              <a:graphic xmlns:a="http://schemas.openxmlformats.org/drawingml/2006/main">
                <a:graphicData uri="http://schemas.microsoft.com/office/word/2010/wordprocessingGroup">
                  <wpg:wgp>
                    <wpg:cNvGrpSpPr/>
                    <wpg:grpSpPr>
                      <a:xfrm>
                        <a:off x="0" y="0"/>
                        <a:ext cx="5728320" cy="1598760"/>
                      </a:xfrm>
                    </wpg:grpSpPr>
                    <wps:wsp>
                      <wps:cNvSpPr/>
                      <wps:spPr>
                        <a:xfrm>
                          <a:off x="609480" y="247680"/>
                          <a:ext cx="5077440" cy="13514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27520" y="0"/>
                          <a:ext cx="1000800" cy="40896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2" name="Slika 13" descr=""/>
                        <pic:cNvPicPr/>
                      </pic:nvPicPr>
                      <pic:blipFill>
                        <a:blip r:embed="rId1"/>
                        <a:stretch/>
                      </pic:blipFill>
                      <pic:spPr>
                        <a:xfrm>
                          <a:off x="0" y="171360"/>
                          <a:ext cx="646560" cy="361440"/>
                        </a:xfrm>
                        <a:prstGeom prst="rect">
                          <a:avLst/>
                        </a:prstGeom>
                        <a:ln>
                          <a:noFill/>
                        </a:ln>
                      </pic:spPr>
                    </pic:pic>
                    <wps:wsp>
                      <wps:cNvSpPr/>
                      <wps:spPr>
                        <a:xfrm>
                          <a:off x="232560" y="30960"/>
                          <a:ext cx="1586880" cy="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15" style="position:absolute;margin-left:72.1pt;margin-top:8.5pt;width:451.05pt;height:125.9pt" coordorigin="1442,170" coordsize="9021,2518">
              <v:rect id="shape_0" stroked="f" style="position:absolute;left:2402;top:560;width:7995;height:2127;mso-position-horizontal:center;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887;top:170;width:1575;height:643;mso-position-horizontal:center;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 stroked="f" style="position:absolute;left:1442;top:440;width:1017;height:568;mso-position-horizontal:center;mso-position-horizontal-relative:page" type="shapetype_75">
                <v:imagedata r:id="rId1" o:detectmouseclick="t"/>
                <w10:wrap type="none"/>
                <v:stroke color="#3465a4" joinstyle="round" endcap="flat"/>
              </v:shape>
              <v:line id="shape_0" from="1809,219" to="4307,219" stroked="t" style="position:absolute;mso-position-horizontal:center;mso-position-horizontal-relative:page">
                <v:stroke color="#00b050" weight="19080" joinstyle="round" endcap="flat"/>
                <v:fill o:detectmouseclick="t" on="false"/>
              </v:line>
            </v:group>
          </w:pict>
        </mc:Fallback>
      </mc:AlternateContent>
    </w:r>
  </w:p>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0" distR="0" simplePos="0" locked="0" layoutInCell="1" allowOverlap="1" relativeHeight="467" wp14:anchorId="6CD47F5E">
              <wp:simplePos x="0" y="0"/>
              <wp:positionH relativeFrom="page">
                <wp:align>center</wp:align>
              </wp:positionH>
              <wp:positionV relativeFrom="paragraph">
                <wp:posOffset>107950</wp:posOffset>
              </wp:positionV>
              <wp:extent cx="5728970" cy="1599565"/>
              <wp:effectExtent l="0" t="0" r="0" b="1905"/>
              <wp:wrapNone/>
              <wp:docPr id="197" name="Grupa 15_11"/>
              <a:graphic xmlns:a="http://schemas.openxmlformats.org/drawingml/2006/main">
                <a:graphicData uri="http://schemas.microsoft.com/office/word/2010/wordprocessingGroup">
                  <wpg:wgp>
                    <wpg:cNvGrpSpPr/>
                    <wpg:grpSpPr>
                      <a:xfrm>
                        <a:off x="0" y="0"/>
                        <a:ext cx="5728320" cy="1598760"/>
                      </a:xfrm>
                    </wpg:grpSpPr>
                    <wps:wsp>
                      <wps:cNvSpPr/>
                      <wps:spPr>
                        <a:xfrm>
                          <a:off x="609480" y="247680"/>
                          <a:ext cx="5077440" cy="13514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27520" y="0"/>
                          <a:ext cx="1000800" cy="40896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4" name="Slika 13_11" descr=""/>
                        <pic:cNvPicPr/>
                      </pic:nvPicPr>
                      <pic:blipFill>
                        <a:blip r:embed="rId1"/>
                        <a:stretch/>
                      </pic:blipFill>
                      <pic:spPr>
                        <a:xfrm>
                          <a:off x="0" y="171360"/>
                          <a:ext cx="646560" cy="361440"/>
                        </a:xfrm>
                        <a:prstGeom prst="rect">
                          <a:avLst/>
                        </a:prstGeom>
                        <a:ln>
                          <a:noFill/>
                        </a:ln>
                      </pic:spPr>
                    </pic:pic>
                    <wps:wsp>
                      <wps:cNvSpPr/>
                      <wps:spPr>
                        <a:xfrm>
                          <a:off x="232560" y="30960"/>
                          <a:ext cx="1586880" cy="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15_11" style="position:absolute;margin-left:195.4pt;margin-top:8.5pt;width:451.05pt;height:125.9pt" coordorigin="3908,170" coordsize="9021,2518">
              <v:rect id="shape_0" stroked="f" style="position:absolute;left:4868;top:560;width:7995;height:2127;mso-position-horizontal:center;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11353;top:170;width:1575;height:643;mso-position-horizontal:center;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11" stroked="f" style="position:absolute;left:3908;top:440;width:1017;height:568;mso-position-horizontal:center;mso-position-horizontal-relative:page" type="shapetype_75">
                <v:imagedata r:id="rId1" o:detectmouseclick="t"/>
                <w10:wrap type="none"/>
                <v:stroke color="#3465a4" joinstyle="round" endcap="flat"/>
              </v:shape>
              <v:line id="shape_0" from="4274,219" to="6772,219" stroked="t" style="position:absolute;mso-position-horizontal:center;mso-position-horizontal-relative:page">
                <v:stroke color="#00b050" weight="19080" joinstyle="round" endcap="flat"/>
                <v:fill o:detectmouseclick="t" on="false"/>
              </v:line>
            </v:group>
          </w:pict>
        </mc:Fallback>
      </mc:AlternateContent>
    </w:r>
  </w:p>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0" distR="0" simplePos="0" locked="0" layoutInCell="1" allowOverlap="1" relativeHeight="475" wp14:anchorId="6CD47F5E">
              <wp:simplePos x="0" y="0"/>
              <wp:positionH relativeFrom="page">
                <wp:align>center</wp:align>
              </wp:positionH>
              <wp:positionV relativeFrom="paragraph">
                <wp:posOffset>107950</wp:posOffset>
              </wp:positionV>
              <wp:extent cx="5728970" cy="1599565"/>
              <wp:effectExtent l="0" t="0" r="0" b="1905"/>
              <wp:wrapNone/>
              <wp:docPr id="200" name="Grupa 15_13"/>
              <a:graphic xmlns:a="http://schemas.openxmlformats.org/drawingml/2006/main">
                <a:graphicData uri="http://schemas.microsoft.com/office/word/2010/wordprocessingGroup">
                  <wpg:wgp>
                    <wpg:cNvGrpSpPr/>
                    <wpg:grpSpPr>
                      <a:xfrm>
                        <a:off x="0" y="0"/>
                        <a:ext cx="5728320" cy="1598760"/>
                      </a:xfrm>
                    </wpg:grpSpPr>
                    <wps:wsp>
                      <wps:cNvSpPr/>
                      <wps:spPr>
                        <a:xfrm>
                          <a:off x="609480" y="247680"/>
                          <a:ext cx="5077440" cy="13514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27520" y="0"/>
                          <a:ext cx="1000800" cy="40896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6" name="Slika 13_13" descr=""/>
                        <pic:cNvPicPr/>
                      </pic:nvPicPr>
                      <pic:blipFill>
                        <a:blip r:embed="rId1"/>
                        <a:stretch/>
                      </pic:blipFill>
                      <pic:spPr>
                        <a:xfrm>
                          <a:off x="0" y="171360"/>
                          <a:ext cx="646560" cy="361440"/>
                        </a:xfrm>
                        <a:prstGeom prst="rect">
                          <a:avLst/>
                        </a:prstGeom>
                        <a:ln>
                          <a:noFill/>
                        </a:ln>
                      </pic:spPr>
                    </pic:pic>
                    <wps:wsp>
                      <wps:cNvSpPr/>
                      <wps:spPr>
                        <a:xfrm>
                          <a:off x="232560" y="30960"/>
                          <a:ext cx="1586880" cy="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15_13" style="position:absolute;margin-left:72.1pt;margin-top:8.5pt;width:451.05pt;height:125.9pt" coordorigin="1442,170" coordsize="9021,2518">
              <v:rect id="shape_0" stroked="f" style="position:absolute;left:2402;top:560;width:7995;height:2127;mso-position-horizontal:center;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887;top:170;width:1575;height:643;mso-position-horizontal:center;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38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13" stroked="f" style="position:absolute;left:1442;top:440;width:1017;height:568;mso-position-horizontal:center;mso-position-horizontal-relative:page" type="shapetype_75">
                <v:imagedata r:id="rId1" o:detectmouseclick="t"/>
                <w10:wrap type="none"/>
                <v:stroke color="#3465a4" joinstyle="round" endcap="flat"/>
              </v:shape>
              <v:line id="shape_0" from="1809,219" to="4307,219" stroked="t" style="position:absolute;mso-position-horizontal:center;mso-position-horizontal-relative:page">
                <v:stroke color="#00b050" weight="19080" joinstyle="round" endcap="flat"/>
                <v:fill o:detectmouseclick="t" on="false"/>
              </v:line>
            </v:group>
          </w:pict>
        </mc:Fallback>
      </mc:AlternateContent>
    </w:r>
  </w:p>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Podnoje"/>
      <w:spacing w:before="80" w:after="160"/>
      <w:jc w:val="right"/>
      <w:rPr/>
    </w:pPr>
    <w:r>
      <w:rPr/>
      <mc:AlternateContent>
        <mc:Choice Requires="wpg">
          <w:drawing>
            <wp:anchor behindDoc="1" distT="0" distB="0" distL="114300" distR="114300" simplePos="0" locked="0" layoutInCell="1" allowOverlap="1" relativeHeight="472" wp14:anchorId="21F70B79">
              <wp:simplePos x="0" y="0"/>
              <wp:positionH relativeFrom="page">
                <wp:posOffset>914400</wp:posOffset>
              </wp:positionH>
              <wp:positionV relativeFrom="paragraph">
                <wp:posOffset>57785</wp:posOffset>
              </wp:positionV>
              <wp:extent cx="5728970" cy="534035"/>
              <wp:effectExtent l="0" t="0" r="0" b="635"/>
              <wp:wrapTopAndBottom/>
              <wp:docPr id="204" name="Grupa 15_12"/>
              <a:graphic xmlns:a="http://schemas.openxmlformats.org/drawingml/2006/main">
                <a:graphicData uri="http://schemas.microsoft.com/office/word/2010/wordprocessingGroup">
                  <wpg:wgp>
                    <wpg:cNvGrpSpPr/>
                    <wpg:grpSpPr>
                      <a:xfrm>
                        <a:off x="0" y="0"/>
                        <a:ext cx="5728320" cy="533520"/>
                      </a:xfrm>
                    </wpg:grpSpPr>
                    <wps:wsp>
                      <wps:cNvSpPr/>
                      <wps:spPr>
                        <a:xfrm>
                          <a:off x="973440" y="276840"/>
                          <a:ext cx="4754880" cy="25200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wps:txbx>
                      <wps:bodyPr lIns="90000" rIns="90000" tIns="45000" bIns="45000">
                        <a:noAutofit/>
                      </wps:bodyPr>
                    </wps:wsp>
                    <wps:wsp>
                      <wps:cNvSpPr/>
                      <wps:spPr>
                        <a:xfrm>
                          <a:off x="4790520" y="0"/>
                          <a:ext cx="937440" cy="41004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8" name="Slika 13_12" descr=""/>
                        <pic:cNvPicPr/>
                      </pic:nvPicPr>
                      <pic:blipFill>
                        <a:blip r:embed="rId1"/>
                        <a:stretch/>
                      </pic:blipFill>
                      <pic:spPr>
                        <a:xfrm>
                          <a:off x="363240" y="172080"/>
                          <a:ext cx="605880" cy="361440"/>
                        </a:xfrm>
                        <a:prstGeom prst="rect">
                          <a:avLst/>
                        </a:prstGeom>
                        <a:ln>
                          <a:noFill/>
                        </a:ln>
                      </pic:spPr>
                    </pic:pic>
                    <wps:wsp>
                      <wps:cNvSpPr/>
                      <wps:spPr>
                        <a:xfrm>
                          <a:off x="0" y="65520"/>
                          <a:ext cx="148608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15_12" style="position:absolute;margin-left:72pt;margin-top:4.55pt;width:451.05pt;height:42pt" coordorigin="1440,91" coordsize="9021,840">
              <v:rect id="shape_0" stroked="f" style="position:absolute;left:2973;top:527;width:7487;height:396;mso-position-horizontal-relative:page">
                <v:textbox>
                  <w:txbxContent>
                    <w:p>
                      <w:pPr>
                        <w:overflowPunct w:val="false"/>
                        <w:spacing w:before="0" w:after="0" w:lineRule="auto" w:line="240"/>
                        <w:jc w:val="left"/>
                        <w:rPr/>
                      </w:pPr>
                      <w:r>
                        <w:rPr>
                          <w:sz w:val="14"/>
                          <w:b w:val="false"/>
                          <w:u w:val="none"/>
                          <w:dstrike w:val="false"/>
                          <w:strike w:val="false"/>
                          <w:i w:val="false"/>
                          <w:vertAlign w:val="baseline"/>
                          <w:position w:val="0"/>
                          <w:spacing w:val="0"/>
                          <w:szCs w:val="14"/>
                          <w:bCs w:val="false"/>
                          <w:iCs w:val="false"/>
                          <w:smallCaps w:val="false"/>
                          <w:caps w:val="false"/>
                          <w:rFonts w:asciiTheme="minorHAnsi" w:cstheme="minorBidi" w:eastAsiaTheme="minorHAnsi" w:hAnsiTheme="minorHAnsi" w:ascii="Calibri" w:hAnsi="Calibri" w:eastAsia="Calibri"/>
                          <w:color w:val="7F7F7F"/>
                        </w:rPr>
                        <w:t xml:space="preserve">d.o.o. HR-51000 Rijeka, Spinčićeva 2, Tel: +385 51 633 400, Fax: +385 51 633 013 Email: ,  </w:t>
                      </w:r>
                    </w:p>
                  </w:txbxContent>
                </v:textbox>
                <w10:wrap type="square"/>
                <v:fill o:detectmouseclick="t" on="false"/>
                <v:stroke color="#3465a4" weight="9360" joinstyle="round" endcap="flat"/>
              </v:rect>
              <v:rect id="shape_0" stroked="f" style="position:absolute;left:8984;top:91;width:1475;height:645;mso-position-horizontal-relative:page">
                <v:textbox>
                  <w:txbxContent>
                    <w:p>
                      <w:pPr>
                        <w:overflowPunct w:val="false"/>
                        <w:spacing w:before="0" w:after="0" w:lineRule="auto" w:line="240"/>
                        <w:jc w:val="left"/>
                        <w:rPr/>
                      </w:pPr>
                      <w:r>
                        <w:rPr>
                          <w:sz w:val="22"/>
                          <w:b w:val="false"/>
                          <w:u w:val="none"/>
                          <w:dstrike w:val="false"/>
                          <w:strike w:val="false"/>
                          <w:i w:val="false"/>
                          <w:vertAlign w:val="baseline"/>
                          <w:position w:val="0"/>
                          <w:spacing w:val="0"/>
                          <w:szCs w:val="22"/>
                          <w:bCs w:val="false"/>
                          <w:iCs w:val="false"/>
                          <w:smallCaps w:val="false"/>
                          <w:caps w:val="false"/>
                          <w:rFonts w:asciiTheme="minorHAnsi" w:cstheme="minorBidi" w:eastAsiaTheme="minorHAnsi" w:hAnsiTheme="minorHAnsi" w:ascii="Calibri" w:hAnsi="Calibri" w:eastAsia="Calibri"/>
                          <w:color w:val="00000A"/>
                        </w:rPr>
                        <w:t xml:space="preserve"> 139 od 199</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13_12" stroked="f" style="position:absolute;left:2012;top:362;width:953;height:568;mso-position-horizontal-relative:page" type="shapetype_75">
                <v:imagedata r:id="rId1" o:detectmouseclick="t"/>
                <w10:wrap type="none"/>
                <v:stroke color="#3465a4" joinstyle="round" endcap="flat"/>
              </v:shape>
              <v:line id="shape_0" from="1440,194" to="3779,194" stroked="t" style="position:absolute;mso-position-horizontal-relative:page">
                <v:stroke color="#00b050" weight="19080" joinstyle="round" endcap="flat"/>
                <v:fill o:detectmouseclick="t" on="false"/>
              </v:line>
            </v:group>
          </w:pict>
        </mc:Fallback>
      </mc:AlternateContent>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pPr>
        <w:rPr>
          <w:sz w:val="12"/>
        </w:rPr>
      </w:pPr>
      <w:r>
        <w:separator/>
      </w:r>
    </w:p>
  </w:footnote>
  <w:footnote w:id="1" w:type="continuationSeparator">
    <w:p>
      <w:pPr>
        <w:rPr>
          <w:sz w:val="12"/>
        </w:rPr>
      </w:pPr>
      <w:r>
        <w:continuationSeparator/>
      </w:r>
    </w:p>
  </w:footnote>
  <w:footnote w:id="2">
    <w:p>
      <w:pPr>
        <w:pStyle w:val="Fusnota"/>
        <w:rPr/>
      </w:pPr>
      <w:r>
        <w:rPr>
          <w:rStyle w:val="Znakovifusnota"/>
        </w:rPr>
        <w:footnoteRef/>
      </w:r>
      <w:r>
        <w:rPr/>
        <w:t xml:space="preserve">  </w:t>
      </w:r>
      <w:r>
        <w:rPr/>
        <w:t>U ovu kategoriju ulaze posljedice prema kojima je stradala ili ugrožena minimalno jedna osoba do 0,001% stanovnika Grada Buje</w:t>
      </w:r>
    </w:p>
  </w:footnote>
  <w:footnote w:id="3">
    <w:p>
      <w:pPr>
        <w:pStyle w:val="Fusnota"/>
        <w:rPr/>
      </w:pPr>
      <w:r>
        <w:rPr>
          <w:rStyle w:val="Znakovifusnota"/>
        </w:rPr>
        <w:footnoteRef/>
      </w:r>
      <w:r>
        <w:rPr>
          <w:rFonts w:ascii="Adviso OTF Std" w:hAnsi="Adviso OTF Std"/>
          <w:color w:val="000000"/>
          <w:sz w:val="18"/>
          <w:szCs w:val="24"/>
        </w:rPr>
        <w:t xml:space="preserve"> </w:t>
      </w:r>
      <w:r>
        <w:rPr>
          <w:rFonts w:ascii="Adviso OTF Std" w:hAnsi="Adviso OTF Std"/>
          <w:color w:val="000000"/>
          <w:sz w:val="18"/>
          <w:szCs w:val="24"/>
        </w:rPr>
        <w:t>USACE vidi FEMA IS-632</w:t>
      </w:r>
    </w:p>
  </w:footnote>
  <w:footnote w:id="4">
    <w:p>
      <w:pPr>
        <w:pStyle w:val="Fusnota"/>
        <w:rPr/>
      </w:pPr>
      <w:r>
        <w:rPr>
          <w:rStyle w:val="Znakovifusnota"/>
        </w:rPr>
        <w:footnoteRef/>
      </w:r>
      <w:r>
        <w:rPr/>
        <w:t xml:space="preserve"> </w:t>
      </w:r>
      <w:r>
        <w:rPr/>
        <w:t>Izvor: https://meteo.hr/klima.php?section=klima_modeli&amp;param=klima_promjene#sec1</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w:drawing>
        <wp:anchor behindDoc="1" distT="0" distB="0" distL="0" distR="0" simplePos="0" locked="0" layoutInCell="1" allowOverlap="1" relativeHeight="10">
          <wp:simplePos x="0" y="0"/>
          <wp:positionH relativeFrom="page">
            <wp:align>center</wp:align>
          </wp:positionH>
          <wp:positionV relativeFrom="page">
            <wp:align>center</wp:align>
          </wp:positionV>
          <wp:extent cx="7534910" cy="10655935"/>
          <wp:effectExtent l="0" t="0" r="0" b="0"/>
          <wp:wrapNone/>
          <wp:docPr id="8" name="Picture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1" descr=""/>
                  <pic:cNvPicPr>
                    <a:picLocks noChangeAspect="1" noChangeArrowheads="1"/>
                  </pic:cNvPicPr>
                </pic:nvPicPr>
                <pic:blipFill>
                  <a:blip r:embed="rId1"/>
                  <a:stretch>
                    <a:fillRect/>
                  </a:stretch>
                </pic:blipFill>
                <pic:spPr bwMode="auto">
                  <a:xfrm>
                    <a:off x="0" y="0"/>
                    <a:ext cx="7534910" cy="10655935"/>
                  </a:xfrm>
                  <a:prstGeom prst="rect">
                    <a:avLst/>
                  </a:prstGeom>
                </pic:spPr>
              </pic:pic>
            </a:graphicData>
          </a:graphic>
        </wp:anchor>
      </w:drawing>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469" wp14:anchorId="639ACCE3">
              <wp:simplePos x="0" y="0"/>
              <wp:positionH relativeFrom="page">
                <wp:align>center</wp:align>
              </wp:positionH>
              <wp:positionV relativeFrom="page">
                <wp:posOffset>73660</wp:posOffset>
              </wp:positionV>
              <wp:extent cx="5822315" cy="494665"/>
              <wp:effectExtent l="0" t="0" r="27305" b="2540"/>
              <wp:wrapNone/>
              <wp:docPr id="203" name="Grupa 9_12"/>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7" name="Slika 2_12"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_12"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12"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p>
    <w:pPr>
      <w:pStyle w:val="Zaglavlje"/>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104" wp14:anchorId="639ACCE3">
              <wp:simplePos x="0" y="0"/>
              <wp:positionH relativeFrom="page">
                <wp:align>center</wp:align>
              </wp:positionH>
              <wp:positionV relativeFrom="page">
                <wp:posOffset>73660</wp:posOffset>
              </wp:positionV>
              <wp:extent cx="5822315" cy="494665"/>
              <wp:effectExtent l="0" t="0" r="27305" b="2540"/>
              <wp:wrapNone/>
              <wp:docPr id="30" name="Grupa 9_0"/>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 name="Slika 2_0"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_0"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0"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p>
    <w:pPr>
      <w:pStyle w:val="Zaglavlje"/>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11" wp14:anchorId="0040370B">
              <wp:simplePos x="0" y="0"/>
              <wp:positionH relativeFrom="page">
                <wp:align>center</wp:align>
              </wp:positionH>
              <wp:positionV relativeFrom="page">
                <wp:posOffset>73660</wp:posOffset>
              </wp:positionV>
              <wp:extent cx="5822315" cy="494665"/>
              <wp:effectExtent l="0" t="0" r="27305" b="2540"/>
              <wp:wrapNone/>
              <wp:docPr id="31" name="Grupa 9"/>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2" name="Slika 2"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137" wp14:anchorId="639ACCE3">
              <wp:simplePos x="0" y="0"/>
              <wp:positionH relativeFrom="page">
                <wp:align>center</wp:align>
              </wp:positionH>
              <wp:positionV relativeFrom="page">
                <wp:posOffset>73660</wp:posOffset>
              </wp:positionV>
              <wp:extent cx="5822315" cy="494665"/>
              <wp:effectExtent l="0" t="0" r="27305" b="2540"/>
              <wp:wrapNone/>
              <wp:docPr id="34" name="Grupa 9_1"/>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5" name="Slika 2_1"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_1" style="position:absolute;margin-left:191.75pt;margin-top:5.8pt;width:458.4pt;height:38.95pt" coordorigin="3835,116" coordsize="9168,779">
              <v:rect id="shape_0" stroked="f" style="position:absolute;left:3850;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10285;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1" stroked="f" style="position:absolute;left:12552;top:359;width:450;height:364;mso-position-horizontal:center;mso-position-horizontal-relative:page;mso-position-vertical-relative:page" type="shapetype_75">
                <v:imagedata r:id="rId1" o:detectmouseclick="t"/>
                <w10:wrap type="none"/>
                <v:stroke color="#3465a4" joinstyle="round" endcap="flat"/>
              </v:shape>
              <v:line id="shape_0" from="3835,292" to="6802,292" stroked="t" style="position:absolute;mso-position-horizontal:center;mso-position-horizontal-relative:page;mso-position-vertical-relative:page">
                <v:stroke color="#00b050" weight="19080" joinstyle="round" endcap="flat"/>
                <v:fill o:detectmouseclick="t" on="false"/>
              </v:line>
              <v:line id="shape_0" from="5875,116" to="5875,263" stroked="t" style="position:absolute;mso-position-horizontal:center;mso-position-horizontal-relative:page;mso-position-vertical-relative:page">
                <v:stroke color="#00b050" weight="19080" joinstyle="round" endcap="flat"/>
                <v:fill o:detectmouseclick="t" on="false"/>
              </v:line>
            </v:group>
          </w:pict>
        </mc:Fallback>
      </mc:AlternateContent>
    </w:r>
  </w:p>
  <w:p>
    <w:pPr>
      <w:pStyle w:val="Zaglavlje"/>
      <w:rPr/>
    </w:pPr>
    <w:r>
      <w:rPr/>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139" wp14:anchorId="0040370B">
              <wp:simplePos x="0" y="0"/>
              <wp:positionH relativeFrom="page">
                <wp:align>center</wp:align>
              </wp:positionH>
              <wp:positionV relativeFrom="page">
                <wp:posOffset>73660</wp:posOffset>
              </wp:positionV>
              <wp:extent cx="5822315" cy="494665"/>
              <wp:effectExtent l="0" t="0" r="27305" b="2540"/>
              <wp:wrapNone/>
              <wp:docPr id="35" name="Grupa 9_2"/>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6" name="Slika 2_2"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_2" style="position:absolute;margin-left:191.75pt;margin-top:5.8pt;width:458.4pt;height:38.95pt" coordorigin="3835,116" coordsize="9168,779">
              <v:rect id="shape_0" stroked="f" style="position:absolute;left:3850;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10285;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2" stroked="f" style="position:absolute;left:12552;top:359;width:450;height:364;mso-position-horizontal:center;mso-position-horizontal-relative:page;mso-position-vertical-relative:page" type="shapetype_75">
                <v:imagedata r:id="rId1" o:detectmouseclick="t"/>
                <w10:wrap type="none"/>
                <v:stroke color="#3465a4" joinstyle="round" endcap="flat"/>
              </v:shape>
              <v:line id="shape_0" from="3835,292" to="6802,292" stroked="t" style="position:absolute;mso-position-horizontal:center;mso-position-horizontal-relative:page;mso-position-vertical-relative:page">
                <v:stroke color="#00b050" weight="19080" joinstyle="round" endcap="flat"/>
                <v:fill o:detectmouseclick="t" on="false"/>
              </v:line>
              <v:line id="shape_0" from="5875,116" to="5875,263" stroked="t" style="position:absolute;mso-position-horizontal:center;mso-position-horizontal-relative:page;mso-position-vertical-relative:page">
                <v:stroke color="#00b050" weight="19080" joinstyle="round" endcap="flat"/>
                <v:fill o:detectmouseclick="t" on="false"/>
              </v:line>
            </v:group>
          </w:pict>
        </mc:Fallback>
      </mc:AlternateConten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300" wp14:anchorId="639ACCE3">
              <wp:simplePos x="0" y="0"/>
              <wp:positionH relativeFrom="page">
                <wp:align>center</wp:align>
              </wp:positionH>
              <wp:positionV relativeFrom="page">
                <wp:posOffset>73660</wp:posOffset>
              </wp:positionV>
              <wp:extent cx="5822315" cy="494665"/>
              <wp:effectExtent l="0" t="0" r="27305" b="2540"/>
              <wp:wrapNone/>
              <wp:docPr id="192" name="Grupa 9_9"/>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schemeClr val="accent1"/>
                        </a:lnRef>
                        <a:fillRef idx="0">
                          <a:schemeClr val="accent1"/>
                        </a:fillRef>
                        <a:effectRef idx="0">
                          <a:schemeClr val="accent1"/>
                        </a:effectRef>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9" name="Slika 2_9"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s:wsp>
                      <wps:cNvSpPr/>
                      <wps:spPr>
                        <a:xfrm>
                          <a:off x="1294920" y="0"/>
                          <a:ext cx="0" cy="93960"/>
                        </a:xfrm>
                        <a:prstGeom prst="line">
                          <a:avLst/>
                        </a:prstGeom>
                        <a:ln w="19080">
                          <a:solidFill>
                            <a:srgbClr val="00b050"/>
                          </a:solidFill>
                          <a:round/>
                        </a:ln>
                      </wps:spPr>
                      <wps:style>
                        <a:lnRef idx="1">
                          <a:schemeClr val="accent1"/>
                        </a:lnRef>
                        <a:fillRef idx="0">
                          <a:schemeClr val="accent1"/>
                        </a:fillRef>
                        <a:effectRef idx="0">
                          <a:schemeClr val="accent1"/>
                        </a:effectRef>
                        <a:fontRef idx="minor"/>
                      </wps:style>
                      <wps:bodyPr/>
                    </wps:wsp>
                  </wpg:wgp>
                </a:graphicData>
              </a:graphic>
            </wp:anchor>
          </w:drawing>
        </mc:Choice>
        <mc:Fallback>
          <w:pict>
            <v:group id="shape_0" alt="Grupa 9_9"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0"/>
                        </w:rPr>
                        <w:t xml:space="preserve">Revizija procjene rizika od velikih nesreća </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Buje</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9"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p>
    <w:pPr>
      <w:pStyle w:val="Zaglavlje"/>
      <w:rPr/>
    </w:pPr>
    <w:r>
      <w:rPr/>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13" wp14:anchorId="700A2E22">
              <wp:simplePos x="0" y="0"/>
              <wp:positionH relativeFrom="page">
                <wp:align>center</wp:align>
              </wp:positionH>
              <wp:positionV relativeFrom="page">
                <wp:posOffset>73660</wp:posOffset>
              </wp:positionV>
              <wp:extent cx="5822315" cy="494665"/>
              <wp:effectExtent l="0" t="0" r="27305" b="2540"/>
              <wp:wrapNone/>
              <wp:docPr id="193" name="Grupa 9"/>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0" name="Slika 2"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0"/>
                        <a:fillRef idx="0"/>
                        <a:effectRef idx="0"/>
                        <a:fontRef idx="minor"/>
                      </wps:style>
                      <wps:bodyPr/>
                    </wps:wsp>
                    <wps:wsp>
                      <wps:cNvSpPr/>
                      <wps:spPr>
                        <a:xfrm>
                          <a:off x="1294920" y="0"/>
                          <a:ext cx="0" cy="9396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9"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465" wp14:anchorId="700A2E22">
              <wp:simplePos x="0" y="0"/>
              <wp:positionH relativeFrom="page">
                <wp:align>center</wp:align>
              </wp:positionH>
              <wp:positionV relativeFrom="page">
                <wp:posOffset>73660</wp:posOffset>
              </wp:positionV>
              <wp:extent cx="5822315" cy="494665"/>
              <wp:effectExtent l="0" t="0" r="27305" b="2540"/>
              <wp:wrapNone/>
              <wp:docPr id="196" name="Grupa 9_11"/>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3" name="Slika 2_11"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0"/>
                        <a:fillRef idx="0"/>
                        <a:effectRef idx="0"/>
                        <a:fontRef idx="minor"/>
                      </wps:style>
                      <wps:bodyPr/>
                    </wps:wsp>
                    <wps:wsp>
                      <wps:cNvSpPr/>
                      <wps:spPr>
                        <a:xfrm>
                          <a:off x="1294920" y="0"/>
                          <a:ext cx="0" cy="9396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9_11" style="position:absolute;margin-left:191.75pt;margin-top:5.8pt;width:458.4pt;height:38.95pt" coordorigin="3835,116" coordsize="9168,779">
              <v:rect id="shape_0" stroked="f" style="position:absolute;left:3850;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10285;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11" stroked="f" style="position:absolute;left:12552;top:359;width:450;height:364;mso-position-horizontal:center;mso-position-horizontal-relative:page;mso-position-vertical-relative:page" type="shapetype_75">
                <v:imagedata r:id="rId1" o:detectmouseclick="t"/>
                <w10:wrap type="none"/>
                <v:stroke color="#3465a4" joinstyle="round" endcap="flat"/>
              </v:shape>
              <v:line id="shape_0" from="3835,292" to="6802,292" stroked="t" style="position:absolute;mso-position-horizontal:center;mso-position-horizontal-relative:page;mso-position-vertical-relative:page">
                <v:stroke color="#00b050" weight="19080" joinstyle="round" endcap="flat"/>
                <v:fill o:detectmouseclick="t" on="false"/>
              </v:line>
              <v:line id="shape_0" from="5875,116" to="5875,263" stroked="t" style="position:absolute;mso-position-horizontal:center;mso-position-horizontal-relative:page;mso-position-vertical-relative:page">
                <v:stroke color="#00b050" weight="19080" joinstyle="round" endcap="flat"/>
                <v:fill o:detectmouseclick="t" on="false"/>
              </v:line>
            </v:group>
          </w:pict>
        </mc:Fallback>
      </mc:AlternateConten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Zaglavlje"/>
      <w:rPr/>
    </w:pPr>
    <w:r>
      <w:rPr/>
      <mc:AlternateContent>
        <mc:Choice Requires="wpg">
          <w:drawing>
            <wp:anchor behindDoc="1" distT="0" distB="0" distL="0" distR="0" simplePos="0" locked="0" layoutInCell="1" allowOverlap="1" relativeHeight="474" wp14:anchorId="700A2E22">
              <wp:simplePos x="0" y="0"/>
              <wp:positionH relativeFrom="page">
                <wp:align>center</wp:align>
              </wp:positionH>
              <wp:positionV relativeFrom="page">
                <wp:posOffset>73660</wp:posOffset>
              </wp:positionV>
              <wp:extent cx="5822315" cy="494665"/>
              <wp:effectExtent l="0" t="0" r="27305" b="2540"/>
              <wp:wrapNone/>
              <wp:docPr id="199" name="Grupa 9_13"/>
              <a:graphic xmlns:a="http://schemas.openxmlformats.org/drawingml/2006/main">
                <a:graphicData uri="http://schemas.microsoft.com/office/word/2010/wordprocessingGroup">
                  <wpg:wgp>
                    <wpg:cNvGrpSpPr/>
                    <wpg:grpSpPr>
                      <a:xfrm>
                        <a:off x="0" y="0"/>
                        <a:ext cx="5821560" cy="493920"/>
                      </a:xfrm>
                    </wpg:grpSpPr>
                    <wps:wsp>
                      <wps:cNvSpPr/>
                      <wps:spPr>
                        <a:xfrm>
                          <a:off x="9360" y="92160"/>
                          <a:ext cx="3341880" cy="402120"/>
                        </a:xfrm>
                        <a:prstGeom prst="rect">
                          <a:avLst/>
                        </a:prstGeom>
                        <a:noFill/>
                        <a:ln w="648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wps:wsp>
                      <wps:cNvSpPr/>
                      <wps:spPr>
                        <a:xfrm>
                          <a:off x="4095720" y="92160"/>
                          <a:ext cx="1432440" cy="400680"/>
                        </a:xfrm>
                        <a:prstGeom prst="rect">
                          <a:avLst/>
                        </a:prstGeom>
                        <a:noFill/>
                        <a:ln w="9360">
                          <a:noFill/>
                        </a:ln>
                      </wps:spPr>
                      <wps:style>
                        <a:lnRef idx="0"/>
                        <a:fillRef idx="0"/>
                        <a:effectRef idx="0"/>
                        <a:fontRef idx="minor"/>
                      </wps:style>
                      <wps:txb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wps:txbx>
                      <wps:bodyPr lIns="90000" rIns="90000" tIns="45000" bIns="45000">
                        <a:noAutofit/>
                      </wps:bodyPr>
                    </wps:wsp>
                    <pic:pic xmlns:pic="http://schemas.openxmlformats.org/drawingml/2006/picture">
                      <pic:nvPicPr>
                        <pic:cNvPr id="15" name="Slika 2_13" descr=""/>
                        <pic:cNvPicPr/>
                      </pic:nvPicPr>
                      <pic:blipFill>
                        <a:blip r:embed="rId1"/>
                        <a:stretch/>
                      </pic:blipFill>
                      <pic:spPr>
                        <a:xfrm>
                          <a:off x="5535360" y="154440"/>
                          <a:ext cx="286560" cy="231840"/>
                        </a:xfrm>
                        <a:prstGeom prst="rect">
                          <a:avLst/>
                        </a:prstGeom>
                        <a:ln>
                          <a:noFill/>
                        </a:ln>
                      </pic:spPr>
                    </pic:pic>
                    <wps:wsp>
                      <wps:cNvSpPr/>
                      <wps:spPr>
                        <a:xfrm>
                          <a:off x="0" y="111600"/>
                          <a:ext cx="1884600" cy="0"/>
                        </a:xfrm>
                        <a:prstGeom prst="line">
                          <a:avLst/>
                        </a:prstGeom>
                        <a:ln w="19080">
                          <a:solidFill>
                            <a:srgbClr val="00b050"/>
                          </a:solidFill>
                          <a:round/>
                        </a:ln>
                      </wps:spPr>
                      <wps:style>
                        <a:lnRef idx="0"/>
                        <a:fillRef idx="0"/>
                        <a:effectRef idx="0"/>
                        <a:fontRef idx="minor"/>
                      </wps:style>
                      <wps:bodyPr/>
                    </wps:wsp>
                    <wps:wsp>
                      <wps:cNvSpPr/>
                      <wps:spPr>
                        <a:xfrm>
                          <a:off x="1294920" y="0"/>
                          <a:ext cx="0" cy="93960"/>
                        </a:xfrm>
                        <a:prstGeom prst="line">
                          <a:avLst/>
                        </a:prstGeom>
                        <a:ln w="19080">
                          <a:solidFill>
                            <a:srgbClr val="00b050"/>
                          </a:solidFill>
                          <a:round/>
                        </a:ln>
                      </wps:spPr>
                      <wps:style>
                        <a:lnRef idx="0"/>
                        <a:fillRef idx="0"/>
                        <a:effectRef idx="0"/>
                        <a:fontRef idx="minor"/>
                      </wps:style>
                      <wps:bodyPr/>
                    </wps:wsp>
                  </wpg:wgp>
                </a:graphicData>
              </a:graphic>
            </wp:anchor>
          </w:drawing>
        </mc:Choice>
        <mc:Fallback>
          <w:pict>
            <v:group id="shape_0" alt="Grupa 9_13" style="position:absolute;margin-left:68.45pt;margin-top:5.8pt;width:458.45pt;height:38.95pt" coordorigin="1369,116" coordsize="9169,779">
              <v:rect id="shape_0" stroked="f" style="position:absolute;left:1384;top:261;width:5262;height:632;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Procjena rizika od velikih nesreća</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6480" joinstyle="round" endcap="flat"/>
              </v:rect>
              <v:rect id="shape_0" stroked="f" style="position:absolute;left:7819;top:261;width:2255;height:630;mso-position-horizontal:center;mso-position-horizontal-relative:page;mso-position-vertical-relative:page">
                <v:textbox>
                  <w:txbxContent>
                    <w:p>
                      <w:pPr>
                        <w:overflowPunct w:val="false"/>
                        <w:spacing w:before="0" w:after="0" w:lineRule="auto" w:line="240"/>
                        <w:jc w:val="left"/>
                        <w:rPr/>
                      </w:pPr>
                      <w:r>
                        <w:rPr>
                          <w:sz w:val="20"/>
                          <w:b w:val="false"/>
                          <w:u w:val="none"/>
                          <w:dstrike w:val="false"/>
                          <w:strike w:val="false"/>
                          <w:i w:val="false"/>
                          <w:vertAlign w:val="baseline"/>
                          <w:position w:val="0"/>
                          <w:spacing w:val="0"/>
                          <w:szCs w:val="20"/>
                          <w:bCs w:val="false"/>
                          <w:iCs w:val="false"/>
                          <w:smallCaps w:val="false"/>
                          <w:caps w:val="false"/>
                          <w:rFonts w:asciiTheme="minorHAnsi" w:cstheme="minorBidi" w:eastAsiaTheme="minorHAnsi" w:hAnsiTheme="minorHAnsi" w:ascii="Calibri" w:hAnsi="Calibri" w:eastAsia="Calibri"/>
                          <w:color w:val="00000A"/>
                        </w:rPr>
                        <w:t>Grad Novi Vinodolski</w:t>
                      </w:r>
                    </w:p>
                    <w:p>
                      <w:pPr>
                        <w:overflowPunct w:val="false"/>
                        <w:spacing w:before="0" w:after="0" w:lineRule="auto" w:line="240"/>
                        <w:jc w:val="left"/>
                        <w:rPr/>
                      </w:pPr>
                      <w:r>
                        <w:rPr>
                          <w:szCs w:val="22"/>
                          <w:rFonts w:ascii="Calibri" w:hAnsi="Calibri" w:eastAsia="Calibri" w:asciiTheme="minorHAnsi" w:eastAsiaTheme="minorHAnsi" w:hAnsiTheme="minorHAnsi"/>
                          <w:color w:val="auto"/>
                        </w:rPr>
                      </w:r>
                    </w:p>
                  </w:txbxContent>
                </v:textbox>
                <w10:wrap type="square"/>
                <v:fill o:detectmouseclick="t" on="false"/>
                <v:stroke color="#3465a4" weight="9360" joinstyle="round" endcap="flat"/>
              </v:rect>
              <v:shape id="shape_0" ID="Slika 2_13" stroked="f" style="position:absolute;left:10086;top:359;width:450;height:364;mso-position-horizontal:center;mso-position-horizontal-relative:page;mso-position-vertical-relative:page" type="shapetype_75">
                <v:imagedata r:id="rId1" o:detectmouseclick="t"/>
                <w10:wrap type="none"/>
                <v:stroke color="#3465a4" joinstyle="round" endcap="flat"/>
              </v:shape>
              <v:line id="shape_0" from="1369,292" to="4336,292" stroked="t" style="position:absolute;mso-position-horizontal:center;mso-position-horizontal-relative:page;mso-position-vertical-relative:page">
                <v:stroke color="#00b050" weight="19080" joinstyle="round" endcap="flat"/>
                <v:fill o:detectmouseclick="t" on="false"/>
              </v:line>
              <v:line id="shape_0" from="3408,116" to="3408,263" stroked="t" style="position:absolute;mso-position-horizontal:center;mso-position-horizontal-relative:page;mso-position-vertical-relative:page">
                <v:stroke color="#00b050" weight="19080" joinstyle="round" endcap="flat"/>
                <v:fill o:detectmouseclick="t" on="false"/>
              </v:line>
            </v:group>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Stilnaslova1"/>
      <w:numFmt w:val="decimal"/>
      <w:lvlText w:val="%1"/>
      <w:lvlJc w:val="left"/>
      <w:pPr>
        <w:ind w:left="432" w:hanging="432"/>
      </w:pPr>
    </w:lvl>
    <w:lvl w:ilvl="1">
      <w:start w:val="1"/>
      <w:pStyle w:val="Stilnaslova2"/>
      <w:numFmt w:val="decimal"/>
      <w:lvlText w:val="%1.%2"/>
      <w:lvlJc w:val="left"/>
      <w:pPr>
        <w:ind w:left="576" w:hanging="576"/>
      </w:pPr>
      <w:rPr>
        <w:smallCaps w:val="false"/>
        <w:caps w:val="false"/>
        <w:dstrike w:val="false"/>
        <w:strike w:val="false"/>
        <w:vertAlign w:val="baseline"/>
        <w:position w:val="0"/>
        <w:sz w:val="22"/>
        <w:sz w:val="22"/>
        <w:spacing w:val="0"/>
        <w:i w:val="false"/>
        <w:u w:val="none"/>
        <w:b w:val="false"/>
        <w:kern w:val="0"/>
        <w:effect w:val="none"/>
        <w:iCs w:val="false"/>
        <w:bCs w:val="false"/>
        <w:em w:val="none"/>
        <w:vanish w:val="false"/>
        <w:color w:val="54883D"/>
      </w:rPr>
    </w:lvl>
    <w:lvl w:ilvl="2">
      <w:start w:val="1"/>
      <w:pStyle w:val="Stilnaslova3"/>
      <w:numFmt w:val="decimal"/>
      <w:lvlText w:val="%1.%2.%3"/>
      <w:lvlJc w:val="left"/>
      <w:pPr>
        <w:ind w:left="720" w:hanging="720"/>
      </w:pPr>
    </w:lvl>
    <w:lvl w:ilvl="3">
      <w:start w:val="1"/>
      <w:pStyle w:val="Stilnaslova4"/>
      <w:numFmt w:val="decimal"/>
      <w:lvlText w:val="%1.%2.%3.%4"/>
      <w:lvlJc w:val="left"/>
      <w:pPr>
        <w:ind w:left="864" w:hanging="864"/>
      </w:pPr>
    </w:lvl>
    <w:lvl w:ilvl="4">
      <w:start w:val="1"/>
      <w:pStyle w:val="Stilnaslova5"/>
      <w:numFmt w:val="decimal"/>
      <w:lvlText w:val="%1.%2.%3.%4.%5"/>
      <w:lvlJc w:val="left"/>
      <w:pPr>
        <w:ind w:left="1008" w:hanging="1008"/>
      </w:pPr>
    </w:lvl>
    <w:lvl w:ilvl="5">
      <w:start w:val="1"/>
      <w:pStyle w:val="Stilnaslova6"/>
      <w:numFmt w:val="decimal"/>
      <w:lvlText w:val="%1.%2.%3.%4.%5.%6"/>
      <w:lvlJc w:val="left"/>
      <w:pPr>
        <w:ind w:left="1152" w:hanging="1152"/>
      </w:pPr>
    </w:lvl>
    <w:lvl w:ilvl="6">
      <w:start w:val="1"/>
      <w:pStyle w:val="Stilnaslova7"/>
      <w:numFmt w:val="decimal"/>
      <w:lvlText w:val="%1.%2.%3.%4.%5.%6.%7"/>
      <w:lvlJc w:val="left"/>
      <w:pPr>
        <w:ind w:left="1296" w:hanging="1296"/>
      </w:pPr>
    </w:lvl>
    <w:lvl w:ilvl="7">
      <w:start w:val="1"/>
      <w:pStyle w:val="Stilnaslova8"/>
      <w:numFmt w:val="decimal"/>
      <w:lvlText w:val="%1.%2.%3.%4.%5.%6.%7.%8"/>
      <w:lvlJc w:val="left"/>
      <w:pPr>
        <w:ind w:left="1440" w:hanging="1440"/>
      </w:pPr>
    </w:lvl>
    <w:lvl w:ilvl="8">
      <w:start w:val="1"/>
      <w:pStyle w:val="Stilnaslova9"/>
      <w:numFmt w:val="decimal"/>
      <w:lvlText w:val="%1.%2.%3.%4.%5.%6.%7.%8.%9"/>
      <w:lvlJc w:val="left"/>
      <w:pPr>
        <w:ind w:left="1584" w:hanging="1584"/>
      </w:pPr>
    </w:lvl>
  </w:abstractNum>
  <w:abstractNum w:abstractNumId="2">
    <w:lvl w:ilvl="0">
      <w:start w:val="1"/>
      <w:numFmt w:val="decimal"/>
      <w:lvlText w:val="%1"/>
      <w:lvlJc w:val="left"/>
      <w:pPr>
        <w:ind w:left="432" w:hanging="432"/>
      </w:pPr>
    </w:lvl>
    <w:lvl w:ilvl="1">
      <w:start w:val="1"/>
      <w:numFmt w:val="decimal"/>
      <w:lvlText w:val="%1.%2"/>
      <w:lvlJc w:val="left"/>
      <w:pPr>
        <w:ind w:left="576" w:hanging="576"/>
      </w:pPr>
      <w:rPr>
        <w:smallCaps w:val="false"/>
        <w:caps w:val="false"/>
        <w:dstrike w:val="false"/>
        <w:strike w:val="false"/>
        <w:vertAlign w:val="baseline"/>
        <w:position w:val="0"/>
        <w:sz w:val="22"/>
        <w:sz w:val="22"/>
        <w:spacing w:val="0"/>
        <w:i w:val="false"/>
        <w:u w:val="none"/>
        <w:b w:val="false"/>
        <w:kern w:val="0"/>
        <w:effect w:val="none"/>
        <w:iCs w:val="false"/>
        <w:bCs w:val="false"/>
        <w:em w:val="none"/>
        <w:vanish w:val="false"/>
        <w:color w:val="54883D"/>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lvl w:ilvl="0">
      <w:start w:val="1"/>
      <w:numFmt w:val="lowerLetter"/>
      <w:lvlText w:val="%1)"/>
      <w:lvlJc w:val="left"/>
      <w:pPr>
        <w:ind w:left="780" w:hanging="360"/>
      </w:p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4">
    <w:lvl w:ilvl="0">
      <w:start w:val="1"/>
      <w:numFmt w:val="decimal"/>
      <w:lvlText w:val="%1."/>
      <w:lvlJc w:val="left"/>
      <w:pPr>
        <w:ind w:left="720" w:hanging="360"/>
      </w:pPr>
    </w:lvl>
    <w:lvl w:ilvl="1">
      <w:start w:val="1"/>
      <w:numFmt w:val="bullet"/>
      <w:lvlText w:val="-"/>
      <w:lvlJc w:val="left"/>
      <w:pPr>
        <w:ind w:left="1440" w:hanging="360"/>
      </w:pPr>
      <w:rPr>
        <w:rFonts w:ascii="Arial" w:hAnsi="Arial" w:cs="Arial" w:hint="default"/>
        <w:rFonts w:cs="Aria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lvl w:ilvl="0">
      <w:start w:val="1"/>
      <w:numFmt w:val="bullet"/>
      <w:lvlText w:val="-"/>
      <w:lvlJc w:val="left"/>
      <w:pPr>
        <w:ind w:left="720" w:hanging="360"/>
      </w:pPr>
      <w:rPr>
        <w:rFonts w:ascii="Calibri" w:hAnsi="Calibri" w:cs="Calibri" w:hint="default"/>
        <w:rFonts w:cs="Calibri"/>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6">
    <w:lvl w:ilvl="0">
      <w:start w:val="11"/>
      <w:numFmt w:val="bullet"/>
      <w:lvlText w:val="-"/>
      <w:lvlJc w:val="left"/>
      <w:pPr>
        <w:ind w:left="720" w:hanging="360"/>
      </w:pPr>
      <w:rPr>
        <w:rFonts w:ascii="Calibri" w:hAnsi="Calibri" w:cs="Calibri" w:hint="default"/>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lvl w:ilvl="0">
      <w:start w:val="1"/>
      <w:numFmt w:val="decimal"/>
      <w:lvlText w:val="%1."/>
      <w:lvlJc w:val="left"/>
      <w:pPr>
        <w:ind w:left="464" w:hanging="360"/>
      </w:pPr>
    </w:lvl>
    <w:lvl w:ilvl="1">
      <w:start w:val="1"/>
      <w:numFmt w:val="lowerLetter"/>
      <w:lvlText w:val="%2."/>
      <w:lvlJc w:val="left"/>
      <w:pPr>
        <w:ind w:left="1184" w:hanging="360"/>
      </w:pPr>
    </w:lvl>
    <w:lvl w:ilvl="2">
      <w:start w:val="1"/>
      <w:numFmt w:val="lowerRoman"/>
      <w:lvlText w:val="%3."/>
      <w:lvlJc w:val="right"/>
      <w:pPr>
        <w:ind w:left="1904" w:hanging="180"/>
      </w:pPr>
    </w:lvl>
    <w:lvl w:ilvl="3">
      <w:start w:val="1"/>
      <w:numFmt w:val="decimal"/>
      <w:lvlText w:val="%4."/>
      <w:lvlJc w:val="left"/>
      <w:pPr>
        <w:ind w:left="2624" w:hanging="360"/>
      </w:pPr>
    </w:lvl>
    <w:lvl w:ilvl="4">
      <w:start w:val="1"/>
      <w:numFmt w:val="lowerLetter"/>
      <w:lvlText w:val="%5."/>
      <w:lvlJc w:val="left"/>
      <w:pPr>
        <w:ind w:left="3344" w:hanging="360"/>
      </w:pPr>
    </w:lvl>
    <w:lvl w:ilvl="5">
      <w:start w:val="1"/>
      <w:numFmt w:val="lowerRoman"/>
      <w:lvlText w:val="%6."/>
      <w:lvlJc w:val="right"/>
      <w:pPr>
        <w:ind w:left="4064" w:hanging="180"/>
      </w:pPr>
    </w:lvl>
    <w:lvl w:ilvl="6">
      <w:start w:val="1"/>
      <w:numFmt w:val="decimal"/>
      <w:lvlText w:val="%7."/>
      <w:lvlJc w:val="left"/>
      <w:pPr>
        <w:ind w:left="4784" w:hanging="360"/>
      </w:pPr>
    </w:lvl>
    <w:lvl w:ilvl="7">
      <w:start w:val="1"/>
      <w:numFmt w:val="lowerLetter"/>
      <w:lvlText w:val="%8."/>
      <w:lvlJc w:val="left"/>
      <w:pPr>
        <w:ind w:left="5504" w:hanging="360"/>
      </w:pPr>
    </w:lvl>
    <w:lvl w:ilvl="8">
      <w:start w:val="1"/>
      <w:numFmt w:val="lowerRoman"/>
      <w:lvlText w:val="%9."/>
      <w:lvlJc w:val="right"/>
      <w:pPr>
        <w:ind w:left="6224" w:hanging="180"/>
      </w:pPr>
    </w:lvl>
  </w:abstractNum>
  <w:abstractNum w:abstractNumId="9">
    <w:lvl w:ilvl="0">
      <w:start w:val="1"/>
      <w:numFmt w:val="decimal"/>
      <w:lvlText w:val="%1."/>
      <w:lvlJc w:val="left"/>
      <w:pPr>
        <w:ind w:left="360" w:hanging="360"/>
      </w:pPr>
      <w:rPr>
        <w:sz w:val="2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lvl w:ilvl="0">
      <w:start w:val="1"/>
      <w:numFmt w:val="bullet"/>
      <w:lvlText w:val=""/>
      <w:lvlJc w:val="left"/>
      <w:pPr>
        <w:ind w:left="720" w:hanging="360"/>
      </w:pPr>
      <w:rPr>
        <w:rFonts w:ascii="Symbol" w:hAnsi="Symbol" w:cs="Symbol" w:hint="default"/>
        <w:rFonts w:cs="Symbol"/>
        <w:color w:val="auto"/>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1">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2">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3">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4">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5">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16">
    <w:lvl w:ilvl="0">
      <w:start w:val="1"/>
      <w:numFmt w:val="bullet"/>
      <w:lvlText w:val=""/>
      <w:lvlJc w:val="left"/>
      <w:pPr>
        <w:ind w:left="1440" w:hanging="360"/>
      </w:pPr>
      <w:rPr>
        <w:rFonts w:ascii="Symbol" w:hAnsi="Symbol" w:cs="Symbol" w:hint="default"/>
        <w:rFonts w:cs="Symbol"/>
      </w:rPr>
    </w:lvl>
    <w:lvl w:ilvl="1">
      <w:start w:val="1"/>
      <w:numFmt w:val="bullet"/>
      <w:lvlText w:val="o"/>
      <w:lvlJc w:val="left"/>
      <w:pPr>
        <w:ind w:left="2160" w:hanging="360"/>
      </w:pPr>
      <w:rPr>
        <w:rFonts w:ascii="Courier New" w:hAnsi="Courier New" w:cs="Courier New" w:hint="default"/>
        <w:rFonts w:cs="Courier New"/>
      </w:rPr>
    </w:lvl>
    <w:lvl w:ilvl="2">
      <w:start w:val="1"/>
      <w:numFmt w:val="bullet"/>
      <w:lvlText w:val=""/>
      <w:lvlJc w:val="left"/>
      <w:pPr>
        <w:ind w:left="2880" w:hanging="360"/>
      </w:pPr>
      <w:rPr>
        <w:rFonts w:ascii="Wingdings" w:hAnsi="Wingdings" w:cs="Wingdings" w:hint="default"/>
        <w:rFonts w:cs="Wingdings"/>
      </w:rPr>
    </w:lvl>
    <w:lvl w:ilvl="3">
      <w:start w:val="1"/>
      <w:numFmt w:val="bullet"/>
      <w:lvlText w:val=""/>
      <w:lvlJc w:val="left"/>
      <w:pPr>
        <w:ind w:left="3600" w:hanging="360"/>
      </w:pPr>
      <w:rPr>
        <w:rFonts w:ascii="Symbol" w:hAnsi="Symbol" w:cs="Symbol" w:hint="default"/>
        <w:rFonts w:cs="Symbol"/>
      </w:rPr>
    </w:lvl>
    <w:lvl w:ilvl="4">
      <w:start w:val="1"/>
      <w:numFmt w:val="bullet"/>
      <w:lvlText w:val="o"/>
      <w:lvlJc w:val="left"/>
      <w:pPr>
        <w:ind w:left="4320" w:hanging="360"/>
      </w:pPr>
      <w:rPr>
        <w:rFonts w:ascii="Courier New" w:hAnsi="Courier New" w:cs="Courier New" w:hint="default"/>
        <w:rFonts w:cs="Courier New"/>
      </w:rPr>
    </w:lvl>
    <w:lvl w:ilvl="5">
      <w:start w:val="1"/>
      <w:numFmt w:val="bullet"/>
      <w:lvlText w:val=""/>
      <w:lvlJc w:val="left"/>
      <w:pPr>
        <w:ind w:left="5040" w:hanging="360"/>
      </w:pPr>
      <w:rPr>
        <w:rFonts w:ascii="Wingdings" w:hAnsi="Wingdings" w:cs="Wingdings" w:hint="default"/>
        <w:rFonts w:cs="Wingdings"/>
      </w:rPr>
    </w:lvl>
    <w:lvl w:ilvl="6">
      <w:start w:val="1"/>
      <w:numFmt w:val="bullet"/>
      <w:lvlText w:val=""/>
      <w:lvlJc w:val="left"/>
      <w:pPr>
        <w:ind w:left="5760" w:hanging="360"/>
      </w:pPr>
      <w:rPr>
        <w:rFonts w:ascii="Symbol" w:hAnsi="Symbol" w:cs="Symbol" w:hint="default"/>
        <w:rFonts w:cs="Symbol"/>
      </w:rPr>
    </w:lvl>
    <w:lvl w:ilvl="7">
      <w:start w:val="1"/>
      <w:numFmt w:val="bullet"/>
      <w:lvlText w:val="o"/>
      <w:lvlJc w:val="left"/>
      <w:pPr>
        <w:ind w:left="6480" w:hanging="360"/>
      </w:pPr>
      <w:rPr>
        <w:rFonts w:ascii="Courier New" w:hAnsi="Courier New" w:cs="Courier New" w:hint="default"/>
        <w:rFonts w:cs="Courier New"/>
      </w:rPr>
    </w:lvl>
    <w:lvl w:ilvl="8">
      <w:start w:val="1"/>
      <w:numFmt w:val="bullet"/>
      <w:lvlText w:val=""/>
      <w:lvlJc w:val="left"/>
      <w:pPr>
        <w:ind w:left="7200" w:hanging="360"/>
      </w:pPr>
      <w:rPr>
        <w:rFonts w:ascii="Wingdings" w:hAnsi="Wingdings" w:cs="Wingdings" w:hint="default"/>
        <w:rFonts w:cs="Wingdings"/>
      </w:rPr>
    </w:lvl>
  </w:abstractNum>
  <w:abstractNum w:abstractNumId="17">
    <w:lvl w:ilvl="0">
      <w:start w:val="1"/>
      <w:numFmt w:val="bullet"/>
      <w:lvlText w:val=""/>
      <w:lvlJc w:val="left"/>
      <w:pPr>
        <w:ind w:left="1800" w:hanging="360"/>
      </w:pPr>
      <w:rPr>
        <w:rFonts w:ascii="Symbol" w:hAnsi="Symbol" w:cs="Symbol" w:hint="default"/>
        <w:rFonts w:cs="Symbol"/>
      </w:rPr>
    </w:lvl>
    <w:lvl w:ilvl="1">
      <w:start w:val="1"/>
      <w:numFmt w:val="bullet"/>
      <w:lvlText w:val="o"/>
      <w:lvlJc w:val="left"/>
      <w:pPr>
        <w:ind w:left="2520" w:hanging="360"/>
      </w:pPr>
      <w:rPr>
        <w:rFonts w:ascii="Courier New" w:hAnsi="Courier New" w:cs="Courier New" w:hint="default"/>
        <w:rFonts w:cs="Courier New"/>
      </w:rPr>
    </w:lvl>
    <w:lvl w:ilvl="2">
      <w:start w:val="1"/>
      <w:numFmt w:val="bullet"/>
      <w:lvlText w:val=""/>
      <w:lvlJc w:val="left"/>
      <w:pPr>
        <w:ind w:left="3240" w:hanging="360"/>
      </w:pPr>
      <w:rPr>
        <w:rFonts w:ascii="Wingdings" w:hAnsi="Wingdings" w:cs="Wingdings" w:hint="default"/>
        <w:rFonts w:cs="Wingdings"/>
      </w:rPr>
    </w:lvl>
    <w:lvl w:ilvl="3">
      <w:start w:val="1"/>
      <w:numFmt w:val="bullet"/>
      <w:lvlText w:val=""/>
      <w:lvlJc w:val="left"/>
      <w:pPr>
        <w:ind w:left="3960" w:hanging="360"/>
      </w:pPr>
      <w:rPr>
        <w:rFonts w:ascii="Symbol" w:hAnsi="Symbol" w:cs="Symbol" w:hint="default"/>
        <w:rFonts w:cs="Symbol"/>
      </w:rPr>
    </w:lvl>
    <w:lvl w:ilvl="4">
      <w:start w:val="1"/>
      <w:numFmt w:val="bullet"/>
      <w:lvlText w:val="o"/>
      <w:lvlJc w:val="left"/>
      <w:pPr>
        <w:ind w:left="4680" w:hanging="360"/>
      </w:pPr>
      <w:rPr>
        <w:rFonts w:ascii="Courier New" w:hAnsi="Courier New" w:cs="Courier New" w:hint="default"/>
        <w:rFonts w:cs="Courier New"/>
      </w:rPr>
    </w:lvl>
    <w:lvl w:ilvl="5">
      <w:start w:val="1"/>
      <w:numFmt w:val="bullet"/>
      <w:lvlText w:val=""/>
      <w:lvlJc w:val="left"/>
      <w:pPr>
        <w:ind w:left="5400" w:hanging="360"/>
      </w:pPr>
      <w:rPr>
        <w:rFonts w:ascii="Wingdings" w:hAnsi="Wingdings" w:cs="Wingdings" w:hint="default"/>
        <w:rFonts w:cs="Wingdings"/>
      </w:rPr>
    </w:lvl>
    <w:lvl w:ilvl="6">
      <w:start w:val="1"/>
      <w:numFmt w:val="bullet"/>
      <w:lvlText w:val=""/>
      <w:lvlJc w:val="left"/>
      <w:pPr>
        <w:ind w:left="6120" w:hanging="360"/>
      </w:pPr>
      <w:rPr>
        <w:rFonts w:ascii="Symbol" w:hAnsi="Symbol" w:cs="Symbol" w:hint="default"/>
        <w:rFonts w:cs="Symbol"/>
      </w:rPr>
    </w:lvl>
    <w:lvl w:ilvl="7">
      <w:start w:val="1"/>
      <w:numFmt w:val="bullet"/>
      <w:lvlText w:val="o"/>
      <w:lvlJc w:val="left"/>
      <w:pPr>
        <w:ind w:left="6840" w:hanging="360"/>
      </w:pPr>
      <w:rPr>
        <w:rFonts w:ascii="Courier New" w:hAnsi="Courier New" w:cs="Courier New" w:hint="default"/>
        <w:rFonts w:cs="Courier New"/>
      </w:rPr>
    </w:lvl>
    <w:lvl w:ilvl="8">
      <w:start w:val="1"/>
      <w:numFmt w:val="bullet"/>
      <w:lvlText w:val=""/>
      <w:lvlJc w:val="left"/>
      <w:pPr>
        <w:ind w:left="7560" w:hanging="360"/>
      </w:pPr>
      <w:rPr>
        <w:rFonts w:ascii="Wingdings" w:hAnsi="Wingdings" w:cs="Wingdings" w:hint="default"/>
        <w:rFonts w:cs="Wingdings"/>
      </w:rPr>
    </w:lvl>
  </w:abstractNum>
  <w:abstractNum w:abstractNumId="18">
    <w:lvl w:ilvl="0">
      <w:start w:val="1"/>
      <w:numFmt w:val="bullet"/>
      <w:lvlText w:val=""/>
      <w:lvlJc w:val="left"/>
      <w:pPr>
        <w:ind w:left="1440" w:hanging="360"/>
      </w:pPr>
      <w:rPr>
        <w:rFonts w:ascii="Symbol" w:hAnsi="Symbol" w:cs="Symbol" w:hint="default"/>
        <w:rFonts w:cs="Symbol"/>
      </w:rPr>
    </w:lvl>
    <w:lvl w:ilvl="1">
      <w:start w:val="1"/>
      <w:numFmt w:val="bullet"/>
      <w:lvlText w:val="o"/>
      <w:lvlJc w:val="left"/>
      <w:pPr>
        <w:ind w:left="2160" w:hanging="360"/>
      </w:pPr>
      <w:rPr>
        <w:rFonts w:ascii="Courier New" w:hAnsi="Courier New" w:cs="Courier New" w:hint="default"/>
        <w:rFonts w:cs="Courier New"/>
      </w:rPr>
    </w:lvl>
    <w:lvl w:ilvl="2">
      <w:start w:val="1"/>
      <w:numFmt w:val="bullet"/>
      <w:lvlText w:val=""/>
      <w:lvlJc w:val="left"/>
      <w:pPr>
        <w:ind w:left="2880" w:hanging="360"/>
      </w:pPr>
      <w:rPr>
        <w:rFonts w:ascii="Wingdings" w:hAnsi="Wingdings" w:cs="Wingdings" w:hint="default"/>
        <w:rFonts w:cs="Wingdings"/>
      </w:rPr>
    </w:lvl>
    <w:lvl w:ilvl="3">
      <w:start w:val="1"/>
      <w:numFmt w:val="bullet"/>
      <w:lvlText w:val=""/>
      <w:lvlJc w:val="left"/>
      <w:pPr>
        <w:ind w:left="3600" w:hanging="360"/>
      </w:pPr>
      <w:rPr>
        <w:rFonts w:ascii="Symbol" w:hAnsi="Symbol" w:cs="Symbol" w:hint="default"/>
        <w:rFonts w:cs="Symbol"/>
      </w:rPr>
    </w:lvl>
    <w:lvl w:ilvl="4">
      <w:start w:val="1"/>
      <w:numFmt w:val="bullet"/>
      <w:lvlText w:val="o"/>
      <w:lvlJc w:val="left"/>
      <w:pPr>
        <w:ind w:left="4320" w:hanging="360"/>
      </w:pPr>
      <w:rPr>
        <w:rFonts w:ascii="Courier New" w:hAnsi="Courier New" w:cs="Courier New" w:hint="default"/>
        <w:rFonts w:cs="Courier New"/>
      </w:rPr>
    </w:lvl>
    <w:lvl w:ilvl="5">
      <w:start w:val="1"/>
      <w:numFmt w:val="bullet"/>
      <w:lvlText w:val=""/>
      <w:lvlJc w:val="left"/>
      <w:pPr>
        <w:ind w:left="5040" w:hanging="360"/>
      </w:pPr>
      <w:rPr>
        <w:rFonts w:ascii="Wingdings" w:hAnsi="Wingdings" w:cs="Wingdings" w:hint="default"/>
        <w:rFonts w:cs="Wingdings"/>
      </w:rPr>
    </w:lvl>
    <w:lvl w:ilvl="6">
      <w:start w:val="1"/>
      <w:numFmt w:val="bullet"/>
      <w:lvlText w:val=""/>
      <w:lvlJc w:val="left"/>
      <w:pPr>
        <w:ind w:left="5760" w:hanging="360"/>
      </w:pPr>
      <w:rPr>
        <w:rFonts w:ascii="Symbol" w:hAnsi="Symbol" w:cs="Symbol" w:hint="default"/>
        <w:rFonts w:cs="Symbol"/>
      </w:rPr>
    </w:lvl>
    <w:lvl w:ilvl="7">
      <w:start w:val="1"/>
      <w:numFmt w:val="bullet"/>
      <w:lvlText w:val="o"/>
      <w:lvlJc w:val="left"/>
      <w:pPr>
        <w:ind w:left="6480" w:hanging="360"/>
      </w:pPr>
      <w:rPr>
        <w:rFonts w:ascii="Courier New" w:hAnsi="Courier New" w:cs="Courier New" w:hint="default"/>
        <w:rFonts w:cs="Courier New"/>
      </w:rPr>
    </w:lvl>
    <w:lvl w:ilvl="8">
      <w:start w:val="1"/>
      <w:numFmt w:val="bullet"/>
      <w:lvlText w:val=""/>
      <w:lvlJc w:val="left"/>
      <w:pPr>
        <w:ind w:left="7200" w:hanging="360"/>
      </w:pPr>
      <w:rPr>
        <w:rFonts w:ascii="Wingdings" w:hAnsi="Wingdings" w:cs="Wingdings" w:hint="default"/>
        <w:rFonts w:cs="Wingdings"/>
      </w:rPr>
    </w:lvl>
  </w:abstractNum>
  <w:abstractNum w:abstractNumId="19">
    <w:lvl w:ilvl="0">
      <w:start w:val="1"/>
      <w:numFmt w:val="bullet"/>
      <w:lvlText w:val=""/>
      <w:lvlJc w:val="left"/>
      <w:pPr>
        <w:ind w:left="720" w:hanging="360"/>
      </w:pPr>
      <w:rPr>
        <w:rFonts w:ascii="Symbol" w:hAnsi="Symbol" w:cs="Symbol" w:hint="default"/>
        <w:rFonts w:cs="Symbol"/>
      </w:rPr>
    </w:lvl>
    <w:lvl w:ilvl="1">
      <w:start w:val="1"/>
      <w:numFmt w:val="bullet"/>
      <w:lvlText w:val=""/>
      <w:lvlJc w:val="left"/>
      <w:pPr>
        <w:ind w:left="1440" w:hanging="360"/>
      </w:pPr>
      <w:rPr>
        <w:rFonts w:ascii="Symbol" w:hAnsi="Symbol" w:cs="Symbol" w:hint="default"/>
        <w:rFonts w:cs="Symbol"/>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0">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1">
    <w:lvl w:ilvl="0">
      <w:start w:val="1"/>
      <w:numFmt w:val="bullet"/>
      <w:lvlText w:val=""/>
      <w:lvlJc w:val="left"/>
      <w:pPr>
        <w:ind w:left="720" w:hanging="360"/>
      </w:pPr>
      <w:rPr>
        <w:rFonts w:ascii="Symbol" w:hAnsi="Symbol" w:cs="Symbol" w:hint="default"/>
        <w:rFonts w:cs="Symbol"/>
      </w:rPr>
    </w:lvl>
    <w:lvl w:ilvl="1">
      <w:start w:val="1"/>
      <w:numFmt w:val="bullet"/>
      <w:lvlText w:val=""/>
      <w:lvlJc w:val="left"/>
      <w:pPr>
        <w:ind w:left="1440" w:hanging="360"/>
      </w:pPr>
      <w:rPr>
        <w:rFonts w:ascii="Symbol" w:hAnsi="Symbol" w:cs="Symbol" w:hint="default"/>
        <w:rFonts w:cs="Symbol"/>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2">
    <w:lvl w:ilvl="0">
      <w:start w:val="1"/>
      <w:numFmt w:val="bullet"/>
      <w:lvlText w:val=""/>
      <w:lvlJc w:val="left"/>
      <w:pPr>
        <w:ind w:left="720" w:hanging="360"/>
      </w:pPr>
      <w:rPr>
        <w:rFonts w:ascii="Symbol" w:hAnsi="Symbol" w:cs="Symbol" w:hint="default"/>
        <w:rFonts w:cs="Symbol"/>
      </w:rPr>
    </w:lvl>
    <w:lvl w:ilvl="1">
      <w:start w:val="1"/>
      <w:numFmt w:val="bullet"/>
      <w:lvlText w:val=""/>
      <w:lvlJc w:val="left"/>
      <w:pPr>
        <w:ind w:left="1440" w:hanging="360"/>
      </w:pPr>
      <w:rPr>
        <w:rFonts w:ascii="Symbol" w:hAnsi="Symbol" w:cs="Symbol" w:hint="default"/>
        <w:rFonts w:cs="Symbol"/>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3">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4">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5">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6">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7">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8">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29">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0">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1">
    <w:lvl w:ilvl="0">
      <w:start w:val="1"/>
      <w:numFmt w:val="bullet"/>
      <w:lvlText w:val=""/>
      <w:lvlJc w:val="left"/>
      <w:pPr>
        <w:ind w:left="1440" w:hanging="360"/>
      </w:pPr>
      <w:rPr>
        <w:rFonts w:ascii="Symbol" w:hAnsi="Symbol" w:cs="Symbol" w:hint="default"/>
        <w:rFonts w:cs="Symbol"/>
      </w:rPr>
    </w:lvl>
    <w:lvl w:ilvl="1">
      <w:start w:val="1"/>
      <w:numFmt w:val="bullet"/>
      <w:lvlText w:val="o"/>
      <w:lvlJc w:val="left"/>
      <w:pPr>
        <w:ind w:left="2160" w:hanging="360"/>
      </w:pPr>
      <w:rPr>
        <w:rFonts w:ascii="Courier New" w:hAnsi="Courier New" w:cs="Courier New" w:hint="default"/>
        <w:rFonts w:cs="Courier New"/>
      </w:rPr>
    </w:lvl>
    <w:lvl w:ilvl="2">
      <w:start w:val="1"/>
      <w:numFmt w:val="bullet"/>
      <w:lvlText w:val=""/>
      <w:lvlJc w:val="left"/>
      <w:pPr>
        <w:ind w:left="2880" w:hanging="360"/>
      </w:pPr>
      <w:rPr>
        <w:rFonts w:ascii="Wingdings" w:hAnsi="Wingdings" w:cs="Wingdings" w:hint="default"/>
        <w:rFonts w:cs="Wingdings"/>
      </w:rPr>
    </w:lvl>
    <w:lvl w:ilvl="3">
      <w:start w:val="1"/>
      <w:numFmt w:val="bullet"/>
      <w:lvlText w:val=""/>
      <w:lvlJc w:val="left"/>
      <w:pPr>
        <w:ind w:left="3600" w:hanging="360"/>
      </w:pPr>
      <w:rPr>
        <w:rFonts w:ascii="Symbol" w:hAnsi="Symbol" w:cs="Symbol" w:hint="default"/>
        <w:rFonts w:cs="Symbol"/>
      </w:rPr>
    </w:lvl>
    <w:lvl w:ilvl="4">
      <w:start w:val="1"/>
      <w:numFmt w:val="bullet"/>
      <w:lvlText w:val="o"/>
      <w:lvlJc w:val="left"/>
      <w:pPr>
        <w:ind w:left="4320" w:hanging="360"/>
      </w:pPr>
      <w:rPr>
        <w:rFonts w:ascii="Courier New" w:hAnsi="Courier New" w:cs="Courier New" w:hint="default"/>
        <w:rFonts w:cs="Courier New"/>
      </w:rPr>
    </w:lvl>
    <w:lvl w:ilvl="5">
      <w:start w:val="1"/>
      <w:numFmt w:val="bullet"/>
      <w:lvlText w:val=""/>
      <w:lvlJc w:val="left"/>
      <w:pPr>
        <w:ind w:left="5040" w:hanging="360"/>
      </w:pPr>
      <w:rPr>
        <w:rFonts w:ascii="Wingdings" w:hAnsi="Wingdings" w:cs="Wingdings" w:hint="default"/>
        <w:rFonts w:cs="Wingdings"/>
      </w:rPr>
    </w:lvl>
    <w:lvl w:ilvl="6">
      <w:start w:val="1"/>
      <w:numFmt w:val="bullet"/>
      <w:lvlText w:val=""/>
      <w:lvlJc w:val="left"/>
      <w:pPr>
        <w:ind w:left="5760" w:hanging="360"/>
      </w:pPr>
      <w:rPr>
        <w:rFonts w:ascii="Symbol" w:hAnsi="Symbol" w:cs="Symbol" w:hint="default"/>
        <w:rFonts w:cs="Symbol"/>
      </w:rPr>
    </w:lvl>
    <w:lvl w:ilvl="7">
      <w:start w:val="1"/>
      <w:numFmt w:val="bullet"/>
      <w:lvlText w:val="o"/>
      <w:lvlJc w:val="left"/>
      <w:pPr>
        <w:ind w:left="6480" w:hanging="360"/>
      </w:pPr>
      <w:rPr>
        <w:rFonts w:ascii="Courier New" w:hAnsi="Courier New" w:cs="Courier New" w:hint="default"/>
        <w:rFonts w:cs="Courier New"/>
      </w:rPr>
    </w:lvl>
    <w:lvl w:ilvl="8">
      <w:start w:val="1"/>
      <w:numFmt w:val="bullet"/>
      <w:lvlText w:val=""/>
      <w:lvlJc w:val="left"/>
      <w:pPr>
        <w:ind w:left="7200" w:hanging="360"/>
      </w:pPr>
      <w:rPr>
        <w:rFonts w:ascii="Wingdings" w:hAnsi="Wingdings" w:cs="Wingdings" w:hint="default"/>
        <w:rFonts w:cs="Wingdings"/>
      </w:rPr>
    </w:lvl>
  </w:abstractNum>
  <w:abstractNum w:abstractNumId="32">
    <w:lvl w:ilvl="0">
      <w:start w:val="1"/>
      <w:numFmt w:val="bullet"/>
      <w:lvlText w:val=""/>
      <w:lvlJc w:val="left"/>
      <w:pPr>
        <w:ind w:left="1080" w:hanging="360"/>
      </w:pPr>
      <w:rPr>
        <w:rFonts w:ascii="Symbol" w:hAnsi="Symbol" w:cs="Symbol" w:hint="default"/>
        <w:rFonts w:cs="Symbol"/>
      </w:rPr>
    </w:lvl>
    <w:lvl w:ilvl="1">
      <w:start w:val="1"/>
      <w:numFmt w:val="bullet"/>
      <w:lvlText w:val="o"/>
      <w:lvlJc w:val="left"/>
      <w:pPr>
        <w:ind w:left="1800" w:hanging="360"/>
      </w:pPr>
      <w:rPr>
        <w:rFonts w:ascii="Courier New" w:hAnsi="Courier New" w:cs="Courier New" w:hint="default"/>
        <w:rFonts w:cs="Courier New"/>
      </w:rPr>
    </w:lvl>
    <w:lvl w:ilvl="2">
      <w:start w:val="1"/>
      <w:numFmt w:val="bullet"/>
      <w:lvlText w:val=""/>
      <w:lvlJc w:val="left"/>
      <w:pPr>
        <w:ind w:left="2520" w:hanging="360"/>
      </w:pPr>
      <w:rPr>
        <w:rFonts w:ascii="Wingdings" w:hAnsi="Wingdings" w:cs="Wingdings" w:hint="default"/>
        <w:rFonts w:cs="Wingdings"/>
      </w:rPr>
    </w:lvl>
    <w:lvl w:ilvl="3">
      <w:start w:val="1"/>
      <w:numFmt w:val="bullet"/>
      <w:lvlText w:val=""/>
      <w:lvlJc w:val="left"/>
      <w:pPr>
        <w:ind w:left="3240" w:hanging="360"/>
      </w:pPr>
      <w:rPr>
        <w:rFonts w:ascii="Symbol" w:hAnsi="Symbol" w:cs="Symbol" w:hint="default"/>
        <w:rFonts w:cs="Symbol"/>
      </w:rPr>
    </w:lvl>
    <w:lvl w:ilvl="4">
      <w:start w:val="1"/>
      <w:numFmt w:val="bullet"/>
      <w:lvlText w:val="o"/>
      <w:lvlJc w:val="left"/>
      <w:pPr>
        <w:ind w:left="3960" w:hanging="360"/>
      </w:pPr>
      <w:rPr>
        <w:rFonts w:ascii="Courier New" w:hAnsi="Courier New" w:cs="Courier New" w:hint="default"/>
        <w:rFonts w:cs="Courier New"/>
      </w:rPr>
    </w:lvl>
    <w:lvl w:ilvl="5">
      <w:start w:val="1"/>
      <w:numFmt w:val="bullet"/>
      <w:lvlText w:val=""/>
      <w:lvlJc w:val="left"/>
      <w:pPr>
        <w:ind w:left="4680" w:hanging="360"/>
      </w:pPr>
      <w:rPr>
        <w:rFonts w:ascii="Wingdings" w:hAnsi="Wingdings" w:cs="Wingdings" w:hint="default"/>
        <w:rFonts w:cs="Wingdings"/>
      </w:rPr>
    </w:lvl>
    <w:lvl w:ilvl="6">
      <w:start w:val="1"/>
      <w:numFmt w:val="bullet"/>
      <w:lvlText w:val=""/>
      <w:lvlJc w:val="left"/>
      <w:pPr>
        <w:ind w:left="5400" w:hanging="360"/>
      </w:pPr>
      <w:rPr>
        <w:rFonts w:ascii="Symbol" w:hAnsi="Symbol" w:cs="Symbol" w:hint="default"/>
        <w:rFonts w:cs="Symbol"/>
      </w:rPr>
    </w:lvl>
    <w:lvl w:ilvl="7">
      <w:start w:val="1"/>
      <w:numFmt w:val="bullet"/>
      <w:lvlText w:val="o"/>
      <w:lvlJc w:val="left"/>
      <w:pPr>
        <w:ind w:left="6120" w:hanging="360"/>
      </w:pPr>
      <w:rPr>
        <w:rFonts w:ascii="Courier New" w:hAnsi="Courier New" w:cs="Courier New" w:hint="default"/>
        <w:rFonts w:cs="Courier New"/>
      </w:rPr>
    </w:lvl>
    <w:lvl w:ilvl="8">
      <w:start w:val="1"/>
      <w:numFmt w:val="bullet"/>
      <w:lvlText w:val=""/>
      <w:lvlJc w:val="left"/>
      <w:pPr>
        <w:ind w:left="6840" w:hanging="360"/>
      </w:pPr>
      <w:rPr>
        <w:rFonts w:ascii="Wingdings" w:hAnsi="Wingdings" w:cs="Wingdings" w:hint="default"/>
        <w:rFonts w:cs="Wingdings"/>
      </w:rPr>
    </w:lvl>
  </w:abstractNum>
  <w:abstractNum w:abstractNumId="33">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4">
    <w:lvl w:ilvl="0">
      <w:start w:val="1"/>
      <w:numFmt w:val="bullet"/>
      <w:lvlText w:val="-"/>
      <w:lvlJc w:val="left"/>
      <w:pPr>
        <w:ind w:left="360" w:hanging="360"/>
      </w:pPr>
      <w:rPr>
        <w:rFonts w:ascii="OpenSymbol" w:hAnsi="OpenSymbol" w:cs="OpenSymbol" w:hint="default"/>
        <w:rFont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5">
    <w:lvl w:ilvl="0">
      <w:start w:val="218"/>
      <w:numFmt w:val="bullet"/>
      <w:lvlText w:val="-"/>
      <w:lvlJc w:val="left"/>
      <w:pPr>
        <w:tabs>
          <w:tab w:val="num" w:pos="1080"/>
        </w:tabs>
        <w:ind w:left="1080" w:hanging="360"/>
      </w:pPr>
      <w:rPr>
        <w:rFonts w:ascii="OpenSymbol" w:hAnsi="OpenSymbol" w:cs="OpenSymbol" w:hint="default"/>
        <w:rFonts w:cs="OpenSymbol"/>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6">
    <w:lvl w:ilvl="0">
      <w:start w:val="13"/>
      <w:numFmt w:val="bullet"/>
      <w:lvlText w:val="-"/>
      <w:lvlJc w:val="left"/>
      <w:pPr>
        <w:ind w:left="720" w:hanging="360"/>
      </w:pPr>
      <w:rPr>
        <w:rFonts w:ascii="Calibri" w:hAnsi="Calibri" w:cs="Calibri" w:hint="default"/>
        <w:rFonts w:cs="Aria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7">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lvl w:ilvl="0">
      <w:start w:val="1"/>
      <w:numFmt w:val="bullet"/>
      <w:lvlText w:val="-"/>
      <w:lvlJc w:val="left"/>
      <w:pPr>
        <w:ind w:left="720" w:hanging="360"/>
      </w:pPr>
      <w:rPr>
        <w:rFonts w:ascii="Century Gothic" w:hAnsi="Century Gothic" w:cs="Century Gothic" w:hint="default"/>
        <w:rFonts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lvl w:ilvl="0">
      <w:start w:val="1"/>
      <w:numFmt w:val="bullet"/>
      <w:lvlText w:val="-"/>
      <w:lvlJc w:val="left"/>
      <w:pPr>
        <w:tabs>
          <w:tab w:val="num" w:pos="720"/>
        </w:tabs>
        <w:ind w:left="720" w:hanging="360"/>
      </w:pPr>
      <w:rPr>
        <w:rFonts w:ascii="Century Gothic" w:hAnsi="Century Gothic" w:cs="Century Gothic" w:hint="default"/>
        <w:sz w:val="20"/>
        <w:rFonts w:cs="Arial"/>
      </w:rPr>
    </w:lvl>
    <w:lvl w:ilvl="1">
      <w:start w:val="1"/>
      <w:numFmt w:val="bullet"/>
      <w:lvlText w:val=""/>
      <w:lvlJc w:val="left"/>
      <w:pPr>
        <w:tabs>
          <w:tab w:val="num" w:pos="1440"/>
        </w:tabs>
        <w:ind w:left="1440" w:hanging="360"/>
      </w:pPr>
      <w:rPr>
        <w:rFonts w:ascii="Symbol" w:hAnsi="Symbol" w:cs="Symbol" w:hint="default"/>
        <w:sz w:val="20"/>
        <w:rFonts w:cs="Symbol"/>
      </w:rPr>
    </w:lvl>
    <w:lvl w:ilvl="2">
      <w:start w:val="1"/>
      <w:numFmt w:val="bullet"/>
      <w:lvlText w:val=""/>
      <w:lvlJc w:val="left"/>
      <w:pPr>
        <w:tabs>
          <w:tab w:val="num" w:pos="2160"/>
        </w:tabs>
        <w:ind w:left="2160" w:hanging="360"/>
      </w:pPr>
      <w:rPr>
        <w:rFonts w:ascii="Symbol" w:hAnsi="Symbol" w:cs="Symbol" w:hint="default"/>
        <w:sz w:val="20"/>
        <w:rFonts w:cs="Symbol"/>
      </w:rPr>
    </w:lvl>
    <w:lvl w:ilvl="3">
      <w:start w:val="1"/>
      <w:numFmt w:val="bullet"/>
      <w:lvlText w:val=""/>
      <w:lvlJc w:val="left"/>
      <w:pPr>
        <w:tabs>
          <w:tab w:val="num" w:pos="2880"/>
        </w:tabs>
        <w:ind w:left="2880" w:hanging="360"/>
      </w:pPr>
      <w:rPr>
        <w:rFonts w:ascii="Symbol" w:hAnsi="Symbol" w:cs="Symbol" w:hint="default"/>
        <w:sz w:val="20"/>
        <w:rFonts w:cs="Symbol"/>
      </w:rPr>
    </w:lvl>
    <w:lvl w:ilvl="4">
      <w:start w:val="1"/>
      <w:numFmt w:val="bullet"/>
      <w:lvlText w:val=""/>
      <w:lvlJc w:val="left"/>
      <w:pPr>
        <w:tabs>
          <w:tab w:val="num" w:pos="3600"/>
        </w:tabs>
        <w:ind w:left="3600" w:hanging="360"/>
      </w:pPr>
      <w:rPr>
        <w:rFonts w:ascii="Symbol" w:hAnsi="Symbol" w:cs="Symbol" w:hint="default"/>
        <w:sz w:val="20"/>
        <w:rFonts w:cs="Symbol"/>
      </w:rPr>
    </w:lvl>
    <w:lvl w:ilvl="5">
      <w:start w:val="1"/>
      <w:numFmt w:val="bullet"/>
      <w:lvlText w:val=""/>
      <w:lvlJc w:val="left"/>
      <w:pPr>
        <w:tabs>
          <w:tab w:val="num" w:pos="4320"/>
        </w:tabs>
        <w:ind w:left="4320" w:hanging="360"/>
      </w:pPr>
      <w:rPr>
        <w:rFonts w:ascii="Symbol" w:hAnsi="Symbol" w:cs="Symbol" w:hint="default"/>
        <w:sz w:val="20"/>
        <w:rFonts w:cs="Symbol"/>
      </w:rPr>
    </w:lvl>
    <w:lvl w:ilvl="6">
      <w:start w:val="1"/>
      <w:numFmt w:val="bullet"/>
      <w:lvlText w:val=""/>
      <w:lvlJc w:val="left"/>
      <w:pPr>
        <w:tabs>
          <w:tab w:val="num" w:pos="5040"/>
        </w:tabs>
        <w:ind w:left="5040" w:hanging="360"/>
      </w:pPr>
      <w:rPr>
        <w:rFonts w:ascii="Symbol" w:hAnsi="Symbol" w:cs="Symbol" w:hint="default"/>
        <w:sz w:val="20"/>
        <w:rFonts w:cs="Symbol"/>
      </w:rPr>
    </w:lvl>
    <w:lvl w:ilvl="7">
      <w:start w:val="1"/>
      <w:numFmt w:val="bullet"/>
      <w:lvlText w:val=""/>
      <w:lvlJc w:val="left"/>
      <w:pPr>
        <w:tabs>
          <w:tab w:val="num" w:pos="5760"/>
        </w:tabs>
        <w:ind w:left="5760" w:hanging="360"/>
      </w:pPr>
      <w:rPr>
        <w:rFonts w:ascii="Symbol" w:hAnsi="Symbol" w:cs="Symbol" w:hint="default"/>
        <w:sz w:val="20"/>
        <w:rFonts w:cs="Symbol"/>
      </w:rPr>
    </w:lvl>
    <w:lvl w:ilvl="8">
      <w:start w:val="1"/>
      <w:numFmt w:val="bullet"/>
      <w:lvlText w:val=""/>
      <w:lvlJc w:val="left"/>
      <w:pPr>
        <w:tabs>
          <w:tab w:val="num" w:pos="6480"/>
        </w:tabs>
        <w:ind w:left="6480" w:hanging="360"/>
      </w:pPr>
      <w:rPr>
        <w:rFonts w:ascii="Symbol" w:hAnsi="Symbol" w:cs="Symbol" w:hint="default"/>
        <w:sz w:val="20"/>
        <w:rFonts w:cs="Symbol"/>
      </w:rPr>
    </w:lvl>
  </w:abstractNum>
  <w:abstractNum w:abstractNumId="43">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4">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5">
    <w:lvl w:ilvl="0">
      <w:start w:val="11"/>
      <w:numFmt w:val="bullet"/>
      <w:lvlText w:val="-"/>
      <w:lvlJc w:val="left"/>
      <w:pPr>
        <w:ind w:left="720" w:hanging="360"/>
      </w:pPr>
      <w:rPr>
        <w:rFonts w:ascii="Calibri" w:hAnsi="Calibri" w:cs="Calibri" w:hint="default"/>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6">
    <w:lvl w:ilvl="0">
      <w:start w:val="11"/>
      <w:numFmt w:val="bullet"/>
      <w:lvlText w:val="-"/>
      <w:lvlJc w:val="left"/>
      <w:pPr>
        <w:ind w:left="720" w:hanging="360"/>
      </w:pPr>
      <w:rPr>
        <w:rFonts w:ascii="Calibri" w:hAnsi="Calibri" w:cs="Calibri" w:hint="default"/>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7">
    <w:lvl w:ilvl="0">
      <w:start w:val="11"/>
      <w:numFmt w:val="bullet"/>
      <w:lvlText w:val="-"/>
      <w:lvlJc w:val="left"/>
      <w:pPr>
        <w:ind w:left="720" w:hanging="360"/>
      </w:pPr>
      <w:rPr>
        <w:rFonts w:ascii="Calibri" w:hAnsi="Calibri" w:cs="Calibri" w:hint="default"/>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8">
    <w:lvl w:ilvl="0">
      <w:start w:val="11"/>
      <w:numFmt w:val="bullet"/>
      <w:lvlText w:val="-"/>
      <w:lvlJc w:val="left"/>
      <w:pPr>
        <w:ind w:left="720" w:hanging="360"/>
      </w:pPr>
      <w:rPr>
        <w:rFonts w:ascii="Calibri" w:hAnsi="Calibri" w:cs="Calibri" w:hint="default"/>
        <w:rFonts w:cs="Times New Roman"/>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49">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0">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1">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2">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3">
    <w:lvl w:ilvl="0">
      <w:start w:val="1"/>
      <w:numFmt w:val="bullet"/>
      <w:lvlText w:val=""/>
      <w:lvlJc w:val="left"/>
      <w:pPr>
        <w:ind w:left="720" w:hanging="360"/>
      </w:pPr>
      <w:rPr>
        <w:rFonts w:ascii="Symbol" w:hAnsi="Symbol" w:cs="Symbol" w:hint="default"/>
        <w:rFonts w:cs="Symbol"/>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abstractNum w:abstractNumId="54">
    <w:lvl w:ilvl="0">
      <w:start w:val="1"/>
      <w:numFmt w:val="decimal"/>
      <w:lvlText w:val="%1."/>
      <w:lvlJc w:val="left"/>
      <w:pPr>
        <w:ind w:left="720" w:hanging="360"/>
      </w:pPr>
      <w:rPr>
        <w:u w:val="none"/>
        <w:rFonts w:eastAsia="Calibri"/>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w="http://schemas.openxmlformats.org/wordprocessingml/2006/main">
  <w:zoom w:percent="100"/>
  <w:defaultTabStop w:val="708"/>
  <w:autoHyphenation w:val="true"/>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hyphenationZone w:val="425"/>
  <w:themeFontLang w:val="hr-HR" w:eastAsia=""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Arial" w:asciiTheme="minorHAnsi" w:cstheme="minorBidi" w:eastAsiaTheme="minorHAnsi" w:hAnsiTheme="minorHAnsi"/>
        <w:szCs w:val="22"/>
        <w:lang w:val="hr-HR"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0" w:semiHidden="1" w:unhideWhenUsed="1"/>
    <w:lsdException w:name="List 2" w:semiHidden="1" w:unhideWhenUsed="1"/>
    <w:lsdException w:name="List 3" w:semiHidden="1" w:unhideWhenUsed="1"/>
    <w:lsdException w:name="List 4" w:uiPriority="0" w:semiHidden="1" w:unhideWhenUsed="1"/>
    <w:lsdException w:name="List 5" w:uiPriority="0"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uiPriority="0" w:semiHidden="1" w:unhideWhenUsed="1"/>
    <w:lsdException w:name="Date" w:uiPriority="0" w:semiHidden="1" w:unhideWhenUsed="1"/>
    <w:lsdException w:name="Body Text First Indent" w:uiPriority="0"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0"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23777d"/>
    <w:pPr>
      <w:widowControl/>
      <w:suppressAutoHyphens w:val="true"/>
      <w:bidi w:val="0"/>
      <w:spacing w:lineRule="auto" w:line="276" w:before="80" w:after="160"/>
      <w:jc w:val="both"/>
    </w:pPr>
    <w:rPr>
      <w:rFonts w:ascii="Arial" w:hAnsi="Arial" w:eastAsia="Times New Roman" w:cs="Arial"/>
      <w:color w:val="000000" w:themeColor="text1"/>
      <w:kern w:val="0"/>
      <w:sz w:val="22"/>
      <w:szCs w:val="24"/>
      <w:lang w:val="hr-HR" w:eastAsia="en-US" w:bidi="ar-SA"/>
    </w:rPr>
  </w:style>
  <w:style w:type="paragraph" w:styleId="Stilnaslova1">
    <w:name w:val="Heading 1"/>
    <w:basedOn w:val="Normal"/>
    <w:next w:val="Normal"/>
    <w:link w:val="Heading1Char"/>
    <w:autoRedefine/>
    <w:qFormat/>
    <w:rsid w:val="00ce21aa"/>
    <w:pPr>
      <w:keepNext w:val="true"/>
      <w:keepLines/>
      <w:numPr>
        <w:ilvl w:val="0"/>
        <w:numId w:val="1"/>
      </w:numPr>
      <w:spacing w:before="240" w:after="160"/>
      <w:outlineLvl w:val="0"/>
    </w:pPr>
    <w:rPr>
      <w:rFonts w:eastAsia="" w:eastAsiaTheme="majorEastAsia"/>
      <w:b/>
      <w:color w:val="54883D"/>
      <w:sz w:val="32"/>
      <w:szCs w:val="32"/>
    </w:rPr>
  </w:style>
  <w:style w:type="paragraph" w:styleId="Stilnaslova2">
    <w:name w:val="Heading 2"/>
    <w:basedOn w:val="Normal"/>
    <w:next w:val="Normal"/>
    <w:link w:val="Heading2Char"/>
    <w:autoRedefine/>
    <w:qFormat/>
    <w:rsid w:val="00b85fff"/>
    <w:pPr>
      <w:keepNext w:val="true"/>
      <w:numPr>
        <w:ilvl w:val="1"/>
        <w:numId w:val="1"/>
      </w:numPr>
      <w:outlineLvl w:val="1"/>
    </w:pPr>
    <w:rPr>
      <w:bCs/>
      <w:color w:val="54883D"/>
      <w:sz w:val="32"/>
    </w:rPr>
  </w:style>
  <w:style w:type="paragraph" w:styleId="Stilnaslova3">
    <w:name w:val="Heading 3"/>
    <w:basedOn w:val="Normal"/>
    <w:next w:val="Normal"/>
    <w:link w:val="Heading3Char"/>
    <w:autoRedefine/>
    <w:qFormat/>
    <w:rsid w:val="00af051d"/>
    <w:pPr>
      <w:keepNext w:val="true"/>
      <w:keepLines/>
      <w:numPr>
        <w:ilvl w:val="2"/>
        <w:numId w:val="1"/>
      </w:numPr>
      <w:spacing w:before="40" w:after="160"/>
      <w:ind w:left="709" w:hanging="721"/>
      <w:outlineLvl w:val="2"/>
    </w:pPr>
    <w:rPr>
      <w:rFonts w:cs="Times New Roman" w:cstheme="majorBidi"/>
      <w:color w:val="54883D"/>
      <w:sz w:val="28"/>
      <w:lang w:bidi="en-US"/>
    </w:rPr>
  </w:style>
  <w:style w:type="paragraph" w:styleId="Stilnaslova4">
    <w:name w:val="Heading 4"/>
    <w:basedOn w:val="Normal"/>
    <w:next w:val="Normal"/>
    <w:link w:val="Heading4Char"/>
    <w:autoRedefine/>
    <w:qFormat/>
    <w:rsid w:val="00777b54"/>
    <w:pPr>
      <w:keepNext w:val="true"/>
      <w:keepLines/>
      <w:numPr>
        <w:ilvl w:val="3"/>
        <w:numId w:val="1"/>
      </w:numPr>
      <w:spacing w:before="40" w:after="160"/>
      <w:outlineLvl w:val="3"/>
    </w:pPr>
    <w:rPr>
      <w:rFonts w:eastAsia="" w:cs="Times New Roman" w:cstheme="majorBidi" w:eastAsiaTheme="majorEastAsia"/>
      <w:i/>
      <w:iCs/>
      <w:color w:val="54883D"/>
    </w:rPr>
  </w:style>
  <w:style w:type="paragraph" w:styleId="Stilnaslova5">
    <w:name w:val="Heading 5"/>
    <w:basedOn w:val="Normal"/>
    <w:next w:val="Normal"/>
    <w:link w:val="Heading5Char"/>
    <w:autoRedefine/>
    <w:qFormat/>
    <w:rsid w:val="00e23981"/>
    <w:pPr>
      <w:keepNext w:val="true"/>
      <w:keepLines/>
      <w:numPr>
        <w:ilvl w:val="4"/>
        <w:numId w:val="1"/>
      </w:numPr>
      <w:spacing w:before="40" w:after="160"/>
      <w:outlineLvl w:val="4"/>
    </w:pPr>
    <w:rPr>
      <w:rFonts w:eastAsia="" w:cs="Times New Roman" w:cstheme="majorBidi" w:eastAsiaTheme="majorEastAsia"/>
      <w:color w:val="54883D"/>
    </w:rPr>
  </w:style>
  <w:style w:type="paragraph" w:styleId="Stilnaslova6">
    <w:name w:val="Heading 6"/>
    <w:basedOn w:val="Normal"/>
    <w:next w:val="Normal"/>
    <w:link w:val="Heading6Char"/>
    <w:autoRedefine/>
    <w:qFormat/>
    <w:rsid w:val="00e23981"/>
    <w:pPr>
      <w:keepNext w:val="true"/>
      <w:keepLines/>
      <w:numPr>
        <w:ilvl w:val="5"/>
        <w:numId w:val="1"/>
      </w:numPr>
      <w:spacing w:before="40" w:after="160"/>
      <w:outlineLvl w:val="5"/>
    </w:pPr>
    <w:rPr>
      <w:rFonts w:eastAsia="" w:cs="Times New Roman" w:cstheme="majorBidi" w:eastAsiaTheme="majorEastAsia"/>
      <w:color w:val="54883D"/>
    </w:rPr>
  </w:style>
  <w:style w:type="paragraph" w:styleId="Stilnaslova7">
    <w:name w:val="Heading 7"/>
    <w:basedOn w:val="Normal"/>
    <w:next w:val="Normal"/>
    <w:link w:val="Heading7Char"/>
    <w:autoRedefine/>
    <w:unhideWhenUsed/>
    <w:qFormat/>
    <w:rsid w:val="00e23981"/>
    <w:pPr>
      <w:keepNext w:val="true"/>
      <w:keepLines/>
      <w:numPr>
        <w:ilvl w:val="6"/>
        <w:numId w:val="1"/>
      </w:numPr>
      <w:spacing w:before="40" w:after="160"/>
      <w:outlineLvl w:val="6"/>
    </w:pPr>
    <w:rPr>
      <w:rFonts w:eastAsia="" w:cs="Times New Roman" w:cstheme="majorBidi" w:eastAsiaTheme="majorEastAsia"/>
      <w:i/>
      <w:iCs/>
      <w:color w:val="54883D"/>
    </w:rPr>
  </w:style>
  <w:style w:type="paragraph" w:styleId="Stilnaslova8">
    <w:name w:val="Heading 8"/>
    <w:basedOn w:val="Normal"/>
    <w:next w:val="Normal"/>
    <w:link w:val="Heading8Char"/>
    <w:uiPriority w:val="9"/>
    <w:unhideWhenUsed/>
    <w:qFormat/>
    <w:rsid w:val="00c578e3"/>
    <w:pPr>
      <w:keepNext w:val="true"/>
      <w:keepLines/>
      <w:numPr>
        <w:ilvl w:val="7"/>
        <w:numId w:val="1"/>
      </w:numPr>
      <w:spacing w:before="40" w:after="0"/>
      <w:outlineLvl w:val="7"/>
    </w:pPr>
    <w:rPr>
      <w:rFonts w:ascii="Cambria" w:hAnsi="Cambria" w:eastAsia="" w:cs="Times New Roman" w:asciiTheme="majorHAnsi" w:cstheme="majorBidi" w:eastAsiaTheme="majorEastAsia" w:hAnsiTheme="majorHAnsi"/>
      <w:color w:val="272727" w:themeColor="text1" w:themeTint="d8"/>
      <w:sz w:val="21"/>
      <w:szCs w:val="21"/>
    </w:rPr>
  </w:style>
  <w:style w:type="paragraph" w:styleId="Stilnaslova9">
    <w:name w:val="Heading 9"/>
    <w:basedOn w:val="Normal"/>
    <w:next w:val="Normal"/>
    <w:link w:val="Heading9Char"/>
    <w:uiPriority w:val="9"/>
    <w:unhideWhenUsed/>
    <w:qFormat/>
    <w:rsid w:val="00c578e3"/>
    <w:pPr>
      <w:keepNext w:val="true"/>
      <w:keepLines/>
      <w:numPr>
        <w:ilvl w:val="8"/>
        <w:numId w:val="1"/>
      </w:numPr>
      <w:spacing w:before="40" w:after="0"/>
      <w:outlineLvl w:val="8"/>
    </w:pPr>
    <w:rPr>
      <w:rFonts w:ascii="Cambria" w:hAnsi="Cambria" w:eastAsia="" w:cs="Times New Roman" w:asciiTheme="majorHAnsi" w:cstheme="majorBidi" w:eastAsiaTheme="majorEastAsia" w:hAnsiTheme="majorHAnsi"/>
      <w:i/>
      <w:iCs/>
      <w:color w:val="272727" w:themeColor="text1" w:themeTint="d8"/>
      <w:sz w:val="21"/>
      <w:szCs w:val="21"/>
    </w:rPr>
  </w:style>
  <w:style w:type="character" w:styleId="DefaultParagraphFont" w:default="1">
    <w:name w:val="Default Paragraph Font"/>
    <w:uiPriority w:val="1"/>
    <w:semiHidden/>
    <w:unhideWhenUsed/>
    <w:qFormat/>
    <w:rPr/>
  </w:style>
  <w:style w:type="character" w:styleId="BalloonTextChar" w:customStyle="1">
    <w:name w:val="Balloon Text Char"/>
    <w:basedOn w:val="DefaultParagraphFont"/>
    <w:link w:val="BalloonText"/>
    <w:uiPriority w:val="99"/>
    <w:semiHidden/>
    <w:qFormat/>
    <w:rsid w:val="00e23981"/>
    <w:rPr>
      <w:rFonts w:ascii="Tahoma" w:hAnsi="Tahoma" w:eastAsia="Times New Roman" w:cs="Tahoma"/>
      <w:sz w:val="16"/>
      <w:szCs w:val="16"/>
    </w:rPr>
  </w:style>
  <w:style w:type="character" w:styleId="HeaderChar" w:customStyle="1">
    <w:name w:val="Header Char"/>
    <w:basedOn w:val="DefaultParagraphFont"/>
    <w:link w:val="Header"/>
    <w:uiPriority w:val="99"/>
    <w:qFormat/>
    <w:rsid w:val="000b54bf"/>
    <w:rPr>
      <w:rFonts w:ascii="Adviso OTF Std" w:hAnsi="Adviso OTF Std" w:eastAsia="Times New Roman" w:cs="Times New Roman"/>
      <w:color w:val="595959" w:themeColor="text1" w:themeTint="a6"/>
      <w:sz w:val="24"/>
      <w:szCs w:val="24"/>
    </w:rPr>
  </w:style>
  <w:style w:type="character" w:styleId="FooterChar" w:customStyle="1">
    <w:name w:val="Footer Char"/>
    <w:basedOn w:val="DefaultParagraphFont"/>
    <w:link w:val="Footer"/>
    <w:uiPriority w:val="99"/>
    <w:qFormat/>
    <w:rsid w:val="00e03bf5"/>
    <w:rPr>
      <w:rFonts w:ascii="Adviso OTF Std" w:hAnsi="Adviso OTF Std" w:eastAsia="Times New Roman" w:cs="Times New Roman"/>
      <w:sz w:val="24"/>
      <w:szCs w:val="24"/>
    </w:rPr>
  </w:style>
  <w:style w:type="character" w:styleId="Internetskapoveznica">
    <w:name w:val="Internetska poveznica"/>
    <w:basedOn w:val="DefaultParagraphFont"/>
    <w:uiPriority w:val="99"/>
    <w:rsid w:val="001f1d2a"/>
    <w:rPr>
      <w:rFonts w:ascii="Arial" w:hAnsi="Arial"/>
      <w:color w:val="0000FF"/>
      <w:u w:val="single"/>
    </w:rPr>
  </w:style>
  <w:style w:type="character" w:styleId="Heading1Char" w:customStyle="1">
    <w:name w:val="Heading 1 Char"/>
    <w:basedOn w:val="DefaultParagraphFont"/>
    <w:link w:val="Heading1"/>
    <w:qFormat/>
    <w:rsid w:val="00ce21aa"/>
    <w:rPr>
      <w:rFonts w:ascii="Arial" w:hAnsi="Arial" w:eastAsia="" w:cs="Arial" w:eastAsiaTheme="majorEastAsia"/>
      <w:b/>
      <w:color w:val="54883D"/>
      <w:sz w:val="32"/>
      <w:szCs w:val="32"/>
    </w:rPr>
  </w:style>
  <w:style w:type="character" w:styleId="IntenseQuoteChar" w:customStyle="1">
    <w:name w:val="Intense Quote Char"/>
    <w:basedOn w:val="DefaultParagraphFont"/>
    <w:link w:val="IntenseQuote"/>
    <w:qFormat/>
    <w:rsid w:val="00fe73e7"/>
    <w:rPr>
      <w:rFonts w:ascii="Adviso OTF Std" w:hAnsi="Adviso OTF Std" w:eastAsia="Times New Roman" w:cs="Arial"/>
      <w:i/>
      <w:iCs/>
      <w:color w:val="54883D"/>
      <w:szCs w:val="24"/>
    </w:rPr>
  </w:style>
  <w:style w:type="character" w:styleId="Heading2Char" w:customStyle="1">
    <w:name w:val="Heading 2 Char"/>
    <w:basedOn w:val="DefaultParagraphFont"/>
    <w:link w:val="Heading2"/>
    <w:qFormat/>
    <w:rsid w:val="00b85fff"/>
    <w:rPr>
      <w:rFonts w:ascii="Arial" w:hAnsi="Arial" w:eastAsia="Times New Roman" w:cs="Arial"/>
      <w:bCs/>
      <w:color w:val="54883D"/>
      <w:sz w:val="32"/>
      <w:szCs w:val="24"/>
    </w:rPr>
  </w:style>
  <w:style w:type="character" w:styleId="Heading3Char" w:customStyle="1">
    <w:name w:val="Heading 3 Char"/>
    <w:basedOn w:val="DefaultParagraphFont"/>
    <w:link w:val="Heading3"/>
    <w:qFormat/>
    <w:rsid w:val="00af051d"/>
    <w:rPr>
      <w:rFonts w:ascii="Arial" w:hAnsi="Arial" w:eastAsia="Times New Roman" w:cs="Times New Roman" w:cstheme="majorBidi"/>
      <w:color w:val="54883D"/>
      <w:sz w:val="28"/>
      <w:szCs w:val="24"/>
      <w:lang w:bidi="en-US"/>
    </w:rPr>
  </w:style>
  <w:style w:type="character" w:styleId="Strong">
    <w:name w:val="Strong"/>
    <w:basedOn w:val="DefaultParagraphFont"/>
    <w:uiPriority w:val="22"/>
    <w:qFormat/>
    <w:rsid w:val="001f1d2a"/>
    <w:rPr>
      <w:rFonts w:ascii="Arial" w:hAnsi="Arial"/>
      <w:b/>
      <w:bCs/>
    </w:rPr>
  </w:style>
  <w:style w:type="character" w:styleId="Annotationreference">
    <w:name w:val="annotation reference"/>
    <w:basedOn w:val="DefaultParagraphFont"/>
    <w:uiPriority w:val="99"/>
    <w:semiHidden/>
    <w:unhideWhenUsed/>
    <w:qFormat/>
    <w:rsid w:val="005d146b"/>
    <w:rPr>
      <w:sz w:val="16"/>
      <w:szCs w:val="16"/>
    </w:rPr>
  </w:style>
  <w:style w:type="character" w:styleId="CommentTextChar" w:customStyle="1">
    <w:name w:val="Comment Text Char"/>
    <w:basedOn w:val="DefaultParagraphFont"/>
    <w:link w:val="CommentText"/>
    <w:uiPriority w:val="99"/>
    <w:semiHidden/>
    <w:qFormat/>
    <w:rsid w:val="005d146b"/>
    <w:rPr>
      <w:sz w:val="20"/>
      <w:szCs w:val="20"/>
    </w:rPr>
  </w:style>
  <w:style w:type="character" w:styleId="CommentSubjectChar" w:customStyle="1">
    <w:name w:val="Comment Subject Char"/>
    <w:basedOn w:val="CommentTextChar"/>
    <w:link w:val="CommentSubject"/>
    <w:uiPriority w:val="99"/>
    <w:semiHidden/>
    <w:qFormat/>
    <w:rsid w:val="005d146b"/>
    <w:rPr>
      <w:b/>
      <w:bCs/>
      <w:sz w:val="20"/>
      <w:szCs w:val="20"/>
    </w:rPr>
  </w:style>
  <w:style w:type="character" w:styleId="BodyTextChar" w:customStyle="1">
    <w:name w:val="Body Text Char"/>
    <w:basedOn w:val="DefaultParagraphFont"/>
    <w:link w:val="BodyText"/>
    <w:semiHidden/>
    <w:qFormat/>
    <w:rsid w:val="00e23981"/>
    <w:rPr>
      <w:rFonts w:ascii="Adviso OTF Std" w:hAnsi="Adviso OTF Std" w:eastAsia="Times New Roman" w:cs="Times New Roman"/>
      <w:sz w:val="24"/>
      <w:szCs w:val="24"/>
    </w:rPr>
  </w:style>
  <w:style w:type="character" w:styleId="BodyTextFirstIndentChar" w:customStyle="1">
    <w:name w:val="Body Text First Indent Char"/>
    <w:basedOn w:val="BodyTextChar"/>
    <w:link w:val="BodyTextFirstIndent"/>
    <w:qFormat/>
    <w:rsid w:val="00777b54"/>
    <w:rPr>
      <w:rFonts w:ascii="Arial" w:hAnsi="Arial" w:eastAsia="Times New Roman" w:cs="Arial"/>
      <w:color w:val="000000" w:themeColor="text1"/>
      <w:sz w:val="24"/>
      <w:szCs w:val="24"/>
    </w:rPr>
  </w:style>
  <w:style w:type="character" w:styleId="BookTitle">
    <w:name w:val="Book Title"/>
    <w:basedOn w:val="DefaultParagraphFont"/>
    <w:qFormat/>
    <w:rsid w:val="00777b54"/>
    <w:rPr>
      <w:rFonts w:ascii="Arial" w:hAnsi="Arial"/>
      <w:b/>
      <w:bCs/>
      <w:i/>
      <w:iCs/>
      <w:spacing w:val="5"/>
    </w:rPr>
  </w:style>
  <w:style w:type="character" w:styleId="DateChar" w:customStyle="1">
    <w:name w:val="Date Char"/>
    <w:basedOn w:val="DefaultParagraphFont"/>
    <w:link w:val="Date"/>
    <w:qFormat/>
    <w:rsid w:val="00705d03"/>
    <w:rPr>
      <w:rFonts w:ascii="Arial" w:hAnsi="Arial" w:eastAsia="Times New Roman" w:cs="Arial"/>
      <w:color w:val="000000" w:themeColor="text1"/>
      <w:szCs w:val="24"/>
    </w:rPr>
  </w:style>
  <w:style w:type="character" w:styleId="Isticanje">
    <w:name w:val="Isticanje"/>
    <w:basedOn w:val="DefaultParagraphFont"/>
    <w:qFormat/>
    <w:rsid w:val="00777b54"/>
    <w:rPr>
      <w:rFonts w:ascii="Arial" w:hAnsi="Arial"/>
      <w:i/>
      <w:iCs/>
    </w:rPr>
  </w:style>
  <w:style w:type="character" w:styleId="Posjeenainternetskapoveznica">
    <w:name w:val="Posjećena internetska poveznica"/>
    <w:basedOn w:val="DefaultParagraphFont"/>
    <w:rsid w:val="00777b54"/>
    <w:rPr>
      <w:rFonts w:ascii="Arial" w:hAnsi="Arial"/>
      <w:color w:val="800080" w:themeColor="followedHyperlink"/>
      <w:u w:val="single"/>
    </w:rPr>
  </w:style>
  <w:style w:type="character" w:styleId="Heading4Char" w:customStyle="1">
    <w:name w:val="Heading 4 Char"/>
    <w:basedOn w:val="DefaultParagraphFont"/>
    <w:link w:val="Heading4"/>
    <w:qFormat/>
    <w:rsid w:val="00777b54"/>
    <w:rPr>
      <w:rFonts w:ascii="Arial" w:hAnsi="Arial" w:eastAsia="" w:cs="Times New Roman" w:cstheme="majorBidi" w:eastAsiaTheme="majorEastAsia"/>
      <w:i/>
      <w:iCs/>
      <w:color w:val="54883D"/>
      <w:szCs w:val="24"/>
    </w:rPr>
  </w:style>
  <w:style w:type="character" w:styleId="Heading5Char" w:customStyle="1">
    <w:name w:val="Heading 5 Char"/>
    <w:basedOn w:val="DefaultParagraphFont"/>
    <w:link w:val="Heading5"/>
    <w:qFormat/>
    <w:rsid w:val="00e23981"/>
    <w:rPr>
      <w:rFonts w:ascii="Arial" w:hAnsi="Arial" w:eastAsia="" w:cs="Times New Roman" w:cstheme="majorBidi" w:eastAsiaTheme="majorEastAsia"/>
      <w:color w:val="54883D"/>
      <w:szCs w:val="24"/>
    </w:rPr>
  </w:style>
  <w:style w:type="character" w:styleId="Heading6Char" w:customStyle="1">
    <w:name w:val="Heading 6 Char"/>
    <w:basedOn w:val="DefaultParagraphFont"/>
    <w:link w:val="Heading6"/>
    <w:qFormat/>
    <w:rsid w:val="00e23981"/>
    <w:rPr>
      <w:rFonts w:ascii="Arial" w:hAnsi="Arial" w:eastAsia="" w:cs="Times New Roman" w:cstheme="majorBidi" w:eastAsiaTheme="majorEastAsia"/>
      <w:color w:val="54883D"/>
      <w:szCs w:val="24"/>
    </w:rPr>
  </w:style>
  <w:style w:type="character" w:styleId="Heading7Char" w:customStyle="1">
    <w:name w:val="Heading 7 Char"/>
    <w:basedOn w:val="DefaultParagraphFont"/>
    <w:link w:val="Heading7"/>
    <w:qFormat/>
    <w:rsid w:val="00e23981"/>
    <w:rPr>
      <w:rFonts w:ascii="Arial" w:hAnsi="Arial" w:eastAsia="" w:cs="Times New Roman" w:cstheme="majorBidi" w:eastAsiaTheme="majorEastAsia"/>
      <w:i/>
      <w:iCs/>
      <w:color w:val="54883D"/>
      <w:szCs w:val="24"/>
    </w:rPr>
  </w:style>
  <w:style w:type="character" w:styleId="IntenseEmphasis">
    <w:name w:val="Intense Emphasis"/>
    <w:basedOn w:val="DefaultParagraphFont"/>
    <w:qFormat/>
    <w:rsid w:val="00777b54"/>
    <w:rPr>
      <w:rFonts w:ascii="Arial" w:hAnsi="Arial"/>
      <w:i/>
      <w:iCs/>
      <w:color w:val="6EAA42"/>
    </w:rPr>
  </w:style>
  <w:style w:type="character" w:styleId="IntenseReference">
    <w:name w:val="Intense Reference"/>
    <w:basedOn w:val="DefaultParagraphFont"/>
    <w:qFormat/>
    <w:rsid w:val="00777b54"/>
    <w:rPr>
      <w:rFonts w:ascii="Arial" w:hAnsi="Arial"/>
      <w:b/>
      <w:bCs/>
      <w:smallCaps/>
      <w:color w:val="6EAA42"/>
      <w:spacing w:val="5"/>
    </w:rPr>
  </w:style>
  <w:style w:type="character" w:styleId="Pagenumber">
    <w:name w:val="page number"/>
    <w:basedOn w:val="DefaultParagraphFont"/>
    <w:qFormat/>
    <w:rsid w:val="00777b54"/>
    <w:rPr>
      <w:rFonts w:ascii="Arial" w:hAnsi="Arial"/>
    </w:rPr>
  </w:style>
  <w:style w:type="character" w:styleId="PlaceholderText">
    <w:name w:val="Placeholder Text"/>
    <w:basedOn w:val="DefaultParagraphFont"/>
    <w:qFormat/>
    <w:rsid w:val="001f1d2a"/>
    <w:rPr>
      <w:rFonts w:ascii="Arial" w:hAnsi="Arial"/>
      <w:color w:val="808080"/>
    </w:rPr>
  </w:style>
  <w:style w:type="character" w:styleId="QuoteChar" w:customStyle="1">
    <w:name w:val="Quote Char"/>
    <w:basedOn w:val="DefaultParagraphFont"/>
    <w:link w:val="Quote"/>
    <w:qFormat/>
    <w:rsid w:val="00e23981"/>
    <w:rPr>
      <w:rFonts w:ascii="Adviso OTF Std" w:hAnsi="Adviso OTF Std" w:eastAsia="Times New Roman" w:cs="Times New Roman"/>
      <w:i/>
      <w:iCs/>
      <w:color w:val="404040" w:themeColor="text1" w:themeTint="bf"/>
      <w:sz w:val="24"/>
      <w:szCs w:val="24"/>
    </w:rPr>
  </w:style>
  <w:style w:type="character" w:styleId="SalutationChar" w:customStyle="1">
    <w:name w:val="Salutation Char"/>
    <w:basedOn w:val="DefaultParagraphFont"/>
    <w:link w:val="Salutation"/>
    <w:qFormat/>
    <w:rsid w:val="00e23981"/>
    <w:rPr>
      <w:rFonts w:ascii="Adviso OTF Std" w:hAnsi="Adviso OTF Std" w:eastAsia="Times New Roman" w:cs="Times New Roman"/>
      <w:sz w:val="28"/>
      <w:szCs w:val="24"/>
    </w:rPr>
  </w:style>
  <w:style w:type="character" w:styleId="SubtitleChar" w:customStyle="1">
    <w:name w:val="Subtitle Char"/>
    <w:basedOn w:val="DefaultParagraphFont"/>
    <w:link w:val="Subtitle"/>
    <w:qFormat/>
    <w:rsid w:val="00e23981"/>
    <w:rPr>
      <w:rFonts w:ascii="Adviso OTF Std" w:hAnsi="Adviso OTF Std" w:eastAsia="" w:eastAsiaTheme="minorEastAsia"/>
      <w:color w:val="5A5A5A" w:themeColor="text1" w:themeTint="a5"/>
      <w:spacing w:val="15"/>
    </w:rPr>
  </w:style>
  <w:style w:type="character" w:styleId="SubtleEmphasis">
    <w:name w:val="Subtle Emphasis"/>
    <w:basedOn w:val="DefaultParagraphFont"/>
    <w:qFormat/>
    <w:rsid w:val="001f1d2a"/>
    <w:rPr>
      <w:rFonts w:ascii="Arial" w:hAnsi="Arial"/>
      <w:i/>
      <w:iCs/>
      <w:color w:val="404040" w:themeColor="text1" w:themeTint="bf"/>
    </w:rPr>
  </w:style>
  <w:style w:type="character" w:styleId="SubtleReference">
    <w:name w:val="Subtle Reference"/>
    <w:basedOn w:val="DefaultParagraphFont"/>
    <w:uiPriority w:val="31"/>
    <w:qFormat/>
    <w:rsid w:val="001f1d2a"/>
    <w:rPr>
      <w:rFonts w:ascii="Arial" w:hAnsi="Arial"/>
      <w:smallCaps/>
      <w:color w:val="5A5A5A" w:themeColor="text1" w:themeTint="a5"/>
    </w:rPr>
  </w:style>
  <w:style w:type="character" w:styleId="TitleChar" w:customStyle="1">
    <w:name w:val="Title Char"/>
    <w:basedOn w:val="DefaultParagraphFont"/>
    <w:link w:val="Title"/>
    <w:qFormat/>
    <w:rsid w:val="00e23981"/>
    <w:rPr>
      <w:rFonts w:ascii="Adviso OTF Std" w:hAnsi="Adviso OTF Std" w:eastAsia="" w:cs="Times New Roman" w:cstheme="majorBidi" w:eastAsiaTheme="majorEastAsia"/>
      <w:spacing w:val="-10"/>
      <w:kern w:val="2"/>
      <w:sz w:val="56"/>
      <w:szCs w:val="56"/>
    </w:rPr>
  </w:style>
  <w:style w:type="character" w:styleId="Heading8Char" w:customStyle="1">
    <w:name w:val="Heading 8 Char"/>
    <w:basedOn w:val="DefaultParagraphFont"/>
    <w:link w:val="Heading8"/>
    <w:uiPriority w:val="9"/>
    <w:qFormat/>
    <w:rsid w:val="00c578e3"/>
    <w:rPr>
      <w:rFonts w:ascii="Cambria" w:hAnsi="Cambria" w:eastAsia="" w:cs="Times New Roman" w:asciiTheme="majorHAnsi" w:cstheme="majorBidi" w:eastAsiaTheme="majorEastAsia" w:hAnsiTheme="majorHAnsi"/>
      <w:color w:val="272727" w:themeColor="text1" w:themeTint="d8"/>
      <w:sz w:val="21"/>
      <w:szCs w:val="21"/>
    </w:rPr>
  </w:style>
  <w:style w:type="character" w:styleId="Heading9Char" w:customStyle="1">
    <w:name w:val="Heading 9 Char"/>
    <w:basedOn w:val="DefaultParagraphFont"/>
    <w:link w:val="Heading9"/>
    <w:uiPriority w:val="9"/>
    <w:qFormat/>
    <w:rsid w:val="00c578e3"/>
    <w:rPr>
      <w:rFonts w:ascii="Cambria" w:hAnsi="Cambria" w:eastAsia="" w:cs="Times New Roman" w:asciiTheme="majorHAnsi" w:cstheme="majorBidi" w:eastAsiaTheme="majorEastAsia" w:hAnsiTheme="majorHAnsi"/>
      <w:i/>
      <w:iCs/>
      <w:color w:val="272727" w:themeColor="text1" w:themeTint="d8"/>
      <w:sz w:val="21"/>
      <w:szCs w:val="21"/>
    </w:rPr>
  </w:style>
  <w:style w:type="character" w:styleId="FootnoteTextChar" w:customStyle="1">
    <w:name w:val="Footnote Text Char"/>
    <w:basedOn w:val="DefaultParagraphFont"/>
    <w:link w:val="FootnoteText"/>
    <w:qFormat/>
    <w:rsid w:val="00fe73e7"/>
    <w:rPr>
      <w:rFonts w:ascii="Adviso OTF Std" w:hAnsi="Adviso OTF Std" w:eastAsia="Times New Roman" w:cs="Arial"/>
      <w:color w:val="000000" w:themeColor="text1"/>
      <w:sz w:val="20"/>
      <w:szCs w:val="20"/>
    </w:rPr>
  </w:style>
  <w:style w:type="character" w:styleId="Sidrofusnote">
    <w:name w:val="Sidro fusnote"/>
    <w:rPr>
      <w:vertAlign w:val="superscript"/>
    </w:rPr>
  </w:style>
  <w:style w:type="character" w:styleId="FootnoteCharacters">
    <w:name w:val="Footnote Characters"/>
    <w:basedOn w:val="DefaultParagraphFont"/>
    <w:unhideWhenUsed/>
    <w:qFormat/>
    <w:rsid w:val="00fe73e7"/>
    <w:rPr>
      <w:vertAlign w:val="superscript"/>
    </w:rPr>
  </w:style>
  <w:style w:type="character" w:styleId="BodyText2Char" w:customStyle="1">
    <w:name w:val="Body Text 2 Char"/>
    <w:basedOn w:val="DefaultParagraphFont"/>
    <w:link w:val="BodyText2"/>
    <w:uiPriority w:val="99"/>
    <w:qFormat/>
    <w:rsid w:val="004464ca"/>
    <w:rPr>
      <w:rFonts w:ascii="Arial" w:hAnsi="Arial" w:eastAsia="Times New Roman" w:cs="Arial"/>
      <w:color w:val="000000" w:themeColor="text1"/>
      <w:szCs w:val="24"/>
    </w:rPr>
  </w:style>
  <w:style w:type="character" w:styleId="Appleconvertedspace" w:customStyle="1">
    <w:name w:val="apple-converted-space"/>
    <w:basedOn w:val="DefaultParagraphFont"/>
    <w:qFormat/>
    <w:rsid w:val="006551aa"/>
    <w:rPr/>
  </w:style>
  <w:style w:type="character" w:styleId="Nerijeenospominjanje1" w:customStyle="1">
    <w:name w:val="Neriješeno spominjanje1"/>
    <w:basedOn w:val="DefaultParagraphFont"/>
    <w:uiPriority w:val="99"/>
    <w:semiHidden/>
    <w:unhideWhenUsed/>
    <w:qFormat/>
    <w:rsid w:val="00553afa"/>
    <w:rPr>
      <w:color w:val="808080"/>
      <w:shd w:fill="E6E6E6" w:val="clear"/>
    </w:rPr>
  </w:style>
  <w:style w:type="character" w:styleId="ListParagraphChar" w:customStyle="1">
    <w:name w:val="List Paragraph Char"/>
    <w:link w:val="ListParagraph"/>
    <w:uiPriority w:val="34"/>
    <w:qFormat/>
    <w:locked/>
    <w:rsid w:val="00f940bf"/>
    <w:rPr>
      <w:rFonts w:ascii="Arial" w:hAnsi="Arial" w:eastAsia="Times New Roman" w:cs="Arial"/>
      <w:color w:val="000000" w:themeColor="text1"/>
      <w:lang w:eastAsia="hr-HR"/>
    </w:rPr>
  </w:style>
  <w:style w:type="character" w:styleId="NoSpacingChar" w:customStyle="1">
    <w:name w:val="No Spacing Char"/>
    <w:link w:val="NoSpacing"/>
    <w:uiPriority w:val="1"/>
    <w:qFormat/>
    <w:locked/>
    <w:rsid w:val="003c2252"/>
    <w:rPr>
      <w:rFonts w:ascii="Arial" w:hAnsi="Arial" w:eastAsia="Times New Roman" w:cs="Times New Roman"/>
      <w:sz w:val="24"/>
      <w:szCs w:val="24"/>
    </w:rPr>
  </w:style>
  <w:style w:type="character" w:styleId="Stil1Char" w:customStyle="1">
    <w:name w:val="Stil1 Char"/>
    <w:basedOn w:val="DefaultParagraphFont"/>
    <w:link w:val="Stil1"/>
    <w:qFormat/>
    <w:rsid w:val="006266e6"/>
    <w:rPr>
      <w:rFonts w:ascii="Arial" w:hAnsi="Arial" w:eastAsia="Times New Roman" w:cs="Times New Roman" w:cstheme="majorBidi"/>
      <w:color w:val="54883D"/>
      <w:sz w:val="28"/>
      <w:szCs w:val="24"/>
      <w:lang w:bidi="en-US"/>
    </w:rPr>
  </w:style>
  <w:style w:type="character" w:styleId="UnresolvedMention" w:customStyle="1">
    <w:name w:val="Unresolved Mention"/>
    <w:basedOn w:val="DefaultParagraphFont"/>
    <w:uiPriority w:val="99"/>
    <w:semiHidden/>
    <w:unhideWhenUsed/>
    <w:qFormat/>
    <w:rsid w:val="00927efa"/>
    <w:rPr>
      <w:color w:val="605E5C"/>
      <w:shd w:fill="E1DFDD" w:val="clear"/>
    </w:rPr>
  </w:style>
  <w:style w:type="character" w:styleId="ObicnitekstChar" w:customStyle="1">
    <w:name w:val="Obicni tekst Char"/>
    <w:link w:val="Obicnitekst"/>
    <w:qFormat/>
    <w:rsid w:val="00d552be"/>
    <w:rPr>
      <w:rFonts w:ascii="Arial" w:hAnsi="Arial" w:eastAsia="Times New Roman" w:cs="Times New Roman"/>
      <w:sz w:val="24"/>
      <w:szCs w:val="20"/>
      <w:lang w:eastAsia="hr-HR"/>
    </w:rPr>
  </w:style>
  <w:style w:type="character" w:styleId="PlainTextChar" w:customStyle="1">
    <w:name w:val="Plain Text Char"/>
    <w:basedOn w:val="DefaultParagraphFont"/>
    <w:link w:val="PlainText"/>
    <w:uiPriority w:val="99"/>
    <w:semiHidden/>
    <w:qFormat/>
    <w:rsid w:val="002d62b2"/>
    <w:rPr>
      <w:rFonts w:ascii="Consolas" w:hAnsi="Consolas" w:eastAsia="Times New Roman" w:cs="Arial"/>
      <w:color w:val="000000" w:themeColor="text1"/>
      <w:sz w:val="21"/>
      <w:szCs w:val="21"/>
    </w:rPr>
  </w:style>
  <w:style w:type="character" w:styleId="Indeksnapoveznica">
    <w:name w:val="Indeksna poveznica"/>
    <w:qFormat/>
    <w:rPr/>
  </w:style>
  <w:style w:type="character" w:styleId="Znakovifusnota">
    <w:name w:val="Znakovi fusnota"/>
    <w:qFormat/>
    <w:rPr/>
  </w:style>
  <w:style w:type="character" w:styleId="Jakoisticanje">
    <w:name w:val="Jako isticanje"/>
    <w:qFormat/>
    <w:rPr>
      <w:b/>
      <w:bCs/>
    </w:rPr>
  </w:style>
  <w:style w:type="character" w:styleId="Sidrozavrnebiljeke">
    <w:name w:val="Sidro završne bilješke"/>
    <w:rPr>
      <w:vertAlign w:val="superscript"/>
    </w:rPr>
  </w:style>
  <w:style w:type="character" w:styleId="Znakovizavrnihbiljeki">
    <w:name w:val="Znakovi završnih bilješki"/>
    <w:qFormat/>
    <w:rPr/>
  </w:style>
  <w:style w:type="paragraph" w:styleId="Stilnaslova">
    <w:name w:val="Stil naslova"/>
    <w:basedOn w:val="Normal"/>
    <w:next w:val="Tijeloteksta"/>
    <w:qFormat/>
    <w:pPr>
      <w:keepNext w:val="true"/>
      <w:spacing w:before="240" w:after="120"/>
    </w:pPr>
    <w:rPr>
      <w:rFonts w:ascii="Liberation Sans" w:hAnsi="Liberation Sans" w:eastAsia="Microsoft YaHei" w:cs="Arial"/>
      <w:sz w:val="28"/>
      <w:szCs w:val="28"/>
    </w:rPr>
  </w:style>
  <w:style w:type="paragraph" w:styleId="Tijeloteksta">
    <w:name w:val="Body Text"/>
    <w:basedOn w:val="Normal"/>
    <w:link w:val="BodyTextChar"/>
    <w:semiHidden/>
    <w:unhideWhenUsed/>
    <w:rsid w:val="00e23981"/>
    <w:pPr>
      <w:spacing w:before="80" w:after="120"/>
    </w:pPr>
    <w:rPr/>
  </w:style>
  <w:style w:type="paragraph" w:styleId="Popis">
    <w:name w:val="List"/>
    <w:basedOn w:val="Tijeloteksta"/>
    <w:pPr/>
    <w:rPr>
      <w:rFonts w:cs="Arial"/>
    </w:rPr>
  </w:style>
  <w:style w:type="paragraph" w:styleId="Opiselementa">
    <w:name w:val="Caption"/>
    <w:basedOn w:val="Normal"/>
    <w:qFormat/>
    <w:pPr>
      <w:suppressLineNumbers/>
      <w:spacing w:before="120" w:after="120"/>
    </w:pPr>
    <w:rPr>
      <w:rFonts w:cs="Arial"/>
      <w:i/>
      <w:iCs/>
      <w:sz w:val="24"/>
      <w:szCs w:val="24"/>
    </w:rPr>
  </w:style>
  <w:style w:type="paragraph" w:styleId="Indeks">
    <w:name w:val="Indeks"/>
    <w:basedOn w:val="Normal"/>
    <w:qFormat/>
    <w:pPr>
      <w:suppressLineNumbers/>
    </w:pPr>
    <w:rPr>
      <w:rFonts w:cs="Arial"/>
    </w:rPr>
  </w:style>
  <w:style w:type="paragraph" w:styleId="BalloonText">
    <w:name w:val="Balloon Text"/>
    <w:basedOn w:val="Normal"/>
    <w:link w:val="BalloonTextChar"/>
    <w:uiPriority w:val="99"/>
    <w:semiHidden/>
    <w:unhideWhenUsed/>
    <w:qFormat/>
    <w:rsid w:val="00e23981"/>
    <w:pPr/>
    <w:rPr>
      <w:rFonts w:ascii="Tahoma" w:hAnsi="Tahoma" w:cs="Tahoma"/>
      <w:sz w:val="16"/>
      <w:szCs w:val="16"/>
    </w:rPr>
  </w:style>
  <w:style w:type="paragraph" w:styleId="Zaglavljeipodnoje">
    <w:name w:val="Zaglavlje i podnožje"/>
    <w:basedOn w:val="Normal"/>
    <w:qFormat/>
    <w:pPr/>
    <w:rPr/>
  </w:style>
  <w:style w:type="paragraph" w:styleId="Zaglavlje">
    <w:name w:val="Header"/>
    <w:basedOn w:val="Normal"/>
    <w:link w:val="HeaderChar"/>
    <w:autoRedefine/>
    <w:uiPriority w:val="99"/>
    <w:unhideWhenUsed/>
    <w:rsid w:val="000b54bf"/>
    <w:pPr>
      <w:tabs>
        <w:tab w:val="clear" w:pos="708"/>
        <w:tab w:val="left" w:pos="-142" w:leader="none"/>
        <w:tab w:val="center" w:pos="4536" w:leader="none"/>
        <w:tab w:val="right" w:pos="9072" w:leader="none"/>
        <w:tab w:val="right" w:pos="9923" w:leader="none"/>
      </w:tabs>
      <w:spacing w:before="0" w:after="0"/>
    </w:pPr>
    <w:rPr>
      <w:color w:val="595959" w:themeColor="text1" w:themeTint="a6"/>
    </w:rPr>
  </w:style>
  <w:style w:type="paragraph" w:styleId="Podnoje">
    <w:name w:val="Footer"/>
    <w:basedOn w:val="Normal"/>
    <w:link w:val="FooterChar"/>
    <w:autoRedefine/>
    <w:uiPriority w:val="99"/>
    <w:unhideWhenUsed/>
    <w:rsid w:val="00e03bf5"/>
    <w:pPr>
      <w:tabs>
        <w:tab w:val="clear" w:pos="708"/>
        <w:tab w:val="center" w:pos="4536" w:leader="none"/>
        <w:tab w:val="right" w:pos="9072" w:leader="none"/>
      </w:tabs>
      <w:jc w:val="right"/>
    </w:pPr>
    <w:rPr/>
  </w:style>
  <w:style w:type="paragraph" w:styleId="ListParagraph">
    <w:name w:val="List Paragraph"/>
    <w:basedOn w:val="Normal"/>
    <w:link w:val="ListParagraphChar"/>
    <w:autoRedefine/>
    <w:uiPriority w:val="34"/>
    <w:qFormat/>
    <w:rsid w:val="00f940bf"/>
    <w:pPr>
      <w:tabs>
        <w:tab w:val="clear" w:pos="708"/>
        <w:tab w:val="left" w:pos="2445" w:leader="none"/>
      </w:tabs>
      <w:spacing w:before="72" w:after="72"/>
      <w:contextualSpacing/>
    </w:pPr>
    <w:rPr>
      <w:szCs w:val="22"/>
      <w:lang w:eastAsia="hr-HR"/>
    </w:rPr>
  </w:style>
  <w:style w:type="paragraph" w:styleId="IntenseQuote">
    <w:name w:val="Intense Quote"/>
    <w:basedOn w:val="Normal"/>
    <w:next w:val="Normal"/>
    <w:link w:val="IntenseQuoteChar"/>
    <w:autoRedefine/>
    <w:qFormat/>
    <w:rsid w:val="00fe73e7"/>
    <w:pPr>
      <w:spacing w:before="240" w:after="240"/>
      <w:ind w:right="864" w:hanging="0"/>
      <w:jc w:val="left"/>
    </w:pPr>
    <w:rPr>
      <w:i/>
      <w:iCs/>
      <w:color w:val="54883D"/>
    </w:rPr>
  </w:style>
  <w:style w:type="paragraph" w:styleId="Caption">
    <w:name w:val="caption"/>
    <w:basedOn w:val="Normal"/>
    <w:next w:val="Normal"/>
    <w:autoRedefine/>
    <w:uiPriority w:val="35"/>
    <w:unhideWhenUsed/>
    <w:qFormat/>
    <w:rsid w:val="00fc5eb7"/>
    <w:pPr>
      <w:spacing w:before="240" w:after="0"/>
      <w:jc w:val="center"/>
    </w:pPr>
    <w:rPr>
      <w:rFonts w:eastAsia="Calibri" w:eastAsiaTheme="minorHAnsi"/>
      <w:b/>
      <w:bCs/>
      <w:color w:val="54883D"/>
      <w:sz w:val="18"/>
      <w:szCs w:val="18"/>
    </w:rPr>
  </w:style>
  <w:style w:type="paragraph" w:styleId="Tableoffigures">
    <w:name w:val="table of figures"/>
    <w:basedOn w:val="Normal"/>
    <w:next w:val="Normal"/>
    <w:autoRedefine/>
    <w:uiPriority w:val="99"/>
    <w:unhideWhenUsed/>
    <w:qFormat/>
    <w:rsid w:val="009762c8"/>
    <w:pPr>
      <w:tabs>
        <w:tab w:val="clear" w:pos="708"/>
        <w:tab w:val="left" w:pos="851" w:leader="none"/>
        <w:tab w:val="right" w:pos="8222" w:leader="none"/>
      </w:tabs>
      <w:spacing w:before="80" w:after="0"/>
      <w:jc w:val="left"/>
    </w:pPr>
    <w:rPr>
      <w:bCs/>
      <w:sz w:val="20"/>
      <w:szCs w:val="20"/>
      <w:u w:val="single"/>
    </w:rPr>
  </w:style>
  <w:style w:type="paragraph" w:styleId="Annotationtext">
    <w:name w:val="annotation text"/>
    <w:basedOn w:val="Normal"/>
    <w:link w:val="CommentTextChar"/>
    <w:uiPriority w:val="99"/>
    <w:semiHidden/>
    <w:unhideWhenUsed/>
    <w:qFormat/>
    <w:rsid w:val="005d146b"/>
    <w:pPr/>
    <w:rPr>
      <w:sz w:val="20"/>
      <w:szCs w:val="20"/>
    </w:rPr>
  </w:style>
  <w:style w:type="paragraph" w:styleId="Annotationsubject">
    <w:name w:val="annotation subject"/>
    <w:basedOn w:val="Annotationtext"/>
    <w:next w:val="Annotationtext"/>
    <w:link w:val="CommentSubjectChar"/>
    <w:uiPriority w:val="99"/>
    <w:semiHidden/>
    <w:unhideWhenUsed/>
    <w:qFormat/>
    <w:rsid w:val="005d146b"/>
    <w:pPr/>
    <w:rPr>
      <w:b/>
      <w:bCs/>
    </w:rPr>
  </w:style>
  <w:style w:type="paragraph" w:styleId="Sadraj1">
    <w:name w:val="TOC 1"/>
    <w:basedOn w:val="Normal"/>
    <w:next w:val="Normal"/>
    <w:autoRedefine/>
    <w:uiPriority w:val="39"/>
    <w:unhideWhenUsed/>
    <w:rsid w:val="00cc625a"/>
    <w:pPr>
      <w:spacing w:before="360" w:after="360"/>
    </w:pPr>
    <w:rPr>
      <w:b/>
      <w:bCs/>
      <w:caps/>
      <w:u w:val="single"/>
    </w:rPr>
  </w:style>
  <w:style w:type="paragraph" w:styleId="Sadraj2">
    <w:name w:val="TOC 2"/>
    <w:basedOn w:val="Normal"/>
    <w:next w:val="Normal"/>
    <w:autoRedefine/>
    <w:uiPriority w:val="39"/>
    <w:unhideWhenUsed/>
    <w:rsid w:val="00cc625a"/>
    <w:pPr>
      <w:spacing w:before="80" w:after="0"/>
    </w:pPr>
    <w:rPr>
      <w:b/>
      <w:bCs/>
      <w:smallCaps/>
    </w:rPr>
  </w:style>
  <w:style w:type="paragraph" w:styleId="Sadraj3">
    <w:name w:val="TOC 3"/>
    <w:basedOn w:val="Normal"/>
    <w:next w:val="Normal"/>
    <w:autoRedefine/>
    <w:uiPriority w:val="39"/>
    <w:unhideWhenUsed/>
    <w:rsid w:val="00cc625a"/>
    <w:pPr>
      <w:spacing w:before="80" w:after="0"/>
    </w:pPr>
    <w:rPr>
      <w:smallCaps/>
    </w:rPr>
  </w:style>
  <w:style w:type="paragraph" w:styleId="Sadraj4">
    <w:name w:val="TOC 4"/>
    <w:basedOn w:val="Normal"/>
    <w:next w:val="Normal"/>
    <w:autoRedefine/>
    <w:uiPriority w:val="39"/>
    <w:unhideWhenUsed/>
    <w:rsid w:val="00cc625a"/>
    <w:pPr>
      <w:spacing w:before="80" w:after="0"/>
    </w:pPr>
    <w:rPr/>
  </w:style>
  <w:style w:type="paragraph" w:styleId="Sadraj5">
    <w:name w:val="TOC 5"/>
    <w:basedOn w:val="Normal"/>
    <w:next w:val="Normal"/>
    <w:autoRedefine/>
    <w:uiPriority w:val="39"/>
    <w:unhideWhenUsed/>
    <w:rsid w:val="00cc625a"/>
    <w:pPr>
      <w:spacing w:before="80" w:after="0"/>
    </w:pPr>
    <w:rPr/>
  </w:style>
  <w:style w:type="paragraph" w:styleId="Sadraj6">
    <w:name w:val="TOC 6"/>
    <w:basedOn w:val="Normal"/>
    <w:next w:val="Normal"/>
    <w:autoRedefine/>
    <w:uiPriority w:val="39"/>
    <w:unhideWhenUsed/>
    <w:rsid w:val="00cc625a"/>
    <w:pPr>
      <w:spacing w:before="80" w:after="0"/>
    </w:pPr>
    <w:rPr/>
  </w:style>
  <w:style w:type="paragraph" w:styleId="Sadraj7">
    <w:name w:val="TOC 7"/>
    <w:basedOn w:val="Normal"/>
    <w:next w:val="Normal"/>
    <w:autoRedefine/>
    <w:uiPriority w:val="39"/>
    <w:unhideWhenUsed/>
    <w:rsid w:val="00cc625a"/>
    <w:pPr>
      <w:spacing w:before="80" w:after="0"/>
    </w:pPr>
    <w:rPr/>
  </w:style>
  <w:style w:type="paragraph" w:styleId="Sadraj8">
    <w:name w:val="TOC 8"/>
    <w:basedOn w:val="Normal"/>
    <w:next w:val="Normal"/>
    <w:autoRedefine/>
    <w:uiPriority w:val="39"/>
    <w:unhideWhenUsed/>
    <w:rsid w:val="00cc625a"/>
    <w:pPr>
      <w:spacing w:before="80" w:after="0"/>
    </w:pPr>
    <w:rPr/>
  </w:style>
  <w:style w:type="paragraph" w:styleId="Sadraj9">
    <w:name w:val="TOC 9"/>
    <w:basedOn w:val="Normal"/>
    <w:next w:val="Normal"/>
    <w:autoRedefine/>
    <w:uiPriority w:val="39"/>
    <w:unhideWhenUsed/>
    <w:rsid w:val="00cc625a"/>
    <w:pPr>
      <w:spacing w:before="80" w:after="0"/>
    </w:pPr>
    <w:rPr/>
  </w:style>
  <w:style w:type="paragraph" w:styleId="Uvlakatijelateksta">
    <w:name w:val="Body Text Indent"/>
    <w:basedOn w:val="Tijeloteksta"/>
    <w:link w:val="BodyTextFirstIndentChar"/>
    <w:autoRedefine/>
    <w:qFormat/>
    <w:rsid w:val="00777b54"/>
    <w:pPr>
      <w:spacing w:before="80" w:after="0"/>
      <w:ind w:firstLine="360"/>
    </w:pPr>
    <w:rPr/>
  </w:style>
  <w:style w:type="paragraph" w:styleId="Bulletlist" w:customStyle="1">
    <w:name w:val="Bullet list"/>
    <w:basedOn w:val="ListParagraph"/>
    <w:autoRedefine/>
    <w:qFormat/>
    <w:rsid w:val="00777b54"/>
    <w:pPr>
      <w:spacing w:lineRule="auto" w:line="288" w:before="72" w:after="320"/>
      <w:ind w:left="0" w:hanging="0"/>
      <w:contextualSpacing/>
    </w:pPr>
    <w:rPr/>
  </w:style>
  <w:style w:type="paragraph" w:styleId="Date">
    <w:name w:val="Date"/>
    <w:basedOn w:val="Normal"/>
    <w:next w:val="Normal"/>
    <w:link w:val="DateChar"/>
    <w:autoRedefine/>
    <w:qFormat/>
    <w:rsid w:val="00705d03"/>
    <w:pPr/>
    <w:rPr/>
  </w:style>
  <w:style w:type="paragraph" w:styleId="ListBullet5">
    <w:name w:val="List Bullet 5"/>
    <w:basedOn w:val="Normal"/>
    <w:autoRedefine/>
    <w:qFormat/>
    <w:rsid w:val="00e23981"/>
    <w:pPr>
      <w:spacing w:before="80" w:after="160"/>
      <w:ind w:left="1132" w:hanging="283"/>
      <w:contextualSpacing/>
    </w:pPr>
    <w:rPr/>
  </w:style>
  <w:style w:type="paragraph" w:styleId="ListNumber">
    <w:name w:val="List Number"/>
    <w:basedOn w:val="Normal"/>
    <w:autoRedefine/>
    <w:qFormat/>
    <w:rsid w:val="00e23981"/>
    <w:pPr>
      <w:spacing w:before="80" w:after="160"/>
      <w:contextualSpacing/>
    </w:pPr>
    <w:rPr>
      <w:b/>
      <w:i/>
      <w:sz w:val="28"/>
      <w:u w:val="single"/>
    </w:rPr>
  </w:style>
  <w:style w:type="paragraph" w:styleId="NoSpacing">
    <w:name w:val="No Spacing"/>
    <w:link w:val="NoSpacingChar"/>
    <w:autoRedefine/>
    <w:uiPriority w:val="1"/>
    <w:qFormat/>
    <w:rsid w:val="00777b54"/>
    <w:pPr>
      <w:widowControl/>
      <w:suppressAutoHyphens w:val="true"/>
      <w:bidi w:val="0"/>
      <w:spacing w:lineRule="auto" w:line="240" w:before="0" w:after="0"/>
      <w:jc w:val="left"/>
    </w:pPr>
    <w:rPr>
      <w:rFonts w:ascii="Arial" w:hAnsi="Arial" w:eastAsia="Times New Roman" w:cs="Times New Roman"/>
      <w:color w:val="auto"/>
      <w:kern w:val="0"/>
      <w:sz w:val="24"/>
      <w:szCs w:val="24"/>
      <w:lang w:val="hr-HR" w:eastAsia="en-US" w:bidi="ar-SA"/>
    </w:rPr>
  </w:style>
  <w:style w:type="paragraph" w:styleId="Opis" w:customStyle="1">
    <w:name w:val="Opis"/>
    <w:basedOn w:val="Normal"/>
    <w:autoRedefine/>
    <w:qFormat/>
    <w:rsid w:val="00e23981"/>
    <w:pPr/>
    <w:rPr>
      <w:rFonts w:cs="Tahoma"/>
      <w:b/>
      <w:color w:val="54883D"/>
      <w:sz w:val="32"/>
    </w:rPr>
  </w:style>
  <w:style w:type="paragraph" w:styleId="Quote">
    <w:name w:val="Quote"/>
    <w:basedOn w:val="Normal"/>
    <w:next w:val="Normal"/>
    <w:link w:val="QuoteChar"/>
    <w:autoRedefine/>
    <w:qFormat/>
    <w:rsid w:val="00e23981"/>
    <w:pPr>
      <w:spacing w:before="200" w:after="160"/>
      <w:ind w:left="864" w:right="864" w:hanging="0"/>
      <w:jc w:val="center"/>
    </w:pPr>
    <w:rPr>
      <w:i/>
      <w:iCs/>
      <w:color w:val="404040" w:themeColor="text1" w:themeTint="bf"/>
    </w:rPr>
  </w:style>
  <w:style w:type="paragraph" w:styleId="SadraopisaBOLD" w:customStyle="1">
    <w:name w:val="sadrža opisa BOLD"/>
    <w:basedOn w:val="Normal"/>
    <w:autoRedefine/>
    <w:qFormat/>
    <w:rsid w:val="00203619"/>
    <w:pPr/>
    <w:rPr>
      <w:sz w:val="40"/>
      <w:szCs w:val="40"/>
    </w:rPr>
  </w:style>
  <w:style w:type="paragraph" w:styleId="Sadrajopisa" w:customStyle="1">
    <w:name w:val="sadržaj opisa"/>
    <w:basedOn w:val="SadraopisaBOLD"/>
    <w:autoRedefine/>
    <w:qFormat/>
    <w:rsid w:val="00e23981"/>
    <w:pPr/>
    <w:rPr>
      <w:sz w:val="28"/>
    </w:rPr>
  </w:style>
  <w:style w:type="paragraph" w:styleId="Zavrnipozdrav">
    <w:name w:val="Salutation"/>
    <w:basedOn w:val="Normal"/>
    <w:next w:val="Normal"/>
    <w:link w:val="SalutationChar"/>
    <w:autoRedefine/>
    <w:rsid w:val="00e23981"/>
    <w:pPr/>
    <w:rPr>
      <w:sz w:val="28"/>
    </w:rPr>
  </w:style>
  <w:style w:type="paragraph" w:styleId="Podnaslov">
    <w:name w:val="Subtitle"/>
    <w:basedOn w:val="Normal"/>
    <w:next w:val="Normal"/>
    <w:link w:val="SubtitleChar"/>
    <w:autoRedefine/>
    <w:qFormat/>
    <w:rsid w:val="00e23981"/>
    <w:pPr/>
    <w:rPr>
      <w:rFonts w:eastAsia="" w:cs="Arial" w:cstheme="minorBidi" w:eastAsiaTheme="minorEastAsia"/>
      <w:color w:val="5A5A5A" w:themeColor="text1" w:themeTint="a5"/>
      <w:spacing w:val="15"/>
      <w:szCs w:val="22"/>
    </w:rPr>
  </w:style>
  <w:style w:type="paragraph" w:styleId="Naslov">
    <w:name w:val="Title"/>
    <w:basedOn w:val="Normal"/>
    <w:next w:val="Normal"/>
    <w:link w:val="TitleChar"/>
    <w:autoRedefine/>
    <w:qFormat/>
    <w:rsid w:val="00e23981"/>
    <w:pPr>
      <w:spacing w:before="80" w:after="160"/>
      <w:contextualSpacing/>
    </w:pPr>
    <w:rPr>
      <w:rFonts w:eastAsia="" w:cs="Times New Roman" w:cstheme="majorBidi" w:eastAsiaTheme="majorEastAsia"/>
      <w:spacing w:val="-10"/>
      <w:kern w:val="2"/>
      <w:sz w:val="56"/>
      <w:szCs w:val="56"/>
    </w:rPr>
  </w:style>
  <w:style w:type="paragraph" w:styleId="Fusnota">
    <w:name w:val="Footnote Text"/>
    <w:basedOn w:val="Normal"/>
    <w:link w:val="FootnoteTextChar"/>
    <w:unhideWhenUsed/>
    <w:rsid w:val="00fe73e7"/>
    <w:pPr>
      <w:spacing w:lineRule="auto" w:line="240" w:before="0" w:after="0"/>
    </w:pPr>
    <w:rPr>
      <w:sz w:val="20"/>
      <w:szCs w:val="20"/>
    </w:rPr>
  </w:style>
  <w:style w:type="paragraph" w:styleId="FootnoteDLS" w:customStyle="1">
    <w:name w:val="Footnote DLS"/>
    <w:basedOn w:val="Fusnota"/>
    <w:autoRedefine/>
    <w:qFormat/>
    <w:rsid w:val="00777b54"/>
    <w:pPr/>
    <w:rPr>
      <w:sz w:val="18"/>
    </w:rPr>
  </w:style>
  <w:style w:type="paragraph" w:styleId="Odlomak" w:customStyle="1">
    <w:name w:val="Odlomak"/>
    <w:basedOn w:val="Normal"/>
    <w:qFormat/>
    <w:rsid w:val="00bb2e23"/>
    <w:pPr>
      <w:shd w:val="clear" w:color="auto" w:fill="FFFFFF"/>
      <w:suppressAutoHyphens w:val="true"/>
      <w:spacing w:lineRule="auto" w:line="360" w:before="0" w:after="0"/>
      <w:ind w:left="5" w:right="72" w:firstLine="703"/>
      <w:textAlignment w:val="baseline"/>
    </w:pPr>
    <w:rPr>
      <w:rFonts w:eastAsia="Calibri" w:cs="Times New Roman"/>
      <w:color w:val="auto"/>
      <w:sz w:val="24"/>
      <w:lang w:eastAsia="hr-HR"/>
    </w:rPr>
  </w:style>
  <w:style w:type="paragraph" w:styleId="BodyText2">
    <w:name w:val="Body Text 2"/>
    <w:basedOn w:val="Normal"/>
    <w:link w:val="BodyText2Char"/>
    <w:uiPriority w:val="99"/>
    <w:unhideWhenUsed/>
    <w:qFormat/>
    <w:rsid w:val="004464ca"/>
    <w:pPr>
      <w:spacing w:lineRule="auto" w:line="480" w:before="80" w:after="120"/>
    </w:pPr>
    <w:rPr/>
  </w:style>
  <w:style w:type="paragraph" w:styleId="Default" w:customStyle="1">
    <w:name w:val="Default"/>
    <w:qFormat/>
    <w:rsid w:val="00894bde"/>
    <w:pPr>
      <w:widowControl/>
      <w:suppressAutoHyphens w:val="true"/>
      <w:bidi w:val="0"/>
      <w:spacing w:lineRule="auto" w:line="240" w:before="0" w:after="0"/>
      <w:jc w:val="left"/>
    </w:pPr>
    <w:rPr>
      <w:rFonts w:ascii="Times New Roman" w:hAnsi="Times New Roman" w:eastAsia="Calibri" w:cs="Times New Roman"/>
      <w:color w:val="000000"/>
      <w:kern w:val="0"/>
      <w:sz w:val="24"/>
      <w:szCs w:val="24"/>
      <w:lang w:val="hr-HR" w:eastAsia="en-US" w:bidi="ar-SA"/>
    </w:rPr>
  </w:style>
  <w:style w:type="paragraph" w:styleId="NormalWeb">
    <w:name w:val="Normal (Web)"/>
    <w:basedOn w:val="Normal"/>
    <w:uiPriority w:val="99"/>
    <w:unhideWhenUsed/>
    <w:qFormat/>
    <w:rsid w:val="006551aa"/>
    <w:pPr>
      <w:spacing w:lineRule="auto" w:line="240" w:beforeAutospacing="1" w:afterAutospacing="1"/>
      <w:jc w:val="left"/>
    </w:pPr>
    <w:rPr>
      <w:rFonts w:ascii="Times New Roman" w:hAnsi="Times New Roman" w:cs="Times New Roman"/>
      <w:color w:val="auto"/>
      <w:sz w:val="24"/>
      <w:lang w:eastAsia="hr-HR"/>
    </w:rPr>
  </w:style>
  <w:style w:type="paragraph" w:styleId="TableParagraph" w:customStyle="1">
    <w:name w:val="Table Paragraph"/>
    <w:basedOn w:val="Normal"/>
    <w:uiPriority w:val="1"/>
    <w:qFormat/>
    <w:rsid w:val="006b4325"/>
    <w:pPr>
      <w:widowControl w:val="false"/>
      <w:spacing w:lineRule="auto" w:line="240" w:before="0" w:after="0"/>
      <w:jc w:val="left"/>
    </w:pPr>
    <w:rPr>
      <w:rFonts w:ascii="Calibri" w:hAnsi="Calibri" w:eastAsia="Calibri" w:cs="Arial" w:asciiTheme="minorHAnsi" w:cstheme="minorBidi" w:eastAsiaTheme="minorHAnsi" w:hAnsiTheme="minorHAnsi"/>
      <w:color w:val="auto"/>
      <w:szCs w:val="22"/>
      <w:lang w:val="en-US"/>
    </w:rPr>
  </w:style>
  <w:style w:type="paragraph" w:styleId="OdlomakChar" w:customStyle="1">
    <w:name w:val="Odlomak Char"/>
    <w:basedOn w:val="Normal"/>
    <w:qFormat/>
    <w:rsid w:val="00a80364"/>
    <w:pPr>
      <w:shd w:val="clear" w:color="auto" w:fill="FFFFFF"/>
      <w:suppressAutoHyphens w:val="true"/>
      <w:spacing w:lineRule="auto" w:line="360" w:before="0" w:after="0"/>
      <w:ind w:left="5" w:right="72" w:firstLine="703"/>
      <w:textAlignment w:val="baseline"/>
    </w:pPr>
    <w:rPr>
      <w:rFonts w:eastAsia="Calibri" w:cs="Times New Roman"/>
      <w:color w:val="auto"/>
      <w:sz w:val="24"/>
      <w:lang w:eastAsia="hr-HR"/>
    </w:rPr>
  </w:style>
  <w:style w:type="paragraph" w:styleId="ColorfulListAccent11" w:customStyle="1">
    <w:name w:val="Colorful List - Accent 11"/>
    <w:basedOn w:val="Normal"/>
    <w:qFormat/>
    <w:rsid w:val="00a80364"/>
    <w:pPr>
      <w:suppressAutoHyphens w:val="true"/>
      <w:spacing w:lineRule="auto" w:line="360" w:before="0" w:after="0"/>
      <w:ind w:left="720" w:hanging="0"/>
      <w:textAlignment w:val="baseline"/>
    </w:pPr>
    <w:rPr>
      <w:rFonts w:ascii="Times New Roman" w:hAnsi="Times New Roman" w:eastAsia="Calibri" w:cs="Times New Roman"/>
      <w:color w:val="auto"/>
      <w:sz w:val="24"/>
      <w:lang w:eastAsia="hr-HR"/>
    </w:rPr>
  </w:style>
  <w:style w:type="paragraph" w:styleId="Stil1" w:customStyle="1">
    <w:name w:val="Stil1"/>
    <w:basedOn w:val="Normal"/>
    <w:link w:val="Stil1Char"/>
    <w:qFormat/>
    <w:rsid w:val="006266e6"/>
    <w:pPr>
      <w:keepNext w:val="true"/>
      <w:keepLines/>
      <w:spacing w:before="120" w:after="120"/>
      <w:ind w:left="2847" w:hanging="720"/>
      <w:outlineLvl w:val="2"/>
    </w:pPr>
    <w:rPr>
      <w:rFonts w:cs="Times New Roman" w:cstheme="majorBidi"/>
      <w:color w:val="54883D"/>
      <w:sz w:val="28"/>
      <w:lang w:bidi="en-US"/>
    </w:rPr>
  </w:style>
  <w:style w:type="paragraph" w:styleId="Obicnitekst" w:customStyle="1">
    <w:name w:val="Obicni tekst"/>
    <w:link w:val="ObicnitekstChar"/>
    <w:qFormat/>
    <w:rsid w:val="00d552be"/>
    <w:pPr>
      <w:widowControl/>
      <w:suppressAutoHyphens w:val="true"/>
      <w:bidi w:val="0"/>
      <w:spacing w:lineRule="auto" w:line="240" w:before="120" w:after="0"/>
      <w:ind w:firstLine="720"/>
      <w:jc w:val="both"/>
    </w:pPr>
    <w:rPr>
      <w:rFonts w:ascii="Arial" w:hAnsi="Arial" w:eastAsia="Times New Roman" w:cs="Times New Roman"/>
      <w:color w:val="auto"/>
      <w:kern w:val="0"/>
      <w:sz w:val="24"/>
      <w:szCs w:val="20"/>
      <w:lang w:val="hr-HR" w:eastAsia="hr-HR" w:bidi="ar-SA"/>
    </w:rPr>
  </w:style>
  <w:style w:type="paragraph" w:styleId="Tabletext" w:customStyle="1">
    <w:name w:val="table text"/>
    <w:basedOn w:val="Obicnitekst"/>
    <w:qFormat/>
    <w:rsid w:val="003c1d2d"/>
    <w:pPr>
      <w:spacing w:before="0" w:after="0"/>
      <w:ind w:hanging="0"/>
      <w:jc w:val="center"/>
    </w:pPr>
    <w:rPr>
      <w:sz w:val="20"/>
      <w:lang w:val="en-US" w:eastAsia="en-US"/>
    </w:rPr>
  </w:style>
  <w:style w:type="paragraph" w:styleId="PlainText">
    <w:name w:val="Plain Text"/>
    <w:basedOn w:val="Normal"/>
    <w:link w:val="PlainTextChar"/>
    <w:uiPriority w:val="99"/>
    <w:semiHidden/>
    <w:unhideWhenUsed/>
    <w:qFormat/>
    <w:rsid w:val="002d62b2"/>
    <w:pPr>
      <w:spacing w:lineRule="auto" w:line="240" w:before="0" w:after="0"/>
    </w:pPr>
    <w:rPr>
      <w:rFonts w:ascii="Consolas" w:hAnsi="Consolas"/>
      <w:sz w:val="21"/>
      <w:szCs w:val="21"/>
    </w:rPr>
  </w:style>
  <w:style w:type="paragraph" w:styleId="Sadrajokvira">
    <w:name w:val="Sadržaj okvira"/>
    <w:basedOn w:val="Normal"/>
    <w:qFormat/>
    <w:pPr/>
    <w:rPr/>
  </w:style>
  <w:style w:type="paragraph" w:styleId="Sadrajitablice">
    <w:name w:val="Sadržaji tablice"/>
    <w:basedOn w:val="Normal"/>
    <w:qFormat/>
    <w:pPr>
      <w:suppressLineNumbers/>
    </w:pPr>
    <w:rPr/>
  </w:style>
  <w:style w:type="paragraph" w:styleId="Naslovtablice">
    <w:name w:val="Naslov tablice"/>
    <w:basedOn w:val="Sadrajitablice"/>
    <w:qFormat/>
    <w:pPr>
      <w:suppressLineNumbers/>
      <w:jc w:val="center"/>
    </w:pPr>
    <w:rPr>
      <w:b/>
      <w:bCs/>
    </w:rPr>
  </w:style>
  <w:style w:type="numbering" w:styleId="NoList" w:default="1">
    <w:name w:val="No List"/>
    <w:uiPriority w:val="99"/>
    <w:semiHidden/>
    <w:unhideWhenUsed/>
    <w:qFormat/>
  </w:style>
  <w:style w:type="numbering" w:styleId="WWOutlineListStyle1" w:customStyle="1">
    <w:name w:val="WW_OutlineListStyle_1"/>
    <w:qFormat/>
    <w:rsid w:val="00396f1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table" w:styleId="TableGrid">
    <w:name w:val="Table Grid"/>
    <w:basedOn w:val="TableNormal"/>
    <w:uiPriority w:val="39"/>
    <w:rsid w:val="00e23981"/>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styleId="LightShading-Accent1">
    <w:name w:val="Light Shading Accent 1"/>
    <w:basedOn w:val="TableNormal"/>
    <w:uiPriority w:val="60"/>
    <w:rsid w:val="005d146b"/>
    <w:pPr>
      <w:spacing w:after="0" w:line="240" w:lineRule="auto"/>
    </w:pPr>
    <w:rPr>
      <w:color w:val="365F91" w:themeColor="accent1" w:themeShade="bf"/>
    </w:rPr>
    <w:tblPr>
      <w:tblStyleRowBandSize w:val="1"/>
      <w:tblStyleColBandSize w:val="1"/>
      <w:tblBorders>
        <w:top w:val="single" w:color="4F81BD" w:themeColor="accent1" w:sz="8" w:space="0"/>
        <w:bottom w:val="single" w:color="4F81BD" w:themeColor="accent1" w:sz="8" w:space="0"/>
      </w:tblBorders>
    </w:tblPr>
    <w:tblStylePr w:type="fir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lastRow">
      <w:pPr>
        <w:spacing w:before="0" w:after="0" w:line="240" w:lineRule="auto"/>
      </w:pPr>
      <w:rPr>
        <w:b/>
        <w:bCs/>
      </w:rPr>
      <w:tblPr/>
      <w:tcPr>
        <w:tcBorders>
          <w:top w:val="single" w:color="4F81BD" w:themeColor="accent1" w:sz="8" w:space="0"/>
          <w:left w:val="nil"/>
          <w:bottom w:val="single" w:color="4F81BD" w:themeColor="accen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DLSLIGHT2015">
    <w:name w:val="DLS LIGHT 2015"/>
    <w:basedOn w:val="TableNormal"/>
    <w:uiPriority w:val="99"/>
    <w:rsid w:val="00e23981"/>
    <w:pPr>
      <w:spacing w:after="0" w:line="240" w:lineRule="auto"/>
      <w:jc w:val="center"/>
    </w:pPr>
    <w:rPr>
      <w:lang w:eastAsia="hr-HR"/>
      <w:color w:val="000000" w:themeColor="text1"/>
      <w:sz w:val="24"/>
      <w:szCs w:val="24"/>
    </w:rPr>
    <w:tblPr>
      <w:tblStyleRowBandSize w:val="1"/>
      <w:tblBorders>
        <w:top w:val="single" w:color="6EAA42" w:sz="2" w:space="0"/>
        <w:bottom w:val="single" w:color="6EAA42" w:sz="2" w:space="0"/>
        <w:insideH w:val="single" w:color="6EAA42" w:sz="2" w:space="0"/>
      </w:tblBorders>
    </w:tbl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table" w:customStyle="1" w:styleId="GridTable2-Accent31">
    <w:name w:val="Grid Table 2 - Accent 31"/>
    <w:basedOn w:val="TableNormal"/>
    <w:uiPriority w:val="47"/>
    <w:rsid w:val="00e23981"/>
    <w:pPr>
      <w:spacing w:after="0" w:line="240" w:lineRule="auto"/>
    </w:pPr>
    <w:rPr>
      <w:lang w:eastAsia="hr-HR"/>
      <w:sz w:val="24"/>
      <w:szCs w:val="24"/>
    </w:rPr>
    <w:tblPr>
      <w:tblStyleRowBandSize w:val="1"/>
      <w:tblStyleColBandSize w:val="1"/>
      <w:tblBorders>
        <w:top w:val="single" w:color="C2D69B" w:themeColor="accent3" w:themeTint="99" w:sz="2" w:space="0"/>
        <w:bottom w:val="single" w:color="C2D69B" w:themeColor="accent3" w:themeTint="99" w:sz="2" w:space="0"/>
        <w:insideH w:val="single" w:color="C2D69B" w:themeColor="accent3" w:themeTint="99" w:sz="2" w:space="0"/>
        <w:insideV w:val="single" w:color="C2D69B" w:themeColor="accent3" w:themeTint="99" w:sz="2" w:space="0"/>
      </w:tblBorders>
    </w:tblPr>
    <w:tblStylePr w:type="firstRow">
      <w:rPr>
        <w:b/>
        <w:bCs/>
      </w:rPr>
      <w:tblPr/>
      <w:tcPr>
        <w:tcBorders>
          <w:top w:val="nil"/>
          <w:bottom w:val="single" w:color="C2D69B" w:themeColor="accent3" w:sz="12" w:space="0"/>
          <w:insideH w:val="nil"/>
          <w:insideV w:val="nil"/>
        </w:tcBorders>
        <w:shd w:val="clear" w:color="auto" w:fill="FFFFFF" w:themeFill="background1"/>
      </w:tcPr>
    </w:tblStylePr>
    <w:tblStylePr w:type="lastRow">
      <w:rPr>
        <w:b/>
        <w:bCs/>
      </w:rPr>
      <w:tblPr/>
      <w:tcPr>
        <w:tcBorders>
          <w:top w:val="double" w:color="C2D69B" w:themeColor="accent3" w:sz="2" w:space="0"/>
          <w:bottom w:val="nil"/>
          <w:insideH w:val="nil"/>
          <w:insideV w:val="nil"/>
        </w:tcBorders>
        <w:shd w:val="clear" w:color="auto" w:fill="FFFFFF" w:themeFill="background1"/>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ghtGrid-Accent12">
    <w:name w:val="Light Grid - Accent 12"/>
    <w:basedOn w:val="TableNormal"/>
    <w:rsid w:val="00e23981"/>
    <w:pPr>
      <w:spacing w:after="0" w:line="240" w:lineRule="auto"/>
    </w:pPr>
    <w:rPr>
      <w:lang w:eastAsia="hr-HR"/>
      <w:sz w:val="24"/>
      <w:szCs w:val="24"/>
    </w:rPr>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insideH w:val="single" w:color="4F81BD" w:themeColor="accent1" w:sz="8" w:space="0"/>
        <w:insideV w:val="single" w:color="4F81BD"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18" w:space="0"/>
          <w:right w:val="single" w:color="4F81BD" w:themeColor="accent1" w:sz="8" w:space="0"/>
          <w:insideH w:val="nil"/>
          <w:insideV w:val="single" w:color="4F81BD" w:themeColor="accent1"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insideH w:val="nil"/>
          <w:insideV w:val="single" w:color="4F81BD" w:themeColor="accent1" w:sz="8" w:space="0"/>
        </w:tcBorders>
      </w:tcPr>
    </w:tblStylePr>
    <w:tblStylePr w:type="firstCol">
      <w:rPr>
        <w:rFonts w:asciiTheme="majorHAnsi" w:hAnsiTheme="majorHAnsi" w:eastAsiaTheme="majorEastAsia" w:cstheme="majorBidi"/>
        <w:b/>
        <w:bCs/>
      </w:rPr>
      <w:tblPr/>
    </w:tblStylePr>
    <w:tblStylePr w:type="lastCol">
      <w:rPr>
        <w:rFonts w:asciiTheme="majorHAnsi" w:hAnsiTheme="majorHAnsi" w:eastAsiaTheme="majorEastAsia" w:cstheme="majorBidi"/>
        <w:b/>
        <w:bCs/>
      </w:rPr>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shd w:val="clear" w:color="auto" w:fill="D3DFEE" w:themeFill="accent1" w:themeFillTint="3f"/>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shd w:val="clear" w:color="auto" w:fill="D3DFEE" w:themeFill="accent1" w:themeFillTint="3f"/>
      </w:tcPr>
    </w:tblStylePr>
    <w:tblStylePr w:type="band2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insideV w:val="single" w:color="4F81BD" w:themeColor="accent1" w:sz="8" w:space="0"/>
        </w:tcBorders>
      </w:tcPr>
    </w:tblStylePr>
  </w:style>
  <w:style w:type="table" w:customStyle="1" w:styleId="ListTable2-Accent31">
    <w:name w:val="List Table 2 - Accent 31"/>
    <w:basedOn w:val="TableNormal"/>
    <w:uiPriority w:val="47"/>
    <w:rsid w:val="00e23981"/>
    <w:pPr>
      <w:spacing w:after="0" w:line="240" w:lineRule="auto"/>
    </w:pPr>
    <w:rPr>
      <w:lang w:eastAsia="hr-HR"/>
      <w:sz w:val="24"/>
      <w:szCs w:val="24"/>
    </w:rPr>
    <w:tblPr>
      <w:tblStyleRowBandSize w:val="1"/>
      <w:tblStyleColBandSize w:val="1"/>
      <w:tblBorders>
        <w:top w:val="single" w:color="C2D69B" w:themeColor="accent3" w:themeTint="99" w:sz="4" w:space="0"/>
        <w:bottom w:val="single" w:color="C2D69B" w:themeColor="accent3" w:themeTint="99" w:sz="4" w:space="0"/>
        <w:insideH w:val="single" w:color="C2D69B" w:themeColor="accent3" w:themeTint="99" w:sz="4" w:space="0"/>
      </w:tblBorders>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e23981"/>
    <w:pPr>
      <w:spacing w:after="0" w:line="240" w:lineRule="auto"/>
    </w:pPr>
    <w:rPr>
      <w:lang w:eastAsia="hr-HR"/>
      <w:sz w:val="24"/>
      <w:szCs w:val="24"/>
    </w:rPr>
    <w:tblPr>
      <w:tblStyleRowBandSize w:val="1"/>
      <w:tblStyleColBandSize w:val="1"/>
      <w:tblBorders>
        <w:top w:val="single" w:color="7BA0CD" w:themeColor="accent1" w:themeTint="bf" w:sz="8" w:space="0"/>
        <w:left w:val="single" w:color="7BA0CD" w:themeColor="accent1" w:themeTint="bf" w:sz="8" w:space="0"/>
        <w:bottom w:val="single" w:color="7BA0CD" w:themeColor="accent1" w:themeTint="bf" w:sz="8" w:space="0"/>
        <w:right w:val="single" w:color="7BA0CD" w:themeColor="accent1" w:themeTint="bf" w:sz="8" w:space="0"/>
        <w:insideH w:val="single" w:color="7BA0CD" w:themeColor="accent1" w:themeTint="bf" w:sz="8" w:space="0"/>
      </w:tblBorders>
    </w:tblPr>
    <w:tblStylePr w:type="firstRow">
      <w:pPr>
        <w:spacing w:before="0" w:after="0" w:line="240" w:lineRule="auto"/>
      </w:pPr>
      <w:rPr>
        <w:b/>
        <w:bCs/>
        <w:color w:val="FFFFFF" w:themeColor="background1"/>
      </w:rPr>
      <w:tblPr/>
      <w:tcPr>
        <w:tcBorders>
          <w:top w:val="single" w:color="7BA0CD" w:themeColor="accent1" w:sz="8" w:space="0"/>
          <w:left w:val="single" w:color="7BA0CD" w:themeColor="accent1" w:sz="8" w:space="0"/>
          <w:bottom w:val="single" w:color="7BA0CD" w:themeColor="accent1" w:sz="8" w:space="0"/>
          <w:right w:val="single" w:color="7BA0CD" w:themeColor="accent1" w:sz="8" w:space="0"/>
          <w:insideH w:val="nil"/>
          <w:insideV w:val="nil"/>
        </w:tcBorders>
        <w:shd w:val="clear" w:color="auto" w:fill="4F81BD" w:themeFill="accent1"/>
      </w:tcPr>
    </w:tblStylePr>
    <w:tblStylePr w:type="lastRow">
      <w:pPr>
        <w:spacing w:before="0" w:after="0" w:line="240" w:lineRule="auto"/>
      </w:pPr>
      <w:rPr>
        <w:b/>
        <w:bCs/>
      </w:rPr>
      <w:tblPr/>
      <w:tcPr>
        <w:tcBorders>
          <w:top w:val="double" w:color="7BA0CD" w:themeColor="accent1" w:sz="6" w:space="0"/>
          <w:left w:val="single" w:color="7BA0CD" w:themeColor="accent1" w:sz="8" w:space="0"/>
          <w:bottom w:val="single" w:color="7BA0CD" w:themeColor="accent1" w:sz="8" w:space="0"/>
          <w:right w:val="single" w:color="7BA0CD" w:themeColor="accent1" w:sz="8" w:space="0"/>
          <w:insideH w:val="nil"/>
          <w:insideV w:val="nil"/>
        </w:tcBorders>
      </w:tcPr>
    </w:tblStylePr>
    <w:tblStylePr w:type="firstCol">
      <w:rPr>
        <w:b/>
        <w:bCs/>
      </w:rPr>
      <w:tblPr/>
    </w:tblStylePr>
    <w:tblStylePr w:type="lastCol">
      <w:rPr>
        <w:b/>
        <w:bCs/>
      </w:rPr>
      <w:tbl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PlainTable41">
    <w:name w:val="Plain Table 41"/>
    <w:basedOn w:val="TableNormal"/>
    <w:uiPriority w:val="44"/>
    <w:rsid w:val="00e23981"/>
    <w:pPr>
      <w:spacing w:after="0" w:line="240" w:lineRule="auto"/>
    </w:pPr>
    <w:rPr>
      <w:lang w:eastAsia="hr-HR"/>
      <w:sz w:val="24"/>
      <w:szCs w:val="24"/>
    </w:rPr>
    <w:tblPr>
      <w:tblStyleRowBandSize w:val="1"/>
      <w:tblStyleColBandSize w:val="1"/>
    </w:tblPr>
    <w:tblStylePr w:type="firstRow">
      <w:rPr>
        <w:b/>
        <w:bCs/>
      </w:rPr>
      <w:tblPr/>
    </w:tblStylePr>
    <w:tblStylePr w:type="lastRow">
      <w:rPr>
        <w:b/>
        <w:bCs/>
      </w:rPr>
      <w:tbl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ec196e"/>
    <w:pPr>
      <w:spacing w:after="0" w:line="240" w:lineRule="auto"/>
    </w:pPr>
    <w:tblPr>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style>
  <w:style w:type="table" w:customStyle="1" w:styleId="GridTable1Light1">
    <w:name w:val="Grid Table 1 Light1"/>
    <w:basedOn w:val="TableNormal"/>
    <w:uiPriority w:val="46"/>
    <w:rsid w:val="000851fb"/>
    <w:pPr>
      <w:spacing w:after="0" w:line="240" w:lineRule="auto"/>
    </w:p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sz="12" w:space="0"/>
        </w:tcBorders>
      </w:tcPr>
    </w:tblStylePr>
    <w:tblStylePr w:type="lastRow">
      <w:rPr>
        <w:b/>
        <w:bCs/>
      </w:rPr>
      <w:tblPr/>
      <w:tcPr>
        <w:tcBorders>
          <w:top w:val="double" w:color="666666" w:themeColor="text1" w:sz="2" w:space="0"/>
        </w:tcBorders>
      </w:tcPr>
    </w:tblStylePr>
    <w:tblStylePr w:type="firstCol">
      <w:rPr>
        <w:b/>
        <w:bCs/>
      </w:rPr>
      <w:tblPr/>
    </w:tblStylePr>
    <w:tblStylePr w:type="lastCol">
      <w:rPr>
        <w:b/>
        <w:bCs/>
      </w:rPr>
      <w:tblPr/>
    </w:tblStylePr>
  </w:style>
  <w:style w:type="table" w:customStyle="1" w:styleId="PlainTable11">
    <w:name w:val="Plain Table 11"/>
    <w:basedOn w:val="TableNormal"/>
    <w:uiPriority w:val="41"/>
    <w:rsid w:val="000e02f4"/>
    <w:pPr>
      <w:spacing w:after="0" w:line="240" w:lineRule="auto"/>
    </w:pPr>
    <w:tblPr>
      <w:tblStyleRowBandSize w:val="1"/>
      <w:tblStyleColBandSize w:val="1"/>
      <w:tblBorders>
        <w:top w:val="single" w:color="BFBFBF" w:themeColor="background1" w:sz="4" w:space="0"/>
        <w:left w:val="single" w:color="BFBFBF" w:themeColor="background1" w:sz="4" w:space="0"/>
        <w:bottom w:val="single" w:color="BFBFBF" w:themeColor="background1" w:sz="4" w:space="0"/>
        <w:right w:val="single" w:color="BFBFBF" w:themeColor="background1" w:sz="4" w:space="0"/>
        <w:insideH w:val="single" w:color="BFBFBF" w:themeColor="background1" w:sz="4" w:space="0"/>
        <w:insideV w:val="single" w:color="BFBFBF" w:themeColor="background1" w:sz="4" w:space="0"/>
      </w:tblBorders>
    </w:tblPr>
    <w:tblStylePr w:type="firstRow">
      <w:rPr>
        <w:b/>
        <w:bCs/>
      </w:rPr>
      <w:tblPr/>
    </w:tblStylePr>
    <w:tblStylePr w:type="lastRow">
      <w:rPr>
        <w:b/>
        <w:bCs/>
      </w:rPr>
      <w:tblPr/>
      <w:tcPr>
        <w:tcBorders>
          <w:top w:val="double" w:color="BFBFBF" w:themeColor="background1" w:sz="4" w:space="0"/>
        </w:tcBorders>
      </w:tcPr>
    </w:tblStylePr>
    <w:tblStylePr w:type="firstCol">
      <w:rPr>
        <w:b/>
        <w:bCs/>
      </w:rPr>
      <w:tblPr/>
    </w:tblStylePr>
    <w:tblStylePr w:type="lastCol">
      <w:rPr>
        <w:b/>
        <w:bCs/>
      </w:rPr>
      <w:tbl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GridTable6Colorful-Accent31">
    <w:name w:val="Grid Table 6 Colorful - Accent 31"/>
    <w:basedOn w:val="TableNormal"/>
    <w:uiPriority w:val="51"/>
    <w:rsid w:val="0042797e"/>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31">
    <w:name w:val="Grid Table 4 - Accent 31"/>
    <w:basedOn w:val="TableNormal"/>
    <w:uiPriority w:val="49"/>
    <w:rsid w:val="00a80364"/>
    <w:pPr>
      <w:spacing w:after="0" w:line="240" w:lineRule="auto"/>
    </w:p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color w:val="FFFFFF" w:themeColor="background1"/>
      </w:rPr>
      <w:tblPr/>
      <w:tcPr>
        <w:tcBorders>
          <w:top w:val="single" w:color="9BBB59" w:themeColor="accent3" w:sz="4" w:space="0"/>
          <w:left w:val="single" w:color="9BBB59" w:themeColor="accent3" w:sz="4" w:space="0"/>
          <w:bottom w:val="single" w:color="9BBB59" w:themeColor="accent3" w:sz="4" w:space="0"/>
          <w:right w:val="single" w:color="9BBB59" w:themeColor="accent3" w:sz="4" w:space="0"/>
          <w:insideH w:val="nil"/>
          <w:insideV w:val="nil"/>
        </w:tcBorders>
        <w:shd w:val="clear" w:color="auto" w:fill="9BBB59" w:themeFill="accent3"/>
      </w:tcPr>
    </w:tblStylePr>
    <w:tblStylePr w:type="lastRow">
      <w:rPr>
        <w:b/>
        <w:bCs/>
      </w:rPr>
      <w:tblPr/>
      <w:tcPr>
        <w:tcBorders>
          <w:top w:val="double" w:color="9BBB59"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61">
    <w:name w:val="Grid Table 4 - Accent 61"/>
    <w:basedOn w:val="TableNormal"/>
    <w:uiPriority w:val="49"/>
    <w:rsid w:val="00a80364"/>
    <w:pPr>
      <w:spacing w:after="0" w:line="240" w:lineRule="auto"/>
    </w:pPr>
    <w:tblPr>
      <w:tblStyleRowBandSize w:val="1"/>
      <w:tblStyleColBandSize w:val="1"/>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single" w:color="FABF8F" w:themeColor="accent6" w:themeTint="99" w:sz="4" w:space="0"/>
        <w:insideV w:val="single" w:color="FABF8F" w:themeColor="accent6" w:themeTint="99" w:sz="4" w:space="0"/>
      </w:tblBorders>
    </w:tblPr>
    <w:tblStylePr w:type="firstRow">
      <w:rPr>
        <w:b/>
        <w:bCs/>
        <w:color w:val="FFFFFF" w:themeColor="background1"/>
      </w:rPr>
      <w:tblPr/>
      <w:tcPr>
        <w:tcBorders>
          <w:top w:val="single" w:color="F79646" w:themeColor="accent6" w:sz="4" w:space="0"/>
          <w:left w:val="single" w:color="F79646" w:themeColor="accent6" w:sz="4" w:space="0"/>
          <w:bottom w:val="single" w:color="F79646" w:themeColor="accent6" w:sz="4" w:space="0"/>
          <w:right w:val="single" w:color="F79646" w:themeColor="accent6" w:sz="4" w:space="0"/>
          <w:insideH w:val="nil"/>
          <w:insideV w:val="nil"/>
        </w:tcBorders>
        <w:shd w:val="clear" w:color="auto" w:fill="F79646" w:themeFill="accent6"/>
      </w:tcPr>
    </w:tblStylePr>
    <w:tblStylePr w:type="lastRow">
      <w:rPr>
        <w:b/>
        <w:bCs/>
      </w:rPr>
      <w:tblPr/>
      <w:tcPr>
        <w:tcBorders>
          <w:top w:val="double" w:color="F79646" w:themeColor="accent6" w:sz="4" w:space="0"/>
        </w:tcBorders>
      </w:tcPr>
    </w:tblStylePr>
    <w:tblStylePr w:type="firstCol">
      <w:rPr>
        <w:b/>
        <w:bCs/>
      </w:rPr>
      <w:tblPr/>
    </w:tblStylePr>
    <w:tblStylePr w:type="lastCol">
      <w:rPr>
        <w:b/>
        <w:bCs/>
      </w:rPr>
      <w:tbl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stTable7Colorful-Accent31">
    <w:name w:val="List Table 7 Colorful - Accent 31"/>
    <w:basedOn w:val="TableNormal"/>
    <w:uiPriority w:val="52"/>
    <w:rsid w:val="00c27444"/>
    <w:pPr>
      <w:spacing w:after="0" w:line="240" w:lineRule="auto"/>
    </w:pPr>
    <w:rPr>
      <w:color w:val="76923C" w:themeColor="accent3" w:themeShade="bf"/>
    </w:rPr>
    <w:tblPr>
      <w:tblStyleRowBandSize w:val="1"/>
      <w:tblStyleColBandSize w:val="1"/>
    </w:tblPr>
    <w:tblStylePr w:type="firstRow">
      <w:rPr>
        <w:rFonts w:asciiTheme="majorHAnsi" w:hAnsiTheme="majorHAnsi" w:eastAsiaTheme="majorEastAsia" w:cstheme="majorBidi"/>
        <w:i/>
        <w:sz w:val="26"/>
      </w:rPr>
      <w:tblPr/>
      <w:tcPr>
        <w:tcBorders>
          <w:bottom w:val="single" w:color="9BBB59" w:themeColor="accent3" w:sz="4" w:space="0"/>
        </w:tcBorders>
        <w:shd w:val="clear" w:color="auto" w:fill="FFFFFF" w:themeFill="background1"/>
      </w:tcPr>
    </w:tblStylePr>
    <w:tblStylePr w:type="lastRow">
      <w:rPr>
        <w:rFonts w:asciiTheme="majorHAnsi" w:hAnsiTheme="majorHAnsi" w:eastAsiaTheme="majorEastAsia" w:cstheme="majorBidi"/>
        <w:i/>
        <w:sz w:val="26"/>
      </w:rPr>
      <w:tblPr/>
      <w:tcPr>
        <w:tcBorders>
          <w:top w:val="single" w:color="9BBB59" w:themeColor="accent3" w:sz="4" w:space="0"/>
        </w:tcBorders>
        <w:shd w:val="clear" w:color="auto" w:fill="FFFFFF" w:themeFill="background1"/>
      </w:tcPr>
    </w:tblStylePr>
    <w:tblStylePr w:type="firstCol">
      <w:pPr>
        <w:jc w:val="right"/>
      </w:pPr>
      <w:rPr>
        <w:rFonts w:asciiTheme="majorHAnsi" w:hAnsiTheme="majorHAnsi" w:eastAsiaTheme="majorEastAsia" w:cstheme="majorBidi"/>
        <w:i/>
        <w:sz w:val="26"/>
      </w:rPr>
      <w:tblPr/>
      <w:tcPr>
        <w:tcBorders>
          <w:right w:val="single" w:color="9BBB59" w:themeColor="accent3" w:sz="4" w:space="0"/>
        </w:tcBorders>
        <w:shd w:val="clear" w:color="auto" w:fill="FFFFFF" w:themeFill="background1"/>
      </w:tcPr>
    </w:tblStylePr>
    <w:tblStylePr w:type="lastCol">
      <w:rPr>
        <w:rFonts w:asciiTheme="majorHAnsi" w:hAnsiTheme="majorHAnsi" w:eastAsiaTheme="majorEastAsia" w:cstheme="majorBidi"/>
        <w:i/>
        <w:sz w:val="26"/>
      </w:rPr>
      <w:tblPr/>
      <w:tcPr>
        <w:tcBorders>
          <w:left w:val="single" w:color="9BBB59" w:themeColor="accent3" w:sz="4" w:space="0"/>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4-Accent31">
    <w:name w:val="List Table 4 - Accent 31"/>
    <w:basedOn w:val="TableNormal"/>
    <w:uiPriority w:val="49"/>
    <w:rsid w:val="00470c48"/>
    <w:pPr>
      <w:spacing w:after="0" w:line="240" w:lineRule="auto"/>
    </w:p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tblBorders>
    </w:tblPr>
    <w:tblStylePr w:type="firstRow">
      <w:rPr>
        <w:b/>
        <w:bCs/>
        <w:color w:val="FFFFFF" w:themeColor="background1"/>
      </w:rPr>
      <w:tblPr/>
      <w:tcPr>
        <w:tcBorders>
          <w:top w:val="single" w:color="9BBB59" w:themeColor="accent3" w:sz="4" w:space="0"/>
          <w:left w:val="single" w:color="9BBB59" w:themeColor="accent3" w:sz="4" w:space="0"/>
          <w:bottom w:val="single" w:color="9BBB59" w:themeColor="accent3" w:sz="4" w:space="0"/>
          <w:right w:val="single" w:color="9BBB59" w:themeColor="accent3" w:sz="4" w:space="0"/>
          <w:insideH w:val="nil"/>
        </w:tcBorders>
        <w:shd w:val="clear" w:color="auto" w:fill="9BBB59" w:themeFill="accent3"/>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6Colorful-Accent31">
    <w:name w:val="List Table 6 Colorful - Accent 31"/>
    <w:basedOn w:val="TableNormal"/>
    <w:uiPriority w:val="51"/>
    <w:rsid w:val="00470c48"/>
    <w:pPr>
      <w:spacing w:after="0" w:line="240" w:lineRule="auto"/>
    </w:pPr>
    <w:rPr>
      <w:color w:val="76923C" w:themeColor="accent3" w:themeShade="bf"/>
    </w:rPr>
    <w:tblPr>
      <w:tblStyleRowBandSize w:val="1"/>
      <w:tblStyleColBandSize w:val="1"/>
      <w:tblBorders>
        <w:top w:val="single" w:color="9BBB59" w:themeColor="accent3" w:sz="4" w:space="0"/>
        <w:bottom w:val="single" w:color="9BBB59" w:themeColor="accent3" w:sz="4" w:space="0"/>
      </w:tblBorders>
    </w:tblPr>
    <w:tblStylePr w:type="firstRow">
      <w:rPr>
        <w:b/>
        <w:bCs/>
      </w:rPr>
      <w:tblPr/>
      <w:tcPr>
        <w:tcBorders>
          <w:bottom w:val="single" w:color="9BBB59" w:themeColor="accent3" w:sz="4" w:space="0"/>
        </w:tcBorders>
      </w:tcPr>
    </w:tblStylePr>
    <w:tblStylePr w:type="lastRow">
      <w:rPr>
        <w:b/>
        <w:bCs/>
      </w:rPr>
      <w:tblPr/>
      <w:tcPr>
        <w:tcBorders>
          <w:top w:val="double" w:color="9BBB59"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31">
    <w:name w:val="List Table 1 Light - Accent 31"/>
    <w:basedOn w:val="TableNormal"/>
    <w:uiPriority w:val="46"/>
    <w:rsid w:val="00400797"/>
    <w:pPr>
      <w:spacing w:after="0" w:line="240" w:lineRule="auto"/>
    </w:pPr>
    <w:tblPr>
      <w:tblStyleRowBandSize w:val="1"/>
      <w:tblStyleColBandSize w:val="1"/>
    </w:tblPr>
    <w:tblStylePr w:type="firstRow">
      <w:rPr>
        <w:b/>
        <w:bCs/>
      </w:rPr>
      <w:tblPr/>
      <w:tcPr>
        <w:tcBorders>
          <w:bottom w:val="single" w:color="C2D69B" w:themeColor="accent3" w:sz="4" w:space="0"/>
        </w:tcBorders>
      </w:tcPr>
    </w:tblStylePr>
    <w:tblStylePr w:type="lastRow">
      <w:rPr>
        <w:b/>
        <w:bCs/>
      </w:rPr>
      <w:tblPr/>
      <w:tcPr>
        <w:tcBorders>
          <w:top w:val="sing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2-Accent32">
    <w:name w:val="Grid Table 2 - Accent 32"/>
    <w:basedOn w:val="TableNormal"/>
    <w:uiPriority w:val="47"/>
    <w:rsid w:val="00d57db7"/>
    <w:pPr>
      <w:spacing w:after="0" w:line="240" w:lineRule="auto"/>
    </w:pPr>
    <w:tblPr>
      <w:tblStyleRowBandSize w:val="1"/>
      <w:tblStyleColBandSize w:val="1"/>
      <w:tblBorders>
        <w:top w:val="single" w:color="C2D69B" w:themeColor="accent3" w:themeTint="99" w:sz="2" w:space="0"/>
        <w:bottom w:val="single" w:color="C2D69B" w:themeColor="accent3" w:themeTint="99" w:sz="2" w:space="0"/>
        <w:insideH w:val="single" w:color="C2D69B" w:themeColor="accent3" w:themeTint="99" w:sz="2" w:space="0"/>
        <w:insideV w:val="single" w:color="C2D69B" w:themeColor="accent3" w:themeTint="99" w:sz="2" w:space="0"/>
      </w:tblBorders>
    </w:tblPr>
    <w:tblStylePr w:type="firstRow">
      <w:rPr>
        <w:b/>
        <w:bCs/>
      </w:rPr>
      <w:tblPr/>
      <w:tcPr>
        <w:tcBorders>
          <w:top w:val="nil"/>
          <w:bottom w:val="single" w:color="C2D69B" w:themeColor="accent3" w:sz="12" w:space="0"/>
          <w:insideH w:val="nil"/>
          <w:insideV w:val="nil"/>
        </w:tcBorders>
        <w:shd w:val="clear" w:color="auto" w:fill="FFFFFF" w:themeFill="background1"/>
      </w:tcPr>
    </w:tblStylePr>
    <w:tblStylePr w:type="lastRow">
      <w:rPr>
        <w:b/>
        <w:bCs/>
      </w:rPr>
      <w:tblPr/>
      <w:tcPr>
        <w:tcBorders>
          <w:top w:val="double" w:color="C2D69B" w:themeColor="accent3" w:sz="2" w:space="0"/>
          <w:bottom w:val="nil"/>
          <w:insideH w:val="nil"/>
          <w:insideV w:val="nil"/>
        </w:tcBorders>
        <w:shd w:val="clear" w:color="auto" w:fill="FFFFFF" w:themeFill="background1"/>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
    <w:name w:val="Živopisna tablica rešetke 6 - isticanje 31"/>
    <w:basedOn w:val="TableNormal"/>
    <w:uiPriority w:val="51"/>
    <w:rsid w:val="00180c90"/>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
    <w:name w:val="Živopisna tablica rešetke 6 - isticanje 32"/>
    <w:basedOn w:val="TableNormal"/>
    <w:uiPriority w:val="51"/>
    <w:rsid w:val="00e26261"/>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styleId="MediumGrid3-Accent4">
    <w:name w:val="Medium Grid 3 Accent 4"/>
    <w:basedOn w:val="TableNormal"/>
    <w:uiPriority w:val="69"/>
    <w:rsid w:val="00230945"/>
    <w:pPr>
      <w:spacing w:after="0" w:line="240" w:lineRule="auto"/>
    </w:pPr>
    <w:rPr>
      <w:lang w:eastAsia="hr-HR"/>
      <w:sz w:val="20"/>
      <w:szCs w:val="20"/>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DFD8E8" w:themeFill="accent4" w:themeFillTint="3f"/>
    </w:tcPr>
    <w:tblStylePr w:type="firstRow">
      <w:rPr>
        <w:b/>
        <w:bCs/>
        <w:i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8064A2" w:themeFill="accent4"/>
      </w:tcPr>
    </w:tblStylePr>
    <w:tblStylePr w:type="lastRow">
      <w:rPr>
        <w:b/>
        <w:bCs/>
        <w:i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8064A2" w:themeFill="accent4"/>
      </w:tcPr>
    </w:tblStylePr>
    <w:tblStylePr w:type="firstCol">
      <w:rPr>
        <w:b/>
        <w:bCs/>
        <w:i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8064A2" w:themeFill="accent4"/>
      </w:tcPr>
    </w:tblStylePr>
    <w:tblStylePr w:type="lastCol">
      <w:rPr>
        <w:b/>
        <w:bCs/>
        <w:i w:val="0"/>
        <w:color w:val="FFFFFF" w:themeColor="background1"/>
      </w:rPr>
      <w:tblPr/>
      <w:tcPr>
        <w:tcBorders>
          <w:top w:val="nil"/>
          <w:left w:val="single" w:color="FFFFFF" w:themeColor="background1" w:sz="24" w:space="0"/>
          <w:bottom w:val="nil"/>
          <w:right w:val="nil"/>
          <w:insideH w:val="nil"/>
          <w:insideV w:val="nil"/>
        </w:tcBorders>
        <w:shd w:val="clear" w:color="auto" w:fill="8064A2" w:themeFill="accent4"/>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BFB1D0" w:themeFill="accent4"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BFB1D0" w:themeFill="accent4" w:themeFillTint="7f"/>
      </w:tcPr>
    </w:tblStylePr>
  </w:style>
  <w:style w:type="table" w:customStyle="1" w:styleId="GridTable3-Accent31">
    <w:name w:val="Grid Table 3 - Accent 31"/>
    <w:basedOn w:val="TableNormal"/>
    <w:uiPriority w:val="48"/>
    <w:rsid w:val="00230945"/>
    <w:pPr>
      <w:spacing w:after="0" w:line="240" w:lineRule="auto"/>
    </w:p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rPr>
      <w:tblPr/>
      <w:tcPr>
        <w:tcBorders>
          <w:top w:val="nil"/>
          <w:left w:val="nil"/>
          <w:bottom w:val="nil"/>
          <w:insideH w:val="nil"/>
          <w:insideV w:val="nil"/>
        </w:tcBorders>
        <w:shd w:val="clear" w:color="auto" w:fill="FFFFFF" w:themeFill="background1"/>
      </w:tcPr>
    </w:tblStylePr>
    <w:tblStylePr w:type="lastCol">
      <w:rPr>
        <w:i/>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color="C2D69B" w:themeColor="accent3" w:sz="4" w:space="0"/>
        </w:tcBorders>
      </w:tcPr>
    </w:tblStylePr>
    <w:tblStylePr w:type="nwCell">
      <w:tblPr/>
      <w:tcPr>
        <w:tcBorders>
          <w:bottom w:val="single" w:color="C2D69B" w:themeColor="accent3" w:sz="4" w:space="0"/>
        </w:tcBorders>
      </w:tcPr>
    </w:tblStylePr>
    <w:tblStylePr w:type="seCell">
      <w:tblPr/>
      <w:tcPr>
        <w:tcBorders>
          <w:top w:val="single" w:color="C2D69B" w:themeColor="accent3" w:sz="4" w:space="0"/>
        </w:tcBorders>
      </w:tcPr>
    </w:tblStylePr>
    <w:tblStylePr w:type="swCell">
      <w:tblPr/>
      <w:tcPr>
        <w:tcBorders>
          <w:top w:val="single" w:color="C2D69B" w:themeColor="accent3" w:sz="4" w:space="0"/>
        </w:tcBorders>
      </w:tcPr>
    </w:tblStylePr>
  </w:style>
  <w:style w:type="table" w:customStyle="1" w:styleId="ivopisnatablicareetke6-isticanje321">
    <w:name w:val="Živopisna tablica rešetke 6 - isticanje 321"/>
    <w:basedOn w:val="TableNormal"/>
    <w:uiPriority w:val="51"/>
    <w:rsid w:val="00d9436c"/>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uiPriority w:val="51"/>
    <w:rsid w:val="00c6789c"/>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uiPriority w:val="51"/>
    <w:rsid w:val="00c6789c"/>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TableNormal"/>
    <w:uiPriority w:val="51"/>
    <w:rsid w:val="00c6789c"/>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TableNormal"/>
    <w:uiPriority w:val="51"/>
    <w:rsid w:val="00c6789c"/>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TableNormal"/>
    <w:uiPriority w:val="51"/>
    <w:rsid w:val="00c6789c"/>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TableNormal"/>
    <w:uiPriority w:val="51"/>
    <w:rsid w:val="0064522f"/>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3">
    <w:name w:val="Živopisna tablica rešetke 6 - isticanje 323"/>
    <w:basedOn w:val="TableNormal"/>
    <w:uiPriority w:val="51"/>
    <w:rsid w:val="0064522f"/>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uiPriority w:val="51"/>
    <w:rsid w:val="0064522f"/>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TableNormal"/>
    <w:uiPriority w:val="59"/>
    <w:rsid w:val="00a87ff1"/>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ivopisnatablicareetke6-isticanje313">
    <w:name w:val="Živopisna tablica rešetke 6 - isticanje 313"/>
    <w:basedOn w:val="TableNormal"/>
    <w:uiPriority w:val="51"/>
    <w:rsid w:val="007c280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uiPriority w:val="51"/>
    <w:rsid w:val="007c280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uiPriority w:val="51"/>
    <w:rsid w:val="0020364e"/>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uiPriority w:val="51"/>
    <w:rsid w:val="0020364e"/>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uiPriority w:val="51"/>
    <w:rsid w:val="004a6a17"/>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uiPriority w:val="51"/>
    <w:rsid w:val="00b431a7"/>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uiPriority w:val="51"/>
    <w:rsid w:val="00b431a7"/>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uiPriority w:val="51"/>
    <w:rsid w:val="00b431a7"/>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uiPriority w:val="51"/>
    <w:rsid w:val="00e54b7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uiPriority w:val="51"/>
    <w:rsid w:val="00e54b7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uiPriority w:val="51"/>
    <w:rsid w:val="00e54b7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uiPriority w:val="51"/>
    <w:rsid w:val="00e54b7b"/>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uiPriority w:val="51"/>
    <w:rsid w:val="00607d74"/>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uiPriority w:val="51"/>
    <w:rsid w:val="00607d74"/>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uiPriority w:val="51"/>
    <w:rsid w:val="00c56f9d"/>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uiPriority w:val="51"/>
    <w:rsid w:val="00130281"/>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1">
    <w:name w:val="Živopisna tablica rešetke 6 - isticanje 3121"/>
    <w:basedOn w:val="TableNormal"/>
    <w:uiPriority w:val="51"/>
    <w:rsid w:val="007248ca"/>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2">
    <w:name w:val="Živopisna tablica rešetke 6 - isticanje 3122"/>
    <w:basedOn w:val="TableNormal"/>
    <w:uiPriority w:val="51"/>
    <w:rsid w:val="00301b06"/>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3">
    <w:name w:val="Živopisna tablica rešetke 6 - isticanje 3123"/>
    <w:basedOn w:val="TableNormal"/>
    <w:uiPriority w:val="51"/>
    <w:rsid w:val="00301b06"/>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24">
    <w:name w:val="Živopisna tablica rešetke 6 - isticanje 3124"/>
    <w:basedOn w:val="TableNormal"/>
    <w:uiPriority w:val="51"/>
    <w:rsid w:val="00ea3925"/>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TableNormal"/>
    <w:uiPriority w:val="51"/>
    <w:rsid w:val="00ed2976"/>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232">
    <w:name w:val="Živopisna tablica rešetke 6 - isticanje 3232"/>
    <w:basedOn w:val="TableNormal"/>
    <w:uiPriority w:val="51"/>
    <w:rsid w:val="00ed2976"/>
    <w:pPr>
      <w:spacing w:after="0" w:line="240" w:lineRule="auto"/>
    </w:pPr>
    <w:rPr>
      <w:color w:val="76923C"/>
    </w:rPr>
    <w:tblPr>
      <w:tblStyleRowBandSize w:val="1"/>
      <w:tblStyleColBandSize w:val="1"/>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tblStylePr w:type="firstRow">
      <w:rPr>
        <w:b/>
        <w:bCs/>
      </w:rPr>
      <w:tblPr/>
      <w:tcPr>
        <w:tcBorders>
          <w:bottom w:val="single" w:color="C2D69B" w:sz="12" w:space="0"/>
        </w:tcBorders>
      </w:tcPr>
    </w:tblStylePr>
    <w:tblStylePr w:type="lastRow">
      <w:rPr>
        <w:b/>
        <w:bCs/>
      </w:rPr>
      <w:tblPr/>
      <w:tcPr>
        <w:tcBorders>
          <w:top w:val="double" w:color="C2D69B" w:sz="4" w:space="0"/>
        </w:tcBorders>
      </w:tcPr>
    </w:tblStylePr>
    <w:tblStylePr w:type="firstCol">
      <w:rPr>
        <w:b/>
        <w:bCs/>
      </w:rPr>
      <w:tblPr/>
    </w:tblStylePr>
    <w:tblStylePr w:type="lastCol">
      <w:rPr>
        <w:b/>
        <w:bCs/>
      </w:rPr>
      <w:tblPr/>
    </w:tblStylePr>
    <w:tblStylePr w:type="band1Vert">
      <w:tblPr/>
      <w:tcPr>
        <w:shd w:val="clear" w:color="auto" w:fill="EAF1DD"/>
      </w:tcPr>
    </w:tblStylePr>
    <w:tblStylePr w:type="band1Horz">
      <w:tblPr/>
      <w:tcPr>
        <w:shd w:val="clear" w:color="auto" w:fill="EAF1DD"/>
      </w:tcPr>
    </w:tblStylePr>
  </w:style>
  <w:style w:type="table" w:customStyle="1" w:styleId="TableNormal1">
    <w:name w:val="Table Normal1"/>
    <w:uiPriority w:val="2"/>
    <w:semiHidden/>
    <w:unhideWhenUsed/>
    <w:qFormat/>
    <w:rsid w:val="00a2228a"/>
    <w:pPr>
      <w:spacing w:after="0" w:line="240" w:lineRule="auto"/>
    </w:pPr>
    <w:rPr>
      <w:lang w:val="en-US"/>
    </w:rPr>
    <w:tblPr>
      <w:tblInd w:w="0" w:type="dxa"/>
      <w:tblCellMar>
        <w:top w:w="0" w:type="dxa"/>
        <w:left w:w="0" w:type="dxa"/>
        <w:bottom w:w="0" w:type="dxa"/>
        <w:right w:w="0" w:type="dxa"/>
      </w:tblCellMar>
    </w:tblPr>
  </w:style>
  <w:style w:type="table" w:customStyle="1" w:styleId="ivopisnatablicareetke6-isticanje344">
    <w:name w:val="Živopisna tablica rešetke 6 - isticanje 344"/>
    <w:basedOn w:val="TableNormal"/>
    <w:uiPriority w:val="51"/>
    <w:rsid w:val="00e42514"/>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3">
    <w:name w:val="Grid Table 6 Colorful Accent 3"/>
    <w:basedOn w:val="TableNormal"/>
    <w:uiPriority w:val="51"/>
    <w:rsid w:val="00e42514"/>
    <w:pPr>
      <w:spacing w:after="0" w:line="240" w:lineRule="auto"/>
    </w:pPr>
    <w:rPr>
      <w:color w:val="76923C" w:themeColor="accent3" w:themeShade="bf"/>
    </w:rPr>
    <w:tblPr>
      <w:tblStyleRowBandSize w:val="1"/>
      <w:tblStyleColBandSize w:val="1"/>
      <w:tblBorders>
        <w:top w:val="single" w:color="C2D69B" w:themeColor="accent3" w:themeTint="99" w:sz="4" w:space="0"/>
        <w:left w:val="single" w:color="C2D69B" w:themeColor="accent3" w:themeTint="99" w:sz="4" w:space="0"/>
        <w:bottom w:val="single" w:color="C2D69B" w:themeColor="accent3" w:themeTint="99" w:sz="4" w:space="0"/>
        <w:right w:val="single" w:color="C2D69B" w:themeColor="accent3" w:themeTint="99" w:sz="4" w:space="0"/>
        <w:insideH w:val="single" w:color="C2D69B" w:themeColor="accent3" w:themeTint="99" w:sz="4" w:space="0"/>
        <w:insideV w:val="single" w:color="C2D69B" w:themeColor="accent3" w:themeTint="99" w:sz="4" w:space="0"/>
      </w:tblBorders>
    </w:tblPr>
    <w:tblStylePr w:type="firstRow">
      <w:rPr>
        <w:b/>
        <w:bCs/>
      </w:rPr>
      <w:tblPr/>
      <w:tcPr>
        <w:tcBorders>
          <w:bottom w:val="single" w:color="C2D69B" w:themeColor="accent3" w:sz="12" w:space="0"/>
        </w:tcBorders>
      </w:tcPr>
    </w:tblStylePr>
    <w:tblStylePr w:type="lastRow">
      <w:rPr>
        <w:b/>
        <w:bCs/>
      </w:rPr>
      <w:tblPr/>
      <w:tcPr>
        <w:tcBorders>
          <w:top w:val="double" w:color="C2D69B" w:themeColor="accent3" w:sz="4" w:space="0"/>
        </w:tcBorders>
      </w:tcPr>
    </w:tblStylePr>
    <w:tblStylePr w:type="firstCol">
      <w:rPr>
        <w:b/>
        <w:bCs/>
      </w:rPr>
      <w:tblPr/>
    </w:tblStylePr>
    <w:tblStylePr w:type="lastCol">
      <w:rPr>
        <w:b/>
        <w:bCs/>
      </w:rPr>
      <w:tbl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14">
    <w:name w:val="Rešetka tablice14"/>
    <w:basedOn w:val="TableNormal"/>
    <w:uiPriority w:val="59"/>
    <w:rsid w:val="00487338"/>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1">
    <w:name w:val="Rešetka tablice141"/>
    <w:basedOn w:val="TableNormal"/>
    <w:uiPriority w:val="59"/>
    <w:rsid w:val="00487338"/>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2">
    <w:name w:val="Rešetka tablice142"/>
    <w:basedOn w:val="TableNormal"/>
    <w:uiPriority w:val="59"/>
    <w:rsid w:val="0050059e"/>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3">
    <w:name w:val="Rešetka tablice143"/>
    <w:basedOn w:val="TableNormal"/>
    <w:uiPriority w:val="59"/>
    <w:rsid w:val="003a6053"/>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4">
    <w:name w:val="Rešetka tablice144"/>
    <w:basedOn w:val="TableNormal"/>
    <w:uiPriority w:val="59"/>
    <w:rsid w:val="003a6053"/>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5">
    <w:name w:val="Rešetka tablice145"/>
    <w:basedOn w:val="TableNormal"/>
    <w:uiPriority w:val="59"/>
    <w:rsid w:val="003a6053"/>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6">
    <w:name w:val="Rešetka tablice146"/>
    <w:basedOn w:val="TableNormal"/>
    <w:uiPriority w:val="59"/>
    <w:rsid w:val="00c54455"/>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21">
    <w:name w:val="Rešetka tablice1421"/>
    <w:basedOn w:val="TableNormal"/>
    <w:uiPriority w:val="59"/>
    <w:rsid w:val="00c54455"/>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0">
    <w:name w:val="Rešetka tablice10"/>
    <w:basedOn w:val="TableNormal"/>
    <w:uiPriority w:val="59"/>
    <w:rsid w:val="00c54455"/>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22">
    <w:name w:val="Rešetka tablice1422"/>
    <w:basedOn w:val="TableNormal"/>
    <w:uiPriority w:val="59"/>
    <w:rsid w:val="00ff0cfd"/>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23">
    <w:name w:val="Rešetka tablice1423"/>
    <w:basedOn w:val="TableNormal"/>
    <w:uiPriority w:val="59"/>
    <w:rsid w:val="00ff0cfd"/>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24">
    <w:name w:val="Rešetka tablice1424"/>
    <w:basedOn w:val="TableNormal"/>
    <w:uiPriority w:val="59"/>
    <w:rsid w:val="00334236"/>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1">
    <w:name w:val="Table Grid1"/>
    <w:basedOn w:val="TableNormal"/>
    <w:uiPriority w:val="39"/>
    <w:rsid w:val="00eb3173"/>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2">
    <w:name w:val="Table Grid2"/>
    <w:basedOn w:val="TableNormal"/>
    <w:uiPriority w:val="39"/>
    <w:rsid w:val="002968b5"/>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11">
    <w:name w:val="Table Grid11"/>
    <w:basedOn w:val="TableNormal"/>
    <w:uiPriority w:val="59"/>
    <w:rsid w:val="00ae1b5c"/>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Reetkatablice1441">
    <w:name w:val="Rešetka tablice1441"/>
    <w:basedOn w:val="TableNormal"/>
    <w:uiPriority w:val="59"/>
    <w:rsid w:val="009a09f1"/>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3">
    <w:name w:val="Table Grid3"/>
    <w:basedOn w:val="TableNormal"/>
    <w:uiPriority w:val="39"/>
    <w:rsid w:val="009e471b"/>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table" w:customStyle="1" w:styleId="TableGrid4">
    <w:name w:val="Table Grid4"/>
    <w:basedOn w:val="TableNormal"/>
    <w:uiPriority w:val="39"/>
    <w:rsid w:val="002618c3"/>
    <w:pPr>
      <w:spacing w:after="0" w:line="240" w:lineRule="auto"/>
    </w:pPr>
    <w:rPr>
      <w:lang w:eastAsia="hr-HR"/>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jpeg"/><Relationship Id="rId15" Type="http://schemas.openxmlformats.org/officeDocument/2006/relationships/image" Target="media/image14.png"/><Relationship Id="rId16" Type="http://schemas.openxmlformats.org/officeDocument/2006/relationships/image" Target="media/image15.png"/><Relationship Id="rId17" Type="http://schemas.openxmlformats.org/officeDocument/2006/relationships/chart" Target="charts/chart1.xml"/><Relationship Id="rId18" Type="http://schemas.openxmlformats.org/officeDocument/2006/relationships/hyperlink" Target="tel:052" TargetMode="External"/><Relationship Id="rId19" Type="http://schemas.openxmlformats.org/officeDocument/2006/relationships/hyperlink" Target="mailto:ured@ss-leonardodavinci-buje.skole.hr" TargetMode="External"/><Relationship Id="rId20" Type="http://schemas.openxmlformats.org/officeDocument/2006/relationships/hyperlink" Target="mailto:djecji-vrtic-buje@pu.t-com.hr" TargetMode="External"/><Relationship Id="rId21" Type="http://schemas.openxmlformats.org/officeDocument/2006/relationships/hyperlink" Target="mailto:talijanski.d.v.fregola@pu.t-com.hr" TargetMode="External"/><Relationship Id="rId22" Type="http://schemas.openxmlformats.org/officeDocument/2006/relationships/image" Target="media/image16.png"/><Relationship Id="rId23" Type="http://schemas.openxmlformats.org/officeDocument/2006/relationships/hyperlink" Target="http://www.min-kulture.hr/default.aspx?id=6212&amp;kdId=300883830" TargetMode="External"/><Relationship Id="rId24" Type="http://schemas.openxmlformats.org/officeDocument/2006/relationships/hyperlink" Target="http://www.min-kulture.hr/default.aspx?id=6212&amp;kdId=300883935" TargetMode="External"/><Relationship Id="rId25" Type="http://schemas.openxmlformats.org/officeDocument/2006/relationships/hyperlink" Target="http://www.min-kulture.hr/default.aspx?id=6212&amp;kdId=300883744" TargetMode="External"/><Relationship Id="rId26" Type="http://schemas.openxmlformats.org/officeDocument/2006/relationships/hyperlink" Target="http://www.min-kulture.hr/default.aspx?id=6212&amp;kdId=300883972" TargetMode="External"/><Relationship Id="rId27" Type="http://schemas.openxmlformats.org/officeDocument/2006/relationships/hyperlink" Target="http://www.min-kulture.hr/default.aspx?id=6212&amp;kdId=300883869" TargetMode="External"/><Relationship Id="rId28" Type="http://schemas.openxmlformats.org/officeDocument/2006/relationships/hyperlink" Target="http://www.min-kulture.hr/default.aspx?id=6212&amp;kdId=300882086" TargetMode="External"/><Relationship Id="rId29" Type="http://schemas.openxmlformats.org/officeDocument/2006/relationships/hyperlink" Target="http://www.min-kulture.hr/default.aspx?id=6212&amp;kdId=300879430" TargetMode="External"/><Relationship Id="rId30" Type="http://schemas.openxmlformats.org/officeDocument/2006/relationships/hyperlink" Target="http://www.min-kulture.hr/" TargetMode="External"/><Relationship Id="rId31" Type="http://schemas.openxmlformats.org/officeDocument/2006/relationships/header" Target="header2.xml"/><Relationship Id="rId32" Type="http://schemas.openxmlformats.org/officeDocument/2006/relationships/header" Target="header3.xml"/><Relationship Id="rId33" Type="http://schemas.openxmlformats.org/officeDocument/2006/relationships/footer" Target="footer1.xml"/><Relationship Id="rId34" Type="http://schemas.openxmlformats.org/officeDocument/2006/relationships/footer" Target="footer2.xml"/><Relationship Id="rId35" Type="http://schemas.openxmlformats.org/officeDocument/2006/relationships/header" Target="header4.xml"/><Relationship Id="rId36" Type="http://schemas.openxmlformats.org/officeDocument/2006/relationships/header" Target="header5.xml"/><Relationship Id="rId37" Type="http://schemas.openxmlformats.org/officeDocument/2006/relationships/footer" Target="footer3.xml"/><Relationship Id="rId38" Type="http://schemas.openxmlformats.org/officeDocument/2006/relationships/footer" Target="footer4.xml"/><Relationship Id="rId39" Type="http://schemas.openxmlformats.org/officeDocument/2006/relationships/image" Target="media/image25.png"/><Relationship Id="rId40" Type="http://schemas.openxmlformats.org/officeDocument/2006/relationships/image" Target="media/image26.jpe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hyperlink" Target="https://www.nadji.info/hr/kaldanija/ulica/plovanija/as28450321/" TargetMode="External"/><Relationship Id="rId53" Type="http://schemas.openxmlformats.org/officeDocument/2006/relationships/hyperlink" Target="https://www.nadji.info/hr/kaldanija/ac53282173/" TargetMode="External"/><Relationship Id="rId54" Type="http://schemas.openxmlformats.org/officeDocument/2006/relationships/image" Target="media/image38.png"/><Relationship Id="rId55" Type="http://schemas.openxmlformats.org/officeDocument/2006/relationships/image" Target="media/image39.png"/><Relationship Id="rId56" Type="http://schemas.openxmlformats.org/officeDocument/2006/relationships/image" Target="media/image40.png"/><Relationship Id="rId57" Type="http://schemas.openxmlformats.org/officeDocument/2006/relationships/image" Target="media/image41.png"/><Relationship Id="rId58" Type="http://schemas.openxmlformats.org/officeDocument/2006/relationships/image" Target="media/image42.png"/><Relationship Id="rId59" Type="http://schemas.openxmlformats.org/officeDocument/2006/relationships/image" Target="media/image43.png"/><Relationship Id="rId60" Type="http://schemas.openxmlformats.org/officeDocument/2006/relationships/image" Target="media/image44.png"/><Relationship Id="rId61" Type="http://schemas.openxmlformats.org/officeDocument/2006/relationships/image" Target="media/image45.png"/><Relationship Id="rId62" Type="http://schemas.openxmlformats.org/officeDocument/2006/relationships/image" Target="media/image46.png"/><Relationship Id="rId63" Type="http://schemas.openxmlformats.org/officeDocument/2006/relationships/image" Target="media/image47.png"/><Relationship Id="rId64" Type="http://schemas.openxmlformats.org/officeDocument/2006/relationships/image" Target="media/image48.png"/><Relationship Id="rId65" Type="http://schemas.openxmlformats.org/officeDocument/2006/relationships/image" Target="media/image49.png"/><Relationship Id="rId66" Type="http://schemas.openxmlformats.org/officeDocument/2006/relationships/image" Target="media/image50.png"/><Relationship Id="rId67" Type="http://schemas.openxmlformats.org/officeDocument/2006/relationships/image" Target="media/image51.png"/><Relationship Id="rId68" Type="http://schemas.openxmlformats.org/officeDocument/2006/relationships/image" Target="media/image52.png"/><Relationship Id="rId69" Type="http://schemas.openxmlformats.org/officeDocument/2006/relationships/image" Target="media/image53.png"/><Relationship Id="rId70" Type="http://schemas.openxmlformats.org/officeDocument/2006/relationships/image" Target="media/image54.png"/><Relationship Id="rId71" Type="http://schemas.openxmlformats.org/officeDocument/2006/relationships/image" Target="media/image55.png"/><Relationship Id="rId72" Type="http://schemas.openxmlformats.org/officeDocument/2006/relationships/image" Target="media/image56.png"/><Relationship Id="rId73" Type="http://schemas.openxmlformats.org/officeDocument/2006/relationships/image" Target="media/image57.png"/><Relationship Id="rId74" Type="http://schemas.openxmlformats.org/officeDocument/2006/relationships/hyperlink" Target="https://hr.wikipedia.org/wiki/Vibracije" TargetMode="External"/><Relationship Id="rId75" Type="http://schemas.openxmlformats.org/officeDocument/2006/relationships/hyperlink" Target="https://hr.wikipedia.org/wiki/Tlo" TargetMode="External"/><Relationship Id="rId76" Type="http://schemas.openxmlformats.org/officeDocument/2006/relationships/hyperlink" Target="https://hr.wikipedia.org/wiki/Stijena" TargetMode="External"/><Relationship Id="rId77" Type="http://schemas.openxmlformats.org/officeDocument/2006/relationships/hyperlink" Target="https://hr.wikipedia.org/wiki/Magma" TargetMode="External"/><Relationship Id="rId78" Type="http://schemas.openxmlformats.org/officeDocument/2006/relationships/hyperlink" Target="https://hr.wikipedia.org/wiki/Vulkan" TargetMode="External"/><Relationship Id="rId79" Type="http://schemas.openxmlformats.org/officeDocument/2006/relationships/hyperlink" Target="https://hr.wikipedia.org/wiki/Tektonika_plo&#269;a" TargetMode="External"/><Relationship Id="rId80" Type="http://schemas.openxmlformats.org/officeDocument/2006/relationships/hyperlink" Target="https://hr.wikipedia.org/wiki/Litosfera" TargetMode="External"/><Relationship Id="rId81" Type="http://schemas.openxmlformats.org/officeDocument/2006/relationships/hyperlink" Target="https://hr.wikipedia.org/wiki/Zemljin_pla&#353;t" TargetMode="External"/><Relationship Id="rId82" Type="http://schemas.openxmlformats.org/officeDocument/2006/relationships/image" Target="media/image58.jpeg"/><Relationship Id="rId83" Type="http://schemas.openxmlformats.org/officeDocument/2006/relationships/image" Target="media/image59.jpeg"/><Relationship Id="rId84" Type="http://schemas.openxmlformats.org/officeDocument/2006/relationships/image" Target="media/image60.png"/><Relationship Id="rId85" Type="http://schemas.openxmlformats.org/officeDocument/2006/relationships/image" Target="media/image61.png"/><Relationship Id="rId86" Type="http://schemas.openxmlformats.org/officeDocument/2006/relationships/image" Target="media/image62.png"/><Relationship Id="rId87" Type="http://schemas.openxmlformats.org/officeDocument/2006/relationships/image" Target="media/image63.png"/><Relationship Id="rId88" Type="http://schemas.openxmlformats.org/officeDocument/2006/relationships/image" Target="media/image64.png"/><Relationship Id="rId89" Type="http://schemas.openxmlformats.org/officeDocument/2006/relationships/image" Target="media/image65.wmf"/><Relationship Id="rId90" Type="http://schemas.openxmlformats.org/officeDocument/2006/relationships/image" Target="media/image66.wmf"/><Relationship Id="rId91" Type="http://schemas.openxmlformats.org/officeDocument/2006/relationships/image" Target="media/image67.wmf"/><Relationship Id="rId92" Type="http://schemas.openxmlformats.org/officeDocument/2006/relationships/image" Target="media/image68.wmf"/><Relationship Id="rId93" Type="http://schemas.openxmlformats.org/officeDocument/2006/relationships/image" Target="media/image69.wmf"/><Relationship Id="rId94" Type="http://schemas.openxmlformats.org/officeDocument/2006/relationships/image" Target="media/image70.wmf"/><Relationship Id="rId95" Type="http://schemas.openxmlformats.org/officeDocument/2006/relationships/hyperlink" Target="https://hr.wikipedia.org/wiki/Euroazija" TargetMode="External"/><Relationship Id="rId96" Type="http://schemas.openxmlformats.org/officeDocument/2006/relationships/hyperlink" Target="https://hr.wikipedia.org/wiki/Europa" TargetMode="External"/><Relationship Id="rId97" Type="http://schemas.openxmlformats.org/officeDocument/2006/relationships/hyperlink" Target="https://hr.wikipedia.org/wiki/Azija" TargetMode="External"/><Relationship Id="rId98" Type="http://schemas.openxmlformats.org/officeDocument/2006/relationships/hyperlink" Target="https://hr.wikipedia.org/wiki/Indija" TargetMode="External"/><Relationship Id="rId99" Type="http://schemas.openxmlformats.org/officeDocument/2006/relationships/hyperlink" Target="https://hr.wikipedia.org/wiki/Arapski_poluotok" TargetMode="External"/><Relationship Id="rId100" Type="http://schemas.openxmlformats.org/officeDocument/2006/relationships/hyperlink" Target="https://hr.wikipedia.org/wiki/Sibir" TargetMode="External"/><Relationship Id="rId101" Type="http://schemas.openxmlformats.org/officeDocument/2006/relationships/hyperlink" Target="https://hr.wikipedia.org/wiki/Hipocentar" TargetMode="External"/><Relationship Id="rId102" Type="http://schemas.openxmlformats.org/officeDocument/2006/relationships/hyperlink" Target="https://hr.wikipedia.org/wiki/Epicentar" TargetMode="External"/><Relationship Id="rId103" Type="http://schemas.openxmlformats.org/officeDocument/2006/relationships/image" Target="media/image71.png"/><Relationship Id="rId104" Type="http://schemas.openxmlformats.org/officeDocument/2006/relationships/image" Target="media/image72.png"/><Relationship Id="rId105" Type="http://schemas.openxmlformats.org/officeDocument/2006/relationships/image" Target="media/image73.png"/><Relationship Id="rId106" Type="http://schemas.openxmlformats.org/officeDocument/2006/relationships/image" Target="media/image74.png"/><Relationship Id="rId107" Type="http://schemas.openxmlformats.org/officeDocument/2006/relationships/image" Target="media/image75.png"/><Relationship Id="rId108" Type="http://schemas.openxmlformats.org/officeDocument/2006/relationships/image" Target="media/image76.png"/><Relationship Id="rId109" Type="http://schemas.openxmlformats.org/officeDocument/2006/relationships/image" Target="media/image77.png"/><Relationship Id="rId110" Type="http://schemas.openxmlformats.org/officeDocument/2006/relationships/image" Target="media/image78.png"/><Relationship Id="rId111" Type="http://schemas.openxmlformats.org/officeDocument/2006/relationships/image" Target="media/image79.png"/><Relationship Id="rId112" Type="http://schemas.openxmlformats.org/officeDocument/2006/relationships/image" Target="media/image80.png"/><Relationship Id="rId113" Type="http://schemas.openxmlformats.org/officeDocument/2006/relationships/image" Target="media/image81.png"/><Relationship Id="rId114" Type="http://schemas.openxmlformats.org/officeDocument/2006/relationships/image" Target="media/image82.png"/><Relationship Id="rId115" Type="http://schemas.openxmlformats.org/officeDocument/2006/relationships/image" Target="media/image83.png"/><Relationship Id="rId116" Type="http://schemas.openxmlformats.org/officeDocument/2006/relationships/image" Target="media/image84.png"/><Relationship Id="rId117" Type="http://schemas.openxmlformats.org/officeDocument/2006/relationships/image" Target="media/image85.png"/><Relationship Id="rId118" Type="http://schemas.openxmlformats.org/officeDocument/2006/relationships/image" Target="media/image86.png"/><Relationship Id="rId119" Type="http://schemas.openxmlformats.org/officeDocument/2006/relationships/image" Target="media/image87.png"/><Relationship Id="rId120" Type="http://schemas.openxmlformats.org/officeDocument/2006/relationships/image" Target="media/image88.png"/><Relationship Id="rId121" Type="http://schemas.openxmlformats.org/officeDocument/2006/relationships/image" Target="media/image89.png"/><Relationship Id="rId122" Type="http://schemas.openxmlformats.org/officeDocument/2006/relationships/image" Target="media/image90.png"/><Relationship Id="rId123" Type="http://schemas.openxmlformats.org/officeDocument/2006/relationships/image" Target="media/image91.png"/><Relationship Id="rId124" Type="http://schemas.openxmlformats.org/officeDocument/2006/relationships/image" Target="media/image92.png"/><Relationship Id="rId125" Type="http://schemas.openxmlformats.org/officeDocument/2006/relationships/image" Target="media/image93.png"/><Relationship Id="rId126" Type="http://schemas.openxmlformats.org/officeDocument/2006/relationships/image" Target="media/image94.png"/><Relationship Id="rId127" Type="http://schemas.openxmlformats.org/officeDocument/2006/relationships/image" Target="media/image95.png"/><Relationship Id="rId128" Type="http://schemas.openxmlformats.org/officeDocument/2006/relationships/image" Target="media/image96.png"/><Relationship Id="rId129" Type="http://schemas.openxmlformats.org/officeDocument/2006/relationships/image" Target="media/image97.png"/><Relationship Id="rId130" Type="http://schemas.openxmlformats.org/officeDocument/2006/relationships/image" Target="media/image98.png"/><Relationship Id="rId131" Type="http://schemas.openxmlformats.org/officeDocument/2006/relationships/image" Target="media/image99.png"/><Relationship Id="rId132" Type="http://schemas.openxmlformats.org/officeDocument/2006/relationships/image" Target="media/image100.png"/><Relationship Id="rId133" Type="http://schemas.openxmlformats.org/officeDocument/2006/relationships/image" Target="media/image101.png"/><Relationship Id="rId134" Type="http://schemas.openxmlformats.org/officeDocument/2006/relationships/image" Target="media/image102.png"/><Relationship Id="rId135" Type="http://schemas.openxmlformats.org/officeDocument/2006/relationships/image" Target="media/image103.png"/><Relationship Id="rId136" Type="http://schemas.openxmlformats.org/officeDocument/2006/relationships/image" Target="media/image104.png"/><Relationship Id="rId137" Type="http://schemas.openxmlformats.org/officeDocument/2006/relationships/image" Target="media/image105.jpeg"/><Relationship Id="rId138" Type="http://schemas.openxmlformats.org/officeDocument/2006/relationships/hyperlink" Target="https://hr.wikipedia.org/wiki/Glad" TargetMode="External"/><Relationship Id="rId139" Type="http://schemas.openxmlformats.org/officeDocument/2006/relationships/hyperlink" Target="https://hr.wikipedia.org/wiki/Prirodne_katastrofe" TargetMode="External"/><Relationship Id="rId140" Type="http://schemas.openxmlformats.org/officeDocument/2006/relationships/image" Target="media/image106.png"/><Relationship Id="rId141" Type="http://schemas.openxmlformats.org/officeDocument/2006/relationships/image" Target="media/image107.png"/><Relationship Id="rId142" Type="http://schemas.openxmlformats.org/officeDocument/2006/relationships/image" Target="media/image108.png"/><Relationship Id="rId143" Type="http://schemas.openxmlformats.org/officeDocument/2006/relationships/image" Target="media/image109.png"/><Relationship Id="rId144" Type="http://schemas.openxmlformats.org/officeDocument/2006/relationships/image" Target="media/image110.jpeg"/><Relationship Id="rId145" Type="http://schemas.openxmlformats.org/officeDocument/2006/relationships/image" Target="media/image111.png"/><Relationship Id="rId146" Type="http://schemas.openxmlformats.org/officeDocument/2006/relationships/image" Target="media/image112.png"/><Relationship Id="rId147" Type="http://schemas.openxmlformats.org/officeDocument/2006/relationships/image" Target="media/image113.png"/><Relationship Id="rId148" Type="http://schemas.openxmlformats.org/officeDocument/2006/relationships/image" Target="media/image114.png"/><Relationship Id="rId149" Type="http://schemas.openxmlformats.org/officeDocument/2006/relationships/image" Target="media/image115.png"/><Relationship Id="rId150" Type="http://schemas.openxmlformats.org/officeDocument/2006/relationships/image" Target="media/image116.jpeg"/><Relationship Id="rId151" Type="http://schemas.openxmlformats.org/officeDocument/2006/relationships/image" Target="media/image117.png"/><Relationship Id="rId152" Type="http://schemas.openxmlformats.org/officeDocument/2006/relationships/image" Target="media/image118.png"/><Relationship Id="rId153" Type="http://schemas.openxmlformats.org/officeDocument/2006/relationships/header" Target="header6.xml"/><Relationship Id="rId154" Type="http://schemas.openxmlformats.org/officeDocument/2006/relationships/header" Target="header7.xml"/><Relationship Id="rId155" Type="http://schemas.openxmlformats.org/officeDocument/2006/relationships/footer" Target="footer5.xml"/><Relationship Id="rId156" Type="http://schemas.openxmlformats.org/officeDocument/2006/relationships/footer" Target="footer6.xml"/><Relationship Id="rId157" Type="http://schemas.openxmlformats.org/officeDocument/2006/relationships/header" Target="header8.xml"/><Relationship Id="rId158" Type="http://schemas.openxmlformats.org/officeDocument/2006/relationships/footer" Target="footer7.xml"/><Relationship Id="rId159" Type="http://schemas.openxmlformats.org/officeDocument/2006/relationships/image" Target="media/image125.png"/><Relationship Id="rId160" Type="http://schemas.openxmlformats.org/officeDocument/2006/relationships/header" Target="header9.xml"/><Relationship Id="rId161" Type="http://schemas.openxmlformats.org/officeDocument/2006/relationships/footer" Target="footer8.xml"/><Relationship Id="rId162" Type="http://schemas.openxmlformats.org/officeDocument/2006/relationships/image" Target="media/image128.png"/><Relationship Id="rId163" Type="http://schemas.openxmlformats.org/officeDocument/2006/relationships/image" Target="media/image129.png"/><Relationship Id="rId164" Type="http://schemas.openxmlformats.org/officeDocument/2006/relationships/header" Target="header10.xml"/><Relationship Id="rId165" Type="http://schemas.openxmlformats.org/officeDocument/2006/relationships/footer" Target="footer9.xml"/><Relationship Id="rId166" Type="http://schemas.openxmlformats.org/officeDocument/2006/relationships/footnotes" Target="footnotes.xml"/><Relationship Id="rId167" Type="http://schemas.openxmlformats.org/officeDocument/2006/relationships/numbering" Target="numbering.xml"/><Relationship Id="rId168" Type="http://schemas.openxmlformats.org/officeDocument/2006/relationships/fontTable" Target="fontTable.xml"/><Relationship Id="rId169" Type="http://schemas.openxmlformats.org/officeDocument/2006/relationships/settings" Target="settings.xml"/><Relationship Id="rId170" Type="http://schemas.openxmlformats.org/officeDocument/2006/relationships/theme" Target="theme/theme1.xml"/><Relationship Id="rId171" Type="http://schemas.openxmlformats.org/officeDocument/2006/relationships/glossaryDocument" Target="glossary/document.xml"/><Relationship Id="rId172" Type="http://schemas.openxmlformats.org/officeDocument/2006/relationships/customXml" Target="../customXml/item1.xml"/>
</Relationships>
</file>

<file path=word/_rels/footer1.xml.rels><?xml version="1.0" encoding="UTF-8"?>
<Relationships xmlns="http://schemas.openxmlformats.org/package/2006/relationships"><Relationship Id="rId1" Type="http://schemas.openxmlformats.org/officeDocument/2006/relationships/image" Target="media/image19.png"/>
</Relationships>
</file>

<file path=word/_rels/footer2.xml.rels><?xml version="1.0" encoding="UTF-8"?>
<Relationships xmlns="http://schemas.openxmlformats.org/package/2006/relationships"><Relationship Id="rId1" Type="http://schemas.openxmlformats.org/officeDocument/2006/relationships/image" Target="media/image20.png"/>
</Relationships>
</file>

<file path=word/_rels/footer3.xml.rels><?xml version="1.0" encoding="UTF-8"?>
<Relationships xmlns="http://schemas.openxmlformats.org/package/2006/relationships"><Relationship Id="rId1" Type="http://schemas.openxmlformats.org/officeDocument/2006/relationships/image" Target="media/image23.png"/>
</Relationships>
</file>

<file path=word/_rels/footer4.xml.rels><?xml version="1.0" encoding="UTF-8"?>
<Relationships xmlns="http://schemas.openxmlformats.org/package/2006/relationships"><Relationship Id="rId1" Type="http://schemas.openxmlformats.org/officeDocument/2006/relationships/image" Target="media/image24.png"/>
</Relationships>
</file>

<file path=word/_rels/footer5.xml.rels><?xml version="1.0" encoding="UTF-8"?>
<Relationships xmlns="http://schemas.openxmlformats.org/package/2006/relationships"><Relationship Id="rId1" Type="http://schemas.openxmlformats.org/officeDocument/2006/relationships/image" Target="media/image121.png"/>
</Relationships>
</file>

<file path=word/_rels/footer6.xml.rels><?xml version="1.0" encoding="UTF-8"?>
<Relationships xmlns="http://schemas.openxmlformats.org/package/2006/relationships"><Relationship Id="rId1" Type="http://schemas.openxmlformats.org/officeDocument/2006/relationships/image" Target="media/image122.png"/>
</Relationships>
</file>

<file path=word/_rels/footer7.xml.rels><?xml version="1.0" encoding="UTF-8"?>
<Relationships xmlns="http://schemas.openxmlformats.org/package/2006/relationships"><Relationship Id="rId1" Type="http://schemas.openxmlformats.org/officeDocument/2006/relationships/image" Target="media/image124.png"/>
</Relationships>
</file>

<file path=word/_rels/footer8.xml.rels><?xml version="1.0" encoding="UTF-8"?>
<Relationships xmlns="http://schemas.openxmlformats.org/package/2006/relationships"><Relationship Id="rId1" Type="http://schemas.openxmlformats.org/officeDocument/2006/relationships/image" Target="media/image127.png"/>
</Relationships>
</file>

<file path=word/_rels/footer9.xml.rels><?xml version="1.0" encoding="UTF-8"?>
<Relationships xmlns="http://schemas.openxmlformats.org/package/2006/relationships"><Relationship Id="rId1" Type="http://schemas.openxmlformats.org/officeDocument/2006/relationships/image" Target="media/image131.png"/>
</Relationships>
</file>

<file path=word/_rels/header1.xml.rels><?xml version="1.0" encoding="UTF-8"?>
<Relationships xmlns="http://schemas.openxmlformats.org/package/2006/relationships"><Relationship Id="rId1" Type="http://schemas.openxmlformats.org/officeDocument/2006/relationships/image" Target="media/image2.png"/>
</Relationships>
</file>

<file path=word/_rels/header10.xml.rels><?xml version="1.0" encoding="UTF-8"?>
<Relationships xmlns="http://schemas.openxmlformats.org/package/2006/relationships"><Relationship Id="rId1" Type="http://schemas.openxmlformats.org/officeDocument/2006/relationships/image" Target="media/image130.png"/>
</Relationships>
</file>

<file path=word/_rels/header2.xml.rels><?xml version="1.0" encoding="UTF-8"?>
<Relationships xmlns="http://schemas.openxmlformats.org/package/2006/relationships"><Relationship Id="rId1" Type="http://schemas.openxmlformats.org/officeDocument/2006/relationships/image" Target="media/image17.png"/>
</Relationships>
</file>

<file path=word/_rels/header3.xml.rels><?xml version="1.0" encoding="UTF-8"?>
<Relationships xmlns="http://schemas.openxmlformats.org/package/2006/relationships"><Relationship Id="rId1" Type="http://schemas.openxmlformats.org/officeDocument/2006/relationships/image" Target="media/image18.png"/>
</Relationships>
</file>

<file path=word/_rels/header4.xml.rels><?xml version="1.0" encoding="UTF-8"?>
<Relationships xmlns="http://schemas.openxmlformats.org/package/2006/relationships"><Relationship Id="rId1" Type="http://schemas.openxmlformats.org/officeDocument/2006/relationships/image" Target="media/image21.png"/>
</Relationships>
</file>

<file path=word/_rels/header5.xml.rels><?xml version="1.0" encoding="UTF-8"?>
<Relationships xmlns="http://schemas.openxmlformats.org/package/2006/relationships"><Relationship Id="rId1" Type="http://schemas.openxmlformats.org/officeDocument/2006/relationships/image" Target="media/image22.png"/>
</Relationships>
</file>

<file path=word/_rels/header6.xml.rels><?xml version="1.0" encoding="UTF-8"?>
<Relationships xmlns="http://schemas.openxmlformats.org/package/2006/relationships"><Relationship Id="rId1" Type="http://schemas.openxmlformats.org/officeDocument/2006/relationships/image" Target="media/image119.png"/>
</Relationships>
</file>

<file path=word/_rels/header7.xml.rels><?xml version="1.0" encoding="UTF-8"?>
<Relationships xmlns="http://schemas.openxmlformats.org/package/2006/relationships"><Relationship Id="rId1" Type="http://schemas.openxmlformats.org/officeDocument/2006/relationships/image" Target="media/image120.png"/>
</Relationships>
</file>

<file path=word/_rels/header8.xml.rels><?xml version="1.0" encoding="UTF-8"?>
<Relationships xmlns="http://schemas.openxmlformats.org/package/2006/relationships"><Relationship Id="rId1" Type="http://schemas.openxmlformats.org/officeDocument/2006/relationships/image" Target="media/image123.png"/>
</Relationships>
</file>

<file path=word/_rels/header9.xml.rels><?xml version="1.0" encoding="UTF-8"?>
<Relationships xmlns="http://schemas.openxmlformats.org/package/2006/relationships"><Relationship Id="rId1" Type="http://schemas.openxmlformats.org/officeDocument/2006/relationships/image" Target="media/image126.png"/>
</Relationships>
</file>

<file path=word/charts/_rels/chart1.xml.rels><?xml version="1.0" encoding="UTF-8"?>
<Relationships xmlns="http://schemas.openxmlformats.org/package/2006/relationships"><Relationship Id="rId1" Type="http://schemas.openxmlformats.org/officeDocument/2006/relationships/package" Target="../embeddings/Microsoft_Excel_Worksheet1.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title>
      <c:tx>
        <c:rich>
          <a:bodyPr rot="0"/>
          <a:lstStyle/>
          <a:p>
            <a:pPr>
              <a:defRPr b="1" lang="hr-HR" sz="1600" spc="-1" strike="noStrike">
                <a:solidFill>
                  <a:srgbClr val="000000"/>
                </a:solidFill>
                <a:latin typeface="Arial Narrow"/>
              </a:defRPr>
            </a:pPr>
            <a:r>
              <a:rPr b="1" lang="hr-HR" sz="1600" spc="-1" strike="noStrike">
                <a:solidFill>
                  <a:srgbClr val="000000"/>
                </a:solidFill>
                <a:latin typeface="Arial Narrow"/>
              </a:rPr>
              <a:t>Broj stanovnika po naselju</a:t>
            </a:r>
          </a:p>
        </c:rich>
      </c:tx>
      <c:layout>
        <c:manualLayout>
          <c:xMode val="edge"/>
          <c:yMode val="edge"/>
          <c:x val="0.328041997375164"/>
          <c:y val="0.0189577638656203"/>
        </c:manualLayout>
      </c:layout>
      <c:overlay val="0"/>
      <c:spPr>
        <a:noFill/>
        <a:ln>
          <a:noFill/>
        </a:ln>
      </c:spPr>
    </c:title>
    <c:autoTitleDeleted val="0"/>
    <c:plotArea>
      <c:barChart>
        <c:barDir val="col"/>
        <c:grouping val="clustered"/>
        <c:varyColors val="0"/>
        <c:ser>
          <c:idx val="0"/>
          <c:order val="0"/>
          <c:tx>
            <c:strRef>
              <c:f>label 0</c:f>
              <c:strCache>
                <c:ptCount val="1"/>
                <c:pt idx="0">
                  <c:v>Serije1</c:v>
                </c:pt>
              </c:strCache>
            </c:strRef>
          </c:tx>
          <c:spPr>
            <a:gradFill>
              <a:gsLst>
                <a:gs pos="0">
                  <a:srgbClr val="c76866"/>
                </a:gs>
                <a:gs pos="100000">
                  <a:srgbClr val="c54a47"/>
                </a:gs>
              </a:gsLst>
              <a:lin ang="5400000"/>
            </a:gradFill>
            <a:ln>
              <a:noFill/>
            </a:ln>
          </c:spPr>
          <c:invertIfNegative val="0"/>
          <c:dPt>
            <c:idx val="0"/>
            <c:invertIfNegative val="0"/>
            <c:spPr>
              <a:gradFill>
                <a:gsLst>
                  <a:gs pos="0">
                    <a:srgbClr val="54883d"/>
                  </a:gs>
                  <a:gs pos="100000">
                    <a:srgbClr val="b63c38"/>
                  </a:gs>
                </a:gsLst>
                <a:lin ang="5400000"/>
              </a:gradFill>
              <a:ln>
                <a:noFill/>
              </a:ln>
            </c:spPr>
          </c:dPt>
          <c:dPt>
            <c:idx val="1"/>
            <c:invertIfNegative val="0"/>
            <c:spPr>
              <a:gradFill>
                <a:gsLst>
                  <a:gs pos="69000">
                    <a:srgbClr val="54883d"/>
                  </a:gs>
                  <a:gs pos="100000">
                    <a:srgbClr val="c54a47"/>
                  </a:gs>
                </a:gsLst>
                <a:lin ang="16200000"/>
              </a:gradFill>
              <a:ln>
                <a:noFill/>
              </a:ln>
            </c:spPr>
          </c:dPt>
          <c:dPt>
            <c:idx val="4"/>
            <c:invertIfNegative val="0"/>
            <c:spPr>
              <a:gradFill>
                <a:gsLst>
                  <a:gs pos="89000">
                    <a:srgbClr val="54883d"/>
                  </a:gs>
                  <a:gs pos="100000">
                    <a:srgbClr val="b63c38"/>
                  </a:gs>
                </a:gsLst>
                <a:lin ang="16200000"/>
              </a:gradFill>
              <a:ln>
                <a:noFill/>
              </a:ln>
            </c:spPr>
          </c:dPt>
          <c:dPt>
            <c:idx val="5"/>
            <c:invertIfNegative val="0"/>
            <c:spPr>
              <a:gradFill>
                <a:gsLst>
                  <a:gs pos="0">
                    <a:srgbClr val="54883d"/>
                  </a:gs>
                  <a:gs pos="100000">
                    <a:srgbClr val="b63c38"/>
                  </a:gs>
                </a:gsLst>
                <a:lin ang="5400000"/>
              </a:gradFill>
              <a:ln>
                <a:noFill/>
              </a:ln>
            </c:spPr>
          </c:dPt>
          <c:dPt>
            <c:idx val="6"/>
            <c:invertIfNegative val="0"/>
            <c:spPr>
              <a:gradFill>
                <a:gsLst>
                  <a:gs pos="0">
                    <a:srgbClr val="54883d"/>
                  </a:gs>
                  <a:gs pos="100000">
                    <a:srgbClr val="b63c38"/>
                  </a:gs>
                </a:gsLst>
                <a:lin ang="5400000"/>
              </a:gradFill>
              <a:ln>
                <a:noFill/>
              </a:ln>
            </c:spPr>
          </c:dPt>
          <c:dPt>
            <c:idx val="7"/>
            <c:invertIfNegative val="0"/>
            <c:spPr>
              <a:gradFill>
                <a:gsLst>
                  <a:gs pos="50000">
                    <a:srgbClr val="54883d"/>
                  </a:gs>
                  <a:gs pos="100000">
                    <a:srgbClr val="b63c38"/>
                  </a:gs>
                </a:gsLst>
                <a:lin ang="5400000"/>
              </a:gradFill>
              <a:ln>
                <a:noFill/>
              </a:ln>
            </c:spPr>
          </c:dPt>
          <c:dPt>
            <c:idx val="9"/>
            <c:invertIfNegative val="0"/>
            <c:spPr>
              <a:gradFill>
                <a:gsLst>
                  <a:gs pos="50000">
                    <a:srgbClr val="54883d"/>
                  </a:gs>
                  <a:gs pos="100000">
                    <a:srgbClr val="b63c38"/>
                  </a:gs>
                </a:gsLst>
                <a:lin ang="5400000"/>
              </a:gradFill>
              <a:ln>
                <a:noFill/>
              </a:ln>
            </c:spPr>
          </c:dPt>
          <c:dPt>
            <c:idx val="10"/>
            <c:invertIfNegative val="0"/>
            <c:spPr>
              <a:gradFill>
                <a:gsLst>
                  <a:gs pos="50000">
                    <a:srgbClr val="54883d"/>
                  </a:gs>
                  <a:gs pos="100000">
                    <a:srgbClr val="b63c38"/>
                  </a:gs>
                </a:gsLst>
                <a:lin ang="5400000"/>
              </a:gradFill>
              <a:ln>
                <a:noFill/>
              </a:ln>
            </c:spPr>
          </c:dPt>
          <c:dPt>
            <c:idx val="11"/>
            <c:invertIfNegative val="0"/>
            <c:spPr>
              <a:gradFill>
                <a:gsLst>
                  <a:gs pos="50000">
                    <a:srgbClr val="54883d"/>
                  </a:gs>
                  <a:gs pos="100000">
                    <a:srgbClr val="b63c38"/>
                  </a:gs>
                </a:gsLst>
                <a:lin ang="5400000"/>
              </a:gradFill>
              <a:ln>
                <a:noFill/>
              </a:ln>
            </c:spPr>
          </c:dPt>
          <c:dPt>
            <c:idx val="14"/>
            <c:invertIfNegative val="0"/>
            <c:spPr>
              <a:gradFill>
                <a:gsLst>
                  <a:gs pos="50000">
                    <a:srgbClr val="54883d"/>
                  </a:gs>
                  <a:gs pos="100000">
                    <a:srgbClr val="b63c38"/>
                  </a:gs>
                </a:gsLst>
                <a:lin ang="5400000"/>
              </a:gradFill>
              <a:ln>
                <a:noFill/>
              </a:ln>
            </c:spPr>
          </c:dPt>
          <c:dPt>
            <c:idx val="16"/>
            <c:invertIfNegative val="0"/>
            <c:spPr>
              <a:gradFill>
                <a:gsLst>
                  <a:gs pos="50000">
                    <a:srgbClr val="54883d"/>
                  </a:gs>
                  <a:gs pos="100000">
                    <a:srgbClr val="b63c38"/>
                  </a:gs>
                </a:gsLst>
                <a:lin ang="5400000"/>
              </a:gradFill>
              <a:ln>
                <a:noFill/>
              </a:ln>
            </c:spPr>
          </c:dPt>
          <c:dPt>
            <c:idx val="18"/>
            <c:invertIfNegative val="0"/>
            <c:spPr>
              <a:gradFill>
                <a:gsLst>
                  <a:gs pos="50000">
                    <a:srgbClr val="54883d"/>
                  </a:gs>
                  <a:gs pos="100000">
                    <a:srgbClr val="b63c38"/>
                  </a:gs>
                </a:gsLst>
                <a:lin ang="5400000"/>
              </a:gradFill>
              <a:ln>
                <a:noFill/>
              </a:ln>
            </c:spPr>
          </c:dPt>
          <c:dPt>
            <c:idx val="20"/>
            <c:invertIfNegative val="0"/>
            <c:spPr>
              <a:gradFill>
                <a:gsLst>
                  <a:gs pos="50000">
                    <a:srgbClr val="54883d"/>
                  </a:gs>
                  <a:gs pos="100000">
                    <a:srgbClr val="b63c38"/>
                  </a:gs>
                </a:gsLst>
                <a:lin ang="5400000"/>
              </a:gradFill>
              <a:ln>
                <a:noFill/>
              </a:ln>
            </c:spPr>
          </c:dPt>
          <c:dLbls>
            <c:dLbl>
              <c:idx val="0"/>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4"/>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5"/>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6"/>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7"/>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9"/>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0"/>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1"/>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4"/>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6"/>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18"/>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dLbl>
              <c:idx val="20"/>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dLbl>
            <c:txPr>
              <a:bodyPr/>
              <a:lstStyle/>
              <a:p>
                <a:pPr>
                  <a:defRPr b="0" sz="1000" spc="-1" strike="noStrike">
                    <a:solidFill>
                      <a:srgbClr val="000000"/>
                    </a:solidFill>
                    <a:latin typeface="Calibri"/>
                  </a:defRPr>
                </a:pPr>
              </a:p>
            </c:txPr>
            <c:dLblPos val="outEnd"/>
            <c:showLegendKey val="0"/>
            <c:showVal val="0"/>
            <c:showCatName val="0"/>
            <c:showSerName val="0"/>
            <c:showPercent val="0"/>
            <c:separator>; </c:separator>
            <c:showLeaderLines val="0"/>
          </c:dLbls>
          <c:cat>
            <c:strRef>
              <c:f>categories</c:f>
              <c:strCache>
                <c:ptCount val="21"/>
                <c:pt idx="0">
                  <c:v>Baredine - Baredine </c:v>
                </c:pt>
                <c:pt idx="1">
                  <c:v>Bibali - Bibali</c:v>
                </c:pt>
                <c:pt idx="2">
                  <c:v>Brdo - Collato</c:v>
                </c:pt>
                <c:pt idx="3">
                  <c:v>Brič - Briz</c:v>
                </c:pt>
                <c:pt idx="4">
                  <c:v>Buje - Buie</c:v>
                </c:pt>
                <c:pt idx="5">
                  <c:v>Buroli - Buroli</c:v>
                </c:pt>
                <c:pt idx="6">
                  <c:v>Gamboci - Gambozzi</c:v>
                </c:pt>
                <c:pt idx="7">
                  <c:v>Kaldanija - Caldania</c:v>
                </c:pt>
                <c:pt idx="8">
                  <c:v>Kanegra - Canegra</c:v>
                </c:pt>
                <c:pt idx="9">
                  <c:v>Kaštel - Castelvenere</c:v>
                </c:pt>
                <c:pt idx="10">
                  <c:v>Krasica - Crassiza</c:v>
                </c:pt>
                <c:pt idx="11">
                  <c:v>Kršete - Carsette</c:v>
                </c:pt>
                <c:pt idx="12">
                  <c:v>Kućibreg - Cucibreg </c:v>
                </c:pt>
                <c:pt idx="13">
                  <c:v>Lozari - Losari</c:v>
                </c:pt>
                <c:pt idx="14">
                  <c:v>Marušići - Marussici</c:v>
                </c:pt>
                <c:pt idx="15">
                  <c:v>Merišće - Merischie</c:v>
                </c:pt>
                <c:pt idx="16">
                  <c:v>Momjan - Momiano</c:v>
                </c:pt>
                <c:pt idx="17">
                  <c:v>Oskoruš - Oscurus</c:v>
                </c:pt>
                <c:pt idx="18">
                  <c:v>Plovanija - Plovania </c:v>
                </c:pt>
                <c:pt idx="19">
                  <c:v>Sveta Marija na Krasu - Madonna del Carso</c:v>
                </c:pt>
                <c:pt idx="20">
                  <c:v>Triban - Tribano</c:v>
                </c:pt>
              </c:strCache>
            </c:strRef>
          </c:cat>
          <c:val>
            <c:numRef>
              <c:f>0</c:f>
              <c:numCache>
                <c:formatCode>General</c:formatCode>
                <c:ptCount val="21"/>
                <c:pt idx="0">
                  <c:v>63</c:v>
                </c:pt>
                <c:pt idx="1">
                  <c:v>108</c:v>
                </c:pt>
                <c:pt idx="2">
                  <c:v>13</c:v>
                </c:pt>
                <c:pt idx="3">
                  <c:v>8</c:v>
                </c:pt>
                <c:pt idx="4">
                  <c:v>2108</c:v>
                </c:pt>
                <c:pt idx="5">
                  <c:v>76</c:v>
                </c:pt>
                <c:pt idx="6">
                  <c:v>100</c:v>
                </c:pt>
                <c:pt idx="7">
                  <c:v>263</c:v>
                </c:pt>
                <c:pt idx="8">
                  <c:v>0</c:v>
                </c:pt>
                <c:pt idx="9">
                  <c:v>597</c:v>
                </c:pt>
                <c:pt idx="10">
                  <c:v>159</c:v>
                </c:pt>
                <c:pt idx="11">
                  <c:v>95</c:v>
                </c:pt>
                <c:pt idx="12">
                  <c:v>13</c:v>
                </c:pt>
                <c:pt idx="13">
                  <c:v>27</c:v>
                </c:pt>
                <c:pt idx="14">
                  <c:v>146</c:v>
                </c:pt>
                <c:pt idx="15">
                  <c:v>48</c:v>
                </c:pt>
                <c:pt idx="16">
                  <c:v>242</c:v>
                </c:pt>
                <c:pt idx="17">
                  <c:v>44</c:v>
                </c:pt>
                <c:pt idx="18">
                  <c:v>244</c:v>
                </c:pt>
                <c:pt idx="19">
                  <c:v>0</c:v>
                </c:pt>
                <c:pt idx="20">
                  <c:v>97</c:v>
                </c:pt>
              </c:numCache>
            </c:numRef>
          </c:val>
        </c:ser>
        <c:gapWidth val="100"/>
        <c:overlap val="-24"/>
        <c:axId val="64488211"/>
        <c:axId val="9308416"/>
      </c:barChart>
      <c:catAx>
        <c:axId val="64488211"/>
        <c:scaling>
          <c:orientation val="minMax"/>
        </c:scaling>
        <c:delete val="0"/>
        <c:axPos val="b"/>
        <c:numFmt formatCode="[$-41A]dd/mm/yyyy" sourceLinked="1"/>
        <c:majorTickMark val="none"/>
        <c:minorTickMark val="none"/>
        <c:tickLblPos val="nextTo"/>
        <c:spPr>
          <a:ln w="9360">
            <a:solidFill>
              <a:srgbClr val="d4e3f4"/>
            </a:solidFill>
            <a:round/>
          </a:ln>
        </c:spPr>
        <c:txPr>
          <a:bodyPr/>
          <a:lstStyle/>
          <a:p>
            <a:pPr>
              <a:defRPr b="0" sz="900" spc="-1" strike="noStrike">
                <a:solidFill>
                  <a:srgbClr val="1f497d"/>
                </a:solidFill>
                <a:latin typeface="Calibri"/>
              </a:defRPr>
            </a:pPr>
          </a:p>
        </c:txPr>
        <c:crossAx val="9308416"/>
        <c:crosses val="autoZero"/>
        <c:auto val="1"/>
        <c:lblAlgn val="ctr"/>
        <c:lblOffset val="100"/>
        <c:noMultiLvlLbl val="0"/>
      </c:catAx>
      <c:valAx>
        <c:axId val="9308416"/>
        <c:scaling>
          <c:orientation val="minMax"/>
        </c:scaling>
        <c:delete val="0"/>
        <c:axPos val="l"/>
        <c:majorGridlines>
          <c:spPr>
            <a:ln w="9360">
              <a:solidFill>
                <a:srgbClr val="d4e3f4"/>
              </a:solidFill>
              <a:round/>
            </a:ln>
          </c:spPr>
        </c:majorGridlines>
        <c:numFmt formatCode="General" sourceLinked="0"/>
        <c:majorTickMark val="none"/>
        <c:minorTickMark val="none"/>
        <c:tickLblPos val="nextTo"/>
        <c:spPr>
          <a:ln w="9360">
            <a:noFill/>
          </a:ln>
        </c:spPr>
        <c:txPr>
          <a:bodyPr/>
          <a:lstStyle/>
          <a:p>
            <a:pPr>
              <a:defRPr b="0" sz="900" spc="-1" strike="noStrike">
                <a:solidFill>
                  <a:srgbClr val="1f497d"/>
                </a:solidFill>
                <a:latin typeface="Calibri"/>
              </a:defRPr>
            </a:pPr>
          </a:p>
        </c:txPr>
        <c:crossAx val="64488211"/>
        <c:crosses val="autoZero"/>
        <c:crossBetween val="between"/>
      </c:valAx>
      <c:spPr>
        <a:noFill/>
        <a:ln>
          <a:noFill/>
        </a:ln>
      </c:spPr>
    </c:plotArea>
    <c:plotVisOnly val="1"/>
    <c:dispBlanksAs val="gap"/>
  </c:chart>
  <c:spPr>
    <a:solidFill>
      <a:srgbClr val="ffffff"/>
    </a:solidFill>
    <a:ln w="9360">
      <a:solidFill>
        <a:srgbClr val="d4e3f4"/>
      </a:solidFill>
      <a:round/>
    </a:ln>
  </c:spPr>
  <c:externalData r:id="rId1"/>
</c:chartSpace>
</file>

<file path=word/glossary/_rels/document.xml.rels><?xml version="1.0" encoding="UTF-8"?>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
</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E0C904F292F411B8E9FE713A172E53E"/>
        <w:category>
          <w:name w:val="Općenito"/>
          <w:gallery w:val="placeholder"/>
        </w:category>
        <w:types>
          <w:type w:val="bbPlcHdr"/>
        </w:types>
        <w:behaviors>
          <w:behavior w:val="content"/>
        </w:behaviors>
        <w:guid w:val="{56556774-516E-4581-9918-EF1F2893BBDC}"/>
      </w:docPartPr>
      <w:docPartBody>
        <w:p w:rsidR="00C2707D" w:rsidRDefault="00807DEA">
          <w:pPr>
            <w:pStyle w:val="5E0C904F292F411B8E9FE713A172E53E"/>
          </w:pPr>
          <w:r w:rsidRPr="001103F7">
            <w:rPr>
              <w:rStyle w:val="PlaceholderText"/>
            </w:rPr>
            <w:t>Click here to enter text.</w:t>
          </w:r>
        </w:p>
      </w:docPartBody>
    </w:docPart>
    <w:docPart>
      <w:docPartPr>
        <w:name w:val="9159817B0AD540F1B9BB4BA4CCF8C79F"/>
        <w:category>
          <w:name w:val="General"/>
          <w:gallery w:val="placeholder"/>
        </w:category>
        <w:types>
          <w:type w:val="bbPlcHdr"/>
        </w:types>
        <w:behaviors>
          <w:behavior w:val="content"/>
        </w:behaviors>
        <w:guid w:val="{B9A760EB-A4B6-4382-B3BF-47CDD21F2712}"/>
      </w:docPartPr>
      <w:docPartBody>
        <w:p w:rsidR="003D513A" w:rsidRDefault="003D513A" w:rsidP="003D513A">
          <w:pPr>
            <w:pStyle w:val="9159817B0AD540F1B9BB4BA4CCF8C79F"/>
          </w:pPr>
          <w:r w:rsidRPr="001103F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dviso OTF Std">
    <w:panose1 w:val="02000506040000020004"/>
    <w:charset w:val="00"/>
    <w:family w:val="auto"/>
    <w:pitch w:val="variable"/>
    <w:sig w:usb0="00000007" w:usb1="00000000" w:usb2="00000000" w:usb3="00000000" w:csb0="00000003"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7DEA"/>
    <w:rsid w:val="000A2903"/>
    <w:rsid w:val="000A3D4F"/>
    <w:rsid w:val="000B5147"/>
    <w:rsid w:val="000C32F6"/>
    <w:rsid w:val="000C36E2"/>
    <w:rsid w:val="000D47CD"/>
    <w:rsid w:val="0010009D"/>
    <w:rsid w:val="00121A70"/>
    <w:rsid w:val="001B6FA8"/>
    <w:rsid w:val="0023095B"/>
    <w:rsid w:val="00263BA7"/>
    <w:rsid w:val="00274415"/>
    <w:rsid w:val="0029275B"/>
    <w:rsid w:val="002E5589"/>
    <w:rsid w:val="00333799"/>
    <w:rsid w:val="003528E4"/>
    <w:rsid w:val="003D513A"/>
    <w:rsid w:val="0044144A"/>
    <w:rsid w:val="00465472"/>
    <w:rsid w:val="00493BA2"/>
    <w:rsid w:val="004B47A9"/>
    <w:rsid w:val="005272AE"/>
    <w:rsid w:val="00534D91"/>
    <w:rsid w:val="00543EBB"/>
    <w:rsid w:val="00563CA0"/>
    <w:rsid w:val="00585288"/>
    <w:rsid w:val="00593055"/>
    <w:rsid w:val="005B0EAF"/>
    <w:rsid w:val="006005AF"/>
    <w:rsid w:val="00636FD6"/>
    <w:rsid w:val="00637B2C"/>
    <w:rsid w:val="0065092A"/>
    <w:rsid w:val="006928C3"/>
    <w:rsid w:val="00715AF8"/>
    <w:rsid w:val="00751D9D"/>
    <w:rsid w:val="00753528"/>
    <w:rsid w:val="0078050F"/>
    <w:rsid w:val="007C3D91"/>
    <w:rsid w:val="007D021C"/>
    <w:rsid w:val="007E6228"/>
    <w:rsid w:val="007F410E"/>
    <w:rsid w:val="00807DEA"/>
    <w:rsid w:val="00872EF1"/>
    <w:rsid w:val="008B7A57"/>
    <w:rsid w:val="008C7F7D"/>
    <w:rsid w:val="008E5E74"/>
    <w:rsid w:val="008F5F63"/>
    <w:rsid w:val="00907703"/>
    <w:rsid w:val="0092202A"/>
    <w:rsid w:val="009475CD"/>
    <w:rsid w:val="00960A56"/>
    <w:rsid w:val="009B3A0D"/>
    <w:rsid w:val="009D1EF8"/>
    <w:rsid w:val="00A30D04"/>
    <w:rsid w:val="00A36ED6"/>
    <w:rsid w:val="00AC3E1A"/>
    <w:rsid w:val="00AD5724"/>
    <w:rsid w:val="00AE1DA9"/>
    <w:rsid w:val="00B00A98"/>
    <w:rsid w:val="00B366F5"/>
    <w:rsid w:val="00C1138E"/>
    <w:rsid w:val="00C2707D"/>
    <w:rsid w:val="00C34C73"/>
    <w:rsid w:val="00C62CE9"/>
    <w:rsid w:val="00C949F8"/>
    <w:rsid w:val="00D2799F"/>
    <w:rsid w:val="00D608A4"/>
    <w:rsid w:val="00D9458F"/>
    <w:rsid w:val="00DA31C5"/>
    <w:rsid w:val="00DB6899"/>
    <w:rsid w:val="00DD50DD"/>
    <w:rsid w:val="00DE141D"/>
    <w:rsid w:val="00E06B60"/>
    <w:rsid w:val="00E366F6"/>
    <w:rsid w:val="00E44B78"/>
    <w:rsid w:val="00E455E6"/>
    <w:rsid w:val="00ED602F"/>
    <w:rsid w:val="00EE4605"/>
    <w:rsid w:val="00EF172B"/>
    <w:rsid w:val="00F20DE1"/>
    <w:rsid w:val="00F32C14"/>
    <w:rsid w:val="00FC5035"/>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autoRedefine/>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Heading2">
    <w:name w:val="heading 2"/>
    <w:basedOn w:val="Normal"/>
    <w:next w:val="Normal"/>
    <w:link w:val="Heading2Char"/>
    <w:autoRedefine/>
    <w:qFormat/>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Heading3">
    <w:name w:val="heading 3"/>
    <w:basedOn w:val="Normal"/>
    <w:next w:val="Normal"/>
    <w:link w:val="Heading3Char"/>
    <w:autoRedefine/>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Heading4">
    <w:name w:val="heading 4"/>
    <w:basedOn w:val="Normal"/>
    <w:next w:val="Normal"/>
    <w:link w:val="Heading4Char"/>
    <w:autoRedefine/>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Heading5">
    <w:name w:val="heading 5"/>
    <w:basedOn w:val="Normal"/>
    <w:next w:val="Normal"/>
    <w:link w:val="Heading5Char"/>
    <w:autoRedefine/>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Heading6">
    <w:name w:val="heading 6"/>
    <w:basedOn w:val="Normal"/>
    <w:next w:val="Normal"/>
    <w:link w:val="Heading6Char"/>
    <w:autoRedefine/>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Heading7">
    <w:name w:val="heading 7"/>
    <w:basedOn w:val="Normal"/>
    <w:next w:val="Normal"/>
    <w:link w:val="Heading7Char"/>
    <w:autoRedefine/>
    <w:semiHidden/>
    <w:unhideWhenUsed/>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Heading8">
    <w:name w:val="heading 8"/>
    <w:basedOn w:val="Normal"/>
    <w:next w:val="Normal"/>
    <w:link w:val="Heading8Char"/>
    <w:uiPriority w:val="9"/>
    <w:semiHidden/>
    <w:unhideWhenUsed/>
    <w:qFormat/>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rsid w:val="003D513A"/>
    <w:rPr>
      <w:rFonts w:ascii="Adviso OTF Std" w:hAnsi="Adviso OTF Std"/>
      <w:color w:val="808080"/>
    </w:rPr>
  </w:style>
  <w:style w:type="paragraph" w:customStyle="1" w:styleId="5E0C904F292F411B8E9FE713A172E53E">
    <w:name w:val="5E0C904F292F411B8E9FE713A172E53E"/>
  </w:style>
  <w:style w:type="character" w:customStyle="1" w:styleId="Heading1Char">
    <w:name w:val="Heading 1 Char"/>
    <w:basedOn w:val="DefaultParagraphFont"/>
    <w:link w:val="Heading1"/>
    <w:rPr>
      <w:rFonts w:ascii="Adviso OTF Std" w:eastAsiaTheme="majorEastAsia" w:hAnsi="Adviso OTF Std" w:cstheme="majorBidi"/>
      <w:b/>
      <w:sz w:val="36"/>
      <w:szCs w:val="32"/>
      <w:lang w:eastAsia="en-US"/>
    </w:rPr>
  </w:style>
  <w:style w:type="character" w:customStyle="1" w:styleId="Heading2Char">
    <w:name w:val="Heading 2 Char"/>
    <w:basedOn w:val="DefaultParagraphFont"/>
    <w:link w:val="Heading2"/>
    <w:rPr>
      <w:rFonts w:ascii="Adviso OTF Std" w:eastAsia="Times New Roman" w:hAnsi="Adviso OTF Std" w:cs="Arial"/>
      <w:bCs/>
      <w:color w:val="54883D"/>
      <w:sz w:val="32"/>
      <w:szCs w:val="24"/>
      <w:lang w:eastAsia="en-US"/>
    </w:rPr>
  </w:style>
  <w:style w:type="character" w:customStyle="1" w:styleId="Heading3Char">
    <w:name w:val="Heading 3 Char"/>
    <w:basedOn w:val="DefaultParagraphFont"/>
    <w:link w:val="Heading3"/>
    <w:rPr>
      <w:rFonts w:ascii="Adviso OTF Std" w:eastAsia="Times New Roman" w:hAnsi="Adviso OTF Std" w:cstheme="majorBidi"/>
      <w:color w:val="54883D"/>
      <w:sz w:val="28"/>
      <w:szCs w:val="24"/>
      <w:lang w:eastAsia="en-US" w:bidi="en-US"/>
    </w:rPr>
  </w:style>
  <w:style w:type="character" w:customStyle="1" w:styleId="Heading4Char">
    <w:name w:val="Heading 4 Char"/>
    <w:basedOn w:val="DefaultParagraphFont"/>
    <w:link w:val="Heading4"/>
    <w:rPr>
      <w:rFonts w:ascii="Adviso OTF Std" w:eastAsiaTheme="majorEastAsia" w:hAnsi="Adviso OTF Std" w:cstheme="majorBidi"/>
      <w:i/>
      <w:iCs/>
      <w:color w:val="54883D"/>
      <w:szCs w:val="24"/>
      <w:lang w:eastAsia="en-US"/>
    </w:rPr>
  </w:style>
  <w:style w:type="character" w:customStyle="1" w:styleId="Heading5Char">
    <w:name w:val="Heading 5 Char"/>
    <w:basedOn w:val="DefaultParagraphFont"/>
    <w:link w:val="Heading5"/>
    <w:rPr>
      <w:rFonts w:ascii="Adviso OTF Std" w:eastAsiaTheme="majorEastAsia" w:hAnsi="Adviso OTF Std" w:cstheme="majorBidi"/>
      <w:color w:val="54883D"/>
      <w:szCs w:val="24"/>
      <w:lang w:eastAsia="en-US"/>
    </w:rPr>
  </w:style>
  <w:style w:type="character" w:customStyle="1" w:styleId="Heading6Char">
    <w:name w:val="Heading 6 Char"/>
    <w:basedOn w:val="DefaultParagraphFont"/>
    <w:link w:val="Heading6"/>
    <w:rPr>
      <w:rFonts w:ascii="Adviso OTF Std" w:eastAsiaTheme="majorEastAsia" w:hAnsi="Adviso OTF Std" w:cstheme="majorBidi"/>
      <w:color w:val="54883D"/>
      <w:szCs w:val="24"/>
      <w:lang w:eastAsia="en-US"/>
    </w:rPr>
  </w:style>
  <w:style w:type="character" w:customStyle="1" w:styleId="Heading7Char">
    <w:name w:val="Heading 7 Char"/>
    <w:basedOn w:val="DefaultParagraphFont"/>
    <w:link w:val="Heading7"/>
    <w:semiHidden/>
    <w:rPr>
      <w:rFonts w:ascii="Adviso OTF Std" w:eastAsiaTheme="majorEastAsia" w:hAnsi="Adviso OTF Std" w:cstheme="majorBidi"/>
      <w:i/>
      <w:iCs/>
      <w:color w:val="54883D"/>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paragraph" w:customStyle="1" w:styleId="8E7A9BDD400643CC867F9D6EC94E0E99">
    <w:name w:val="8E7A9BDD400643CC867F9D6EC94E0E99"/>
  </w:style>
  <w:style w:type="paragraph" w:customStyle="1" w:styleId="0A24D266ABF64813ACEA272EB21ACCB3">
    <w:name w:val="0A24D266ABF64813ACEA272EB21ACCB3"/>
    <w:rsid w:val="00637B2C"/>
  </w:style>
  <w:style w:type="paragraph" w:customStyle="1" w:styleId="B191BEC93F6947F3B4D01FDFCA00DEA9">
    <w:name w:val="B191BEC93F6947F3B4D01FDFCA00DEA9"/>
    <w:rsid w:val="00534D91"/>
  </w:style>
  <w:style w:type="paragraph" w:customStyle="1" w:styleId="A3E0D479B6DE401588C7CE4AF8282A01">
    <w:name w:val="A3E0D479B6DE401588C7CE4AF8282A01"/>
    <w:rsid w:val="00534D91"/>
  </w:style>
  <w:style w:type="paragraph" w:customStyle="1" w:styleId="2A8F3C36BC12416B937217F32934374A">
    <w:name w:val="2A8F3C36BC12416B937217F32934374A"/>
    <w:rsid w:val="00E455E6"/>
  </w:style>
  <w:style w:type="paragraph" w:customStyle="1" w:styleId="174A93A8287F426CAF0E85A0853600F7">
    <w:name w:val="174A93A8287F426CAF0E85A0853600F7"/>
    <w:rsid w:val="00E455E6"/>
  </w:style>
  <w:style w:type="paragraph" w:customStyle="1" w:styleId="FE0DCBE0E06E4FB190CAC07F545468BA">
    <w:name w:val="FE0DCBE0E06E4FB190CAC07F545468BA"/>
    <w:rsid w:val="000B5147"/>
  </w:style>
  <w:style w:type="paragraph" w:customStyle="1" w:styleId="64EA4D42F78345819D2A8D2E3A2B20A1">
    <w:name w:val="64EA4D42F78345819D2A8D2E3A2B20A1"/>
    <w:rsid w:val="000B5147"/>
  </w:style>
  <w:style w:type="paragraph" w:customStyle="1" w:styleId="9159817B0AD540F1B9BB4BA4CCF8C79F">
    <w:name w:val="9159817B0AD540F1B9BB4BA4CCF8C79F"/>
    <w:rsid w:val="003D51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034E5A-3CA5-49F3-B9BE-AF2C93CA5A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 (007)</Template>
  <TotalTime>2288</TotalTime>
  <Application>LibreOffice/6.4.3.2$Windows_X86_64 LibreOffice_project/747b5d0ebf89f41c860ec2a39efd7cb15b54f2d8</Application>
  <Pages>201</Pages>
  <Words>39384</Words>
  <Characters>233571</Characters>
  <CharactersWithSpaces>267004</CharactersWithSpaces>
  <Paragraphs>6587</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2021-09-08T16:29:00Z</dcterms:created>
  <dc:creator>Korisnik5-DLS</dc:creator>
  <dc:description/>
  <dc:language>hr-HR</dc:language>
  <cp:lastModifiedBy/>
  <cp:lastPrinted>2021-09-13T06:49:00Z</cp:lastPrinted>
  <dcterms:modified xsi:type="dcterms:W3CDTF">2022-10-31T13:12:26Z</dcterms:modified>
  <cp:revision>113</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0</vt:bool>
  </property>
  <property fmtid="{D5CDD505-2E9C-101B-9397-08002B2CF9AE}" pid="5" name="LinksUpToDate">
    <vt:bool>0</vt:bool>
  </property>
  <property fmtid="{D5CDD505-2E9C-101B-9397-08002B2CF9AE}" pid="6" name="ScaleCrop">
    <vt:bool>0</vt:bool>
  </property>
  <property fmtid="{D5CDD505-2E9C-101B-9397-08002B2CF9AE}" pid="7" name="ShareDoc">
    <vt:bool>0</vt:bool>
  </property>
</Properties>
</file>