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rial" w:hAnsi="Arial" w:cs="Arial"/>
          <w:b/>
          <w:b/>
          <w:sz w:val="32"/>
          <w:szCs w:val="32"/>
        </w:rPr>
      </w:pPr>
      <w:r>
        <w:rPr>
          <w:rFonts w:cs="Arial"/>
          <w:b/>
          <w:bCs w:val="false"/>
          <w:sz w:val="24"/>
          <w:szCs w:val="24"/>
          <w:u w:val="none"/>
        </w:rPr>
        <w:t>OBRAZLOŽENJE</w:t>
      </w:r>
    </w:p>
    <w:p>
      <w:pPr>
        <w:pStyle w:val="Normal"/>
        <w:jc w:val="both"/>
        <w:rPr>
          <w:rFonts w:ascii="Arial" w:hAnsi="Arial" w:cs="Arial"/>
          <w:b/>
          <w:b/>
          <w:sz w:val="32"/>
          <w:szCs w:val="32"/>
        </w:rPr>
      </w:pPr>
      <w:r>
        <w:rPr/>
      </w:r>
    </w:p>
    <w:p>
      <w:pPr>
        <w:pStyle w:val="Normal"/>
        <w:jc w:val="both"/>
        <w:rPr>
          <w:rFonts w:ascii="Arial" w:hAnsi="Arial" w:cs="Arial"/>
          <w:b/>
          <w:b/>
          <w:sz w:val="32"/>
          <w:szCs w:val="32"/>
        </w:rPr>
      </w:pPr>
      <w:r>
        <w:rPr>
          <w:rFonts w:cs="Arial"/>
          <w:b w:val="false"/>
          <w:bCs w:val="false"/>
          <w:sz w:val="24"/>
          <w:szCs w:val="24"/>
          <w:u w:val="none"/>
        </w:rPr>
        <w:t>Temeljem članka 17. stavka 1. Zakona o sustavu civilne zaštite (NN 82/15, 118/18, 31/20 i 20/21) predstavničko tijelo, na prijedlog izvršnog tijela jedinice lokalne i područne (regionalne) samouprave donosi procjenu rizika od velikih nesreća.</w:t>
      </w:r>
    </w:p>
    <w:p>
      <w:pPr>
        <w:pStyle w:val="Normal"/>
        <w:jc w:val="both"/>
        <w:rPr>
          <w:rFonts w:ascii="Arial" w:hAnsi="Arial" w:cs="Arial"/>
          <w:b/>
          <w:b/>
          <w:sz w:val="32"/>
          <w:szCs w:val="32"/>
        </w:rPr>
      </w:pPr>
      <w:r>
        <w:rPr>
          <w:b w:val="false"/>
          <w:bCs w:val="false"/>
        </w:rPr>
      </w:r>
    </w:p>
    <w:p>
      <w:pPr>
        <w:pStyle w:val="Normal"/>
        <w:jc w:val="both"/>
        <w:rPr>
          <w:rFonts w:ascii="Arial" w:hAnsi="Arial" w:cs="Arial"/>
          <w:b/>
          <w:b/>
          <w:sz w:val="32"/>
          <w:szCs w:val="32"/>
        </w:rPr>
      </w:pPr>
      <w:r>
        <w:rPr>
          <w:rFonts w:cs="Arial"/>
          <w:b w:val="false"/>
          <w:bCs w:val="false"/>
          <w:sz w:val="24"/>
          <w:szCs w:val="24"/>
          <w:u w:val="none"/>
        </w:rPr>
        <w:t>Procjena rizika od velikih nesreća (u daljnjem tekstu Procjena rizika) izrađuje se u svrhu smanjenja rizika i posljedica velikih nesreća, odnosno prepoznavanja i učinkovitijeg upravljanja rizicima.</w:t>
      </w:r>
    </w:p>
    <w:p>
      <w:pPr>
        <w:pStyle w:val="Normal"/>
        <w:jc w:val="both"/>
        <w:rPr>
          <w:rFonts w:ascii="Arial" w:hAnsi="Arial" w:cs="Arial"/>
          <w:b/>
          <w:b/>
          <w:sz w:val="32"/>
          <w:szCs w:val="32"/>
        </w:rPr>
      </w:pPr>
      <w:r>
        <w:rPr>
          <w:b w:val="false"/>
          <w:bCs w:val="false"/>
        </w:rPr>
      </w:r>
    </w:p>
    <w:p>
      <w:pPr>
        <w:pStyle w:val="Normal"/>
        <w:jc w:val="both"/>
        <w:rPr>
          <w:rFonts w:ascii="Arial" w:hAnsi="Arial" w:cs="Arial"/>
          <w:b/>
          <w:b/>
          <w:sz w:val="32"/>
          <w:szCs w:val="32"/>
        </w:rPr>
      </w:pPr>
      <w:r>
        <w:rPr>
          <w:rFonts w:cs="Arial"/>
          <w:b w:val="false"/>
          <w:bCs w:val="false"/>
          <w:sz w:val="24"/>
          <w:szCs w:val="24"/>
          <w:u w:val="none"/>
        </w:rPr>
        <w:t>Potreba izrade Procjene rizika od velikih nesreća za Grad Buja (u daljnjem tekstu Procjena rizika) temelji se na sljedećim društvenim, ekonomskim te praktičnim razlozima:</w:t>
      </w:r>
    </w:p>
    <w:p>
      <w:pPr>
        <w:pStyle w:val="Normal"/>
        <w:jc w:val="both"/>
        <w:rPr>
          <w:rFonts w:ascii="Arial" w:hAnsi="Arial" w:cs="Arial"/>
          <w:b/>
          <w:b/>
          <w:sz w:val="32"/>
          <w:szCs w:val="32"/>
        </w:rPr>
      </w:pPr>
      <w:r>
        <w:rPr>
          <w:rFonts w:cs="Arial"/>
          <w:b w:val="false"/>
          <w:bCs w:val="false"/>
          <w:sz w:val="24"/>
          <w:szCs w:val="24"/>
          <w:u w:val="none"/>
        </w:rPr>
        <w:t xml:space="preserve">    • </w:t>
      </w:r>
      <w:r>
        <w:rPr>
          <w:rFonts w:cs="Arial"/>
          <w:b w:val="false"/>
          <w:bCs w:val="false"/>
          <w:sz w:val="24"/>
          <w:szCs w:val="24"/>
          <w:u w:val="none"/>
        </w:rPr>
        <w:t>standardiziranje procjenjivanja rizika na svim razinama i od strane svih sektora,</w:t>
      </w:r>
    </w:p>
    <w:p>
      <w:pPr>
        <w:pStyle w:val="Normal"/>
        <w:jc w:val="both"/>
        <w:rPr>
          <w:rFonts w:ascii="Arial" w:hAnsi="Arial" w:cs="Arial"/>
          <w:b/>
          <w:b/>
          <w:sz w:val="32"/>
          <w:szCs w:val="32"/>
        </w:rPr>
      </w:pPr>
      <w:r>
        <w:rPr>
          <w:rFonts w:cs="Arial"/>
          <w:b w:val="false"/>
          <w:bCs w:val="false"/>
          <w:sz w:val="24"/>
          <w:szCs w:val="24"/>
          <w:u w:val="none"/>
        </w:rPr>
        <w:t xml:space="preserve">    • </w:t>
      </w:r>
      <w:r>
        <w:rPr>
          <w:rFonts w:cs="Arial"/>
          <w:b w:val="false"/>
          <w:bCs w:val="false"/>
          <w:sz w:val="24"/>
          <w:szCs w:val="24"/>
          <w:u w:val="none"/>
        </w:rPr>
        <w:t>prikupljanje svih bitnih podataka u jednom referentnom dokumentu,</w:t>
      </w:r>
    </w:p>
    <w:p>
      <w:pPr>
        <w:pStyle w:val="Normal"/>
        <w:jc w:val="both"/>
        <w:rPr>
          <w:rFonts w:ascii="Arial" w:hAnsi="Arial" w:cs="Arial"/>
          <w:b/>
          <w:b/>
          <w:sz w:val="32"/>
          <w:szCs w:val="32"/>
        </w:rPr>
      </w:pPr>
      <w:r>
        <w:rPr>
          <w:rFonts w:cs="Arial"/>
          <w:b w:val="false"/>
          <w:bCs w:val="false"/>
          <w:sz w:val="24"/>
          <w:szCs w:val="24"/>
          <w:u w:val="none"/>
        </w:rPr>
        <w:t xml:space="preserve">    • </w:t>
      </w:r>
      <w:r>
        <w:rPr>
          <w:rFonts w:cs="Arial"/>
          <w:b w:val="false"/>
          <w:bCs w:val="false"/>
          <w:sz w:val="24"/>
          <w:szCs w:val="24"/>
          <w:u w:val="none"/>
        </w:rPr>
        <w:t>unapređenje shvaćanja rizika za potrebe praktičnog korištenja u postupcima planiranja, osiguranja, investiranja te ostalim srodnim aktivnostima,</w:t>
      </w:r>
    </w:p>
    <w:p>
      <w:pPr>
        <w:pStyle w:val="Normal"/>
        <w:jc w:val="both"/>
        <w:rPr>
          <w:rFonts w:ascii="Arial" w:hAnsi="Arial" w:cs="Arial"/>
          <w:b/>
          <w:b/>
          <w:sz w:val="32"/>
          <w:szCs w:val="32"/>
        </w:rPr>
      </w:pPr>
      <w:r>
        <w:rPr>
          <w:rFonts w:cs="Arial"/>
          <w:b w:val="false"/>
          <w:bCs w:val="false"/>
          <w:sz w:val="24"/>
          <w:szCs w:val="24"/>
          <w:u w:val="none"/>
        </w:rPr>
        <w:t xml:space="preserve">    • </w:t>
      </w:r>
      <w:r>
        <w:rPr>
          <w:rFonts w:cs="Arial"/>
          <w:b w:val="false"/>
          <w:bCs w:val="false"/>
          <w:sz w:val="24"/>
          <w:szCs w:val="24"/>
          <w:u w:val="none"/>
        </w:rPr>
        <w:t>pojednostavnjenje procesa u svrhu lakšeg nadzora i razumijevanja izlaznih rezultata.</w:t>
      </w:r>
    </w:p>
    <w:p>
      <w:pPr>
        <w:pStyle w:val="Normal"/>
        <w:jc w:val="both"/>
        <w:rPr>
          <w:rFonts w:ascii="Arial" w:hAnsi="Arial" w:cs="Arial"/>
          <w:b/>
          <w:b/>
          <w:sz w:val="32"/>
          <w:szCs w:val="32"/>
        </w:rPr>
      </w:pPr>
      <w:r>
        <w:rPr>
          <w:b w:val="false"/>
          <w:bCs w:val="false"/>
        </w:rPr>
      </w:r>
    </w:p>
    <w:p>
      <w:pPr>
        <w:pStyle w:val="Normal"/>
        <w:jc w:val="both"/>
        <w:rPr>
          <w:rFonts w:ascii="Arial" w:hAnsi="Arial" w:cs="Arial"/>
          <w:b/>
          <w:b/>
          <w:sz w:val="32"/>
          <w:szCs w:val="32"/>
        </w:rPr>
      </w:pPr>
      <w:r>
        <w:rPr>
          <w:rFonts w:cs="Arial"/>
          <w:b w:val="false"/>
          <w:bCs w:val="false"/>
          <w:sz w:val="24"/>
          <w:szCs w:val="24"/>
          <w:u w:val="none"/>
        </w:rPr>
        <w:t>Procesi i metodologije analiziranja i procjenjivanja rizika kontinuirano se razvijaju i modificiraju sukladno promjenama u okolišu. Stoga izrađena Procjena rizika Grada Buja predstavlja stanje na području Grada Buja s danom donošenja dokumenta.</w:t>
      </w:r>
    </w:p>
    <w:p>
      <w:pPr>
        <w:pStyle w:val="Normal"/>
        <w:jc w:val="both"/>
        <w:rPr>
          <w:rFonts w:ascii="Arial" w:hAnsi="Arial" w:cs="Arial"/>
          <w:b/>
          <w:b/>
          <w:sz w:val="32"/>
          <w:szCs w:val="32"/>
        </w:rPr>
      </w:pPr>
      <w:r>
        <w:rPr>
          <w:b w:val="false"/>
          <w:bCs w:val="false"/>
        </w:rPr>
      </w:r>
    </w:p>
    <w:p>
      <w:pPr>
        <w:pStyle w:val="Normal"/>
        <w:jc w:val="both"/>
        <w:rPr>
          <w:rFonts w:ascii="Arial" w:hAnsi="Arial" w:cs="Arial"/>
          <w:b/>
          <w:b/>
          <w:sz w:val="32"/>
          <w:szCs w:val="32"/>
        </w:rPr>
      </w:pPr>
      <w:r>
        <w:rPr>
          <w:rFonts w:cs="Arial"/>
          <w:b w:val="false"/>
          <w:bCs w:val="false"/>
          <w:sz w:val="24"/>
          <w:szCs w:val="24"/>
          <w:u w:val="none"/>
        </w:rPr>
        <w:t xml:space="preserve">Gradonačelnik Grada Buja donio je Odluku o izradi revizije Procjene rizika od velikih nesreća za Grad Buje (KLASA: 240-01/22-01/04 URBROJ: 2163-2-01/1-22-2). Odlukom je osnovana radna skupina koja je izabrala rizike koji su karakteristični za Grad Buje i obrađuju se u Procjeni, a vodeći se Smjernicama za izradu procjene ugroženosti Istarske županije. </w:t>
      </w:r>
    </w:p>
    <w:p>
      <w:pPr>
        <w:pStyle w:val="Normal"/>
        <w:jc w:val="both"/>
        <w:rPr>
          <w:rFonts w:ascii="Arial" w:hAnsi="Arial" w:cs="Arial"/>
          <w:b/>
          <w:b/>
          <w:sz w:val="32"/>
          <w:szCs w:val="32"/>
        </w:rPr>
      </w:pPr>
      <w:r>
        <w:rPr>
          <w:b w:val="false"/>
          <w:bCs w:val="false"/>
        </w:rPr>
      </w:r>
    </w:p>
    <w:p>
      <w:pPr>
        <w:pStyle w:val="Normal"/>
        <w:jc w:val="both"/>
        <w:rPr>
          <w:rFonts w:ascii="Arial" w:hAnsi="Arial" w:cs="Arial"/>
          <w:b/>
          <w:b/>
          <w:sz w:val="32"/>
          <w:szCs w:val="32"/>
        </w:rPr>
      </w:pPr>
      <w:r>
        <w:rPr>
          <w:rFonts w:cs="Arial"/>
          <w:b w:val="false"/>
          <w:bCs w:val="false"/>
          <w:sz w:val="24"/>
          <w:szCs w:val="24"/>
          <w:u w:val="none"/>
        </w:rPr>
        <w:t xml:space="preserve">Procjena rizika ne provodi se za antropogene prijetnje poput ratova i terorističkih djelovanja te ostalih zlonamjernih aktivnosti pojedinaca koje mogu ugroziti stanovništvo, materijalna i kulturna dobra te okoliš na području Grada Buja. </w:t>
      </w:r>
    </w:p>
    <w:p>
      <w:pPr>
        <w:pStyle w:val="Normal"/>
        <w:jc w:val="both"/>
        <w:rPr>
          <w:rFonts w:ascii="Arial" w:hAnsi="Arial" w:cs="Arial"/>
          <w:b/>
          <w:b/>
          <w:sz w:val="32"/>
          <w:szCs w:val="32"/>
        </w:rPr>
      </w:pPr>
      <w:r>
        <w:rPr>
          <w:b w:val="false"/>
          <w:bCs w:val="false"/>
        </w:rPr>
      </w:r>
    </w:p>
    <w:p>
      <w:pPr>
        <w:pStyle w:val="Normal"/>
        <w:jc w:val="both"/>
        <w:rPr>
          <w:rFonts w:ascii="Arial" w:hAnsi="Arial" w:cs="Arial"/>
          <w:b/>
          <w:b/>
          <w:sz w:val="32"/>
          <w:szCs w:val="32"/>
        </w:rPr>
      </w:pPr>
      <w:r>
        <w:rPr>
          <w:rFonts w:cs="Arial"/>
          <w:b w:val="false"/>
          <w:bCs w:val="false"/>
          <w:sz w:val="24"/>
          <w:szCs w:val="24"/>
          <w:u w:val="none"/>
        </w:rPr>
        <w:t>Kao temelj za izradu Procjene rizika od velikih nesreća za Grad Buje korištene su Smjernice za izradu procjene rizika od velikih nesreća na području Istarske županije. Svrha smjernica jest uređenje sveobuhvatnog, cjelovitog i objektivnog pristupa tijekom procesa procjenjivanja rizika kako bi se ublažile njihove posljedice po zdravlje i živote ljudi, materijalna i kulturna dobra i okoliš.</w:t>
      </w:r>
    </w:p>
    <w:p>
      <w:pPr>
        <w:pStyle w:val="Normal"/>
        <w:jc w:val="both"/>
        <w:rPr>
          <w:rFonts w:ascii="Arial" w:hAnsi="Arial" w:cs="Arial"/>
          <w:b/>
          <w:b/>
          <w:sz w:val="32"/>
          <w:szCs w:val="32"/>
        </w:rPr>
      </w:pPr>
      <w:r>
        <w:rPr>
          <w:b w:val="false"/>
          <w:bCs w:val="false"/>
        </w:rPr>
      </w:r>
    </w:p>
    <w:p>
      <w:pPr>
        <w:pStyle w:val="Normal"/>
        <w:jc w:val="both"/>
        <w:rPr>
          <w:rFonts w:ascii="Arial" w:hAnsi="Arial" w:cs="Arial"/>
          <w:b/>
          <w:b/>
          <w:sz w:val="32"/>
          <w:szCs w:val="32"/>
        </w:rPr>
      </w:pPr>
      <w:r>
        <w:rPr>
          <w:rFonts w:cs="Arial"/>
          <w:b w:val="false"/>
          <w:bCs w:val="false"/>
          <w:sz w:val="24"/>
          <w:szCs w:val="24"/>
          <w:u w:val="none"/>
        </w:rPr>
        <w:t>Procjena rizika označava metodologiju kojom se utvrđuju priroda i stupanj rizika, prilikom čega se analiziraju potencijalne prijetnje i procjenjuje postojeće stanje ranjivosti koji zajedno mogu ugroziti stanovništvo, materijalna i kulturna dobra, biljni i životinjski svijet. Rizik obuhvaća kombinaciju vjerojatnosti nekog događaja i njegovih negativnih posljedica. Postupak izrade Procjene usklađen je s normom HRN EN ISO 31000:2012 – Upravljanje rizicima – Načela i smjernice, koja služi za potrebe unapređenja razumijevanja rizika na svim razinama, osobito u smislu povećanja efikasnosti dosad uspostavljenih mjera za smanjenje rizika od velikih nesreća kao i definiranje novih mjera.</w:t>
      </w:r>
    </w:p>
    <w:sectPr>
      <w:type w:val="nextPage"/>
      <w:pgSz w:w="11906" w:h="16838"/>
      <w:pgMar w:left="1417" w:right="1417" w:header="0" w:top="1417"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Arial">
    <w:charset w:val="ee"/>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hr-HR" w:eastAsia="hr-H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42f49"/>
    <w:pPr>
      <w:widowControl/>
      <w:suppressAutoHyphens w:val="true"/>
      <w:bidi w:val="0"/>
      <w:spacing w:before="0" w:after="0"/>
      <w:jc w:val="left"/>
    </w:pPr>
    <w:rPr>
      <w:rFonts w:ascii="Times New Roman" w:hAnsi="Times New Roman" w:eastAsia="Times New Roman" w:cs="Times New Roman"/>
      <w:color w:val="auto"/>
      <w:kern w:val="0"/>
      <w:sz w:val="24"/>
      <w:szCs w:val="24"/>
      <w:lang w:val="hr-HR" w:eastAsia="hr-HR" w:bidi="ar-SA"/>
    </w:rPr>
  </w:style>
  <w:style w:type="character" w:styleId="DefaultParagraphFont" w:default="1">
    <w:name w:val="Default Paragraph Font"/>
    <w:uiPriority w:val="1"/>
    <w:unhideWhenUsed/>
    <w:qFormat/>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680629"/>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596c3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Application>LibreOffice/6.4.3.2$Windows_X86_64 LibreOffice_project/747b5d0ebf89f41c860ec2a39efd7cb15b54f2d8</Application>
  <Pages>1</Pages>
  <Words>395</Words>
  <Characters>2528</Characters>
  <CharactersWithSpaces>2930</CharactersWithSpaces>
  <Paragraphs>13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2017-04-26T07:39:00Z</dcterms:created>
  <dc:creator>Valter</dc:creator>
  <dc:description/>
  <dc:language>hr-HR</dc:language>
  <cp:lastModifiedBy/>
  <cp:lastPrinted>2017-04-26T06:01:00Z</cp:lastPrinted>
  <dcterms:modified xsi:type="dcterms:W3CDTF">2022-09-07T14:23:32Z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