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59C2" w14:textId="2AF0D2E5" w:rsidR="003D5F5D" w:rsidRPr="003E23EC" w:rsidRDefault="003D5F5D" w:rsidP="003D5F5D">
      <w:r w:rsidRPr="003E23EC">
        <w:t xml:space="preserve">Na temelju članka </w:t>
      </w:r>
      <w:r>
        <w:t>76. do 80</w:t>
      </w:r>
      <w:r w:rsidRPr="003E23EC">
        <w:t xml:space="preserve">. </w:t>
      </w:r>
      <w:r>
        <w:t xml:space="preserve">i članka 163. točka 5. </w:t>
      </w:r>
      <w:r w:rsidRPr="003E23EC">
        <w:t xml:space="preserve">Zakona o proračunu („Narodne novine“, broj </w:t>
      </w:r>
      <w:r>
        <w:t>144/21</w:t>
      </w:r>
      <w:r w:rsidRPr="003E23EC">
        <w:t>)</w:t>
      </w:r>
      <w:r>
        <w:t xml:space="preserve"> uz primjenu odredbi članka 109. Zakona o proračunu („Narodne novine“, broj 87/08, 136/12 i 15/15)</w:t>
      </w:r>
      <w:r w:rsidRPr="003E23EC">
        <w:t>, članka 1</w:t>
      </w:r>
      <w:r>
        <w:t>6</w:t>
      </w:r>
      <w:r w:rsidRPr="003E23EC">
        <w:t>. Pravilnika o polugodišnjem i godišnjem izvještaju o izvršenju proračuna („Narodne novine“ broj 24/13</w:t>
      </w:r>
      <w:r>
        <w:t>,</w:t>
      </w:r>
      <w:r w:rsidRPr="003E23EC">
        <w:t xml:space="preserve"> 102/17</w:t>
      </w:r>
      <w:r>
        <w:t>, 1/20 i 147/20</w:t>
      </w:r>
      <w:r w:rsidRPr="003E23EC">
        <w:t xml:space="preserve">) i članka 50. Statuta Grada Buja („Službene novine Grada Buja“, broj 11/09, 05/11, 11/11, 03/13 i 5/18) Gradsko vijeće Grada Buja na sjednici </w:t>
      </w:r>
      <w:r w:rsidR="0087105C">
        <w:t>27.04.</w:t>
      </w:r>
      <w:r>
        <w:t xml:space="preserve">2022. </w:t>
      </w:r>
      <w:r w:rsidRPr="003E23EC">
        <w:t xml:space="preserve">godine, donijelo je  </w:t>
      </w:r>
    </w:p>
    <w:p w14:paraId="003F59F9" w14:textId="77777777" w:rsidR="003D5F5D" w:rsidRPr="003E23EC" w:rsidRDefault="003D5F5D" w:rsidP="003D5F5D"/>
    <w:p w14:paraId="196B478D" w14:textId="77777777" w:rsidR="003D5F5D" w:rsidRPr="003E23EC" w:rsidRDefault="003D5F5D" w:rsidP="003D5F5D">
      <w:pPr>
        <w:jc w:val="center"/>
        <w:rPr>
          <w:b/>
        </w:rPr>
      </w:pPr>
      <w:r w:rsidRPr="003E23EC">
        <w:rPr>
          <w:b/>
        </w:rPr>
        <w:t xml:space="preserve">GODIŠNJI IZVJEŠTAJ O IZVRŠENJU </w:t>
      </w:r>
    </w:p>
    <w:p w14:paraId="43A4B880" w14:textId="77777777" w:rsidR="003D5F5D" w:rsidRPr="003E23EC" w:rsidRDefault="003D5F5D" w:rsidP="003D5F5D">
      <w:pPr>
        <w:jc w:val="center"/>
        <w:rPr>
          <w:b/>
        </w:rPr>
      </w:pPr>
      <w:r w:rsidRPr="003E23EC">
        <w:rPr>
          <w:b/>
        </w:rPr>
        <w:t>PRORAČUNA GRADA BUJA - BUIE ZA 20</w:t>
      </w:r>
      <w:r>
        <w:rPr>
          <w:b/>
        </w:rPr>
        <w:t>21</w:t>
      </w:r>
      <w:r w:rsidRPr="003E23EC">
        <w:rPr>
          <w:b/>
        </w:rPr>
        <w:t>. GODINU</w:t>
      </w:r>
    </w:p>
    <w:p w14:paraId="2146EB43" w14:textId="77777777" w:rsidR="003D5F5D" w:rsidRPr="003E23EC" w:rsidRDefault="003D5F5D" w:rsidP="003D5F5D">
      <w:pPr>
        <w:jc w:val="center"/>
        <w:rPr>
          <w:b/>
        </w:rPr>
      </w:pPr>
    </w:p>
    <w:p w14:paraId="38BC3073" w14:textId="77777777" w:rsidR="003D5F5D" w:rsidRPr="003E23EC" w:rsidRDefault="003D5F5D" w:rsidP="003D5F5D">
      <w:pPr>
        <w:jc w:val="center"/>
      </w:pPr>
      <w:r w:rsidRPr="003E23EC">
        <w:t>Članak 1.</w:t>
      </w:r>
    </w:p>
    <w:p w14:paraId="269B6DB7" w14:textId="77777777" w:rsidR="003D5F5D" w:rsidRPr="003E23EC" w:rsidRDefault="003D5F5D" w:rsidP="003D5F5D">
      <w:pPr>
        <w:jc w:val="center"/>
      </w:pPr>
    </w:p>
    <w:p w14:paraId="33CCD954" w14:textId="77777777" w:rsidR="003D5F5D" w:rsidRDefault="003D5F5D" w:rsidP="003D5F5D">
      <w:r w:rsidRPr="003E23EC">
        <w:t>Utvrđuje se izvršenje Proračuna Grada Buja - Buie u 20</w:t>
      </w:r>
      <w:r>
        <w:t>21</w:t>
      </w:r>
      <w:r w:rsidRPr="003E23EC">
        <w:t>. godin</w:t>
      </w:r>
      <w:r>
        <w:t>i</w:t>
      </w:r>
      <w:r w:rsidRPr="003E23EC">
        <w:t xml:space="preserve"> kako slijedi:</w:t>
      </w:r>
    </w:p>
    <w:p w14:paraId="54BA28CE" w14:textId="77777777" w:rsidR="003D5F5D" w:rsidRDefault="003D5F5D" w:rsidP="003D5F5D"/>
    <w:tbl>
      <w:tblPr>
        <w:tblW w:w="9513" w:type="dxa"/>
        <w:tblLook w:val="04A0" w:firstRow="1" w:lastRow="0" w:firstColumn="1" w:lastColumn="0" w:noHBand="0" w:noVBand="1"/>
      </w:tblPr>
      <w:tblGrid>
        <w:gridCol w:w="308"/>
        <w:gridCol w:w="3520"/>
        <w:gridCol w:w="1300"/>
        <w:gridCol w:w="1300"/>
        <w:gridCol w:w="1271"/>
        <w:gridCol w:w="907"/>
        <w:gridCol w:w="907"/>
      </w:tblGrid>
      <w:tr w:rsidR="003D5F5D" w:rsidRPr="00295390" w14:paraId="52CA972B" w14:textId="77777777" w:rsidTr="00EC18ED">
        <w:trPr>
          <w:trHeight w:val="24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5702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A. RAČUN PRIHODA I RASHODA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7FB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12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367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AE6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34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4341CAC7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9AF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8FB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6D2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4A0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BE6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53A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06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48596A28" w14:textId="77777777" w:rsidTr="00EC18ED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DF1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 xml:space="preserve">BROJČANA OZNAKA I NAZIV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4BC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67F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IZVORNI PLAN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D0D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0951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7BE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D5F5D" w:rsidRPr="00295390" w14:paraId="6DEA4F95" w14:textId="77777777" w:rsidTr="00EC18E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5AF9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BF27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1F396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B914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0A35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37A36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4/2*100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0CC3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4/3*100</w:t>
            </w:r>
          </w:p>
        </w:tc>
      </w:tr>
      <w:tr w:rsidR="003D5F5D" w:rsidRPr="00295390" w14:paraId="5B78A18F" w14:textId="77777777" w:rsidTr="00EC18ED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FEF0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281C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9BBA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1B97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54B5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9053" w14:textId="77777777" w:rsidR="003D5F5D" w:rsidRPr="00295390" w:rsidRDefault="003D5F5D" w:rsidP="00EC18ED">
            <w:pPr>
              <w:jc w:val="center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D5F5D" w:rsidRPr="00295390" w14:paraId="0D0D00A4" w14:textId="77777777" w:rsidTr="00EC18E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C9E2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244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20A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31.038.925,97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15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32.298.691,90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2B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32.174.692,70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1BB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103,66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A58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3D5F5D" w:rsidRPr="00295390" w14:paraId="0AFA4568" w14:textId="77777777" w:rsidTr="00EC18E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1EB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8301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70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4.518.344,48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FC46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FA1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4.580.232,11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A67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101,37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F01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70,47</w:t>
            </w:r>
          </w:p>
        </w:tc>
      </w:tr>
      <w:tr w:rsidR="003D5F5D" w:rsidRPr="00295390" w14:paraId="4B131B5B" w14:textId="77777777" w:rsidTr="00EC18ED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6CFD" w14:textId="77777777" w:rsidR="003D5F5D" w:rsidRPr="00295390" w:rsidRDefault="003D5F5D" w:rsidP="00EC18ED">
            <w:pPr>
              <w:rPr>
                <w:sz w:val="18"/>
                <w:szCs w:val="18"/>
              </w:rPr>
            </w:pPr>
            <w:r w:rsidRPr="00295390">
              <w:rPr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0752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UKUPNI PRIHODI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8D5C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35.557.270,45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E194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38.798.691,90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DED4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36.754.924,81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52CB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103,37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FF40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94,73</w:t>
            </w:r>
          </w:p>
        </w:tc>
      </w:tr>
      <w:tr w:rsidR="003D5F5D" w:rsidRPr="00295390" w14:paraId="3E2FE147" w14:textId="77777777" w:rsidTr="00EC18E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B7C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D54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BB8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23.591.327,62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14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29.202.217,77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C39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26.175.139,99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D79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110,95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1D6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89,63</w:t>
            </w:r>
          </w:p>
        </w:tc>
      </w:tr>
      <w:tr w:rsidR="003D5F5D" w:rsidRPr="00295390" w14:paraId="68868CBF" w14:textId="77777777" w:rsidTr="00EC18ED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605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6DD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F7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14.238.308,97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FA8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9.268.384,39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AEB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9.739.905,39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8A8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68,41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9C0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105,09</w:t>
            </w:r>
          </w:p>
        </w:tc>
      </w:tr>
      <w:tr w:rsidR="003D5F5D" w:rsidRPr="00295390" w14:paraId="6883DD2A" w14:textId="77777777" w:rsidTr="00EC18ED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7CA4" w14:textId="77777777" w:rsidR="003D5F5D" w:rsidRPr="00295390" w:rsidRDefault="003D5F5D" w:rsidP="00EC18ED">
            <w:pPr>
              <w:rPr>
                <w:sz w:val="18"/>
                <w:szCs w:val="18"/>
              </w:rPr>
            </w:pPr>
            <w:r w:rsidRPr="00295390">
              <w:rPr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5FB9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DBE6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37.829.636,59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0064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38.470.602,16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D439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35.915.045,38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A44A8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94,94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B27A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93,36</w:t>
            </w:r>
          </w:p>
        </w:tc>
      </w:tr>
      <w:tr w:rsidR="003D5F5D" w:rsidRPr="00295390" w14:paraId="6F6A26B8" w14:textId="77777777" w:rsidTr="00EC18ED">
        <w:trPr>
          <w:trHeight w:val="240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9536" w14:textId="77777777" w:rsidR="003D5F5D" w:rsidRPr="00295390" w:rsidRDefault="003D5F5D" w:rsidP="00EC18ED">
            <w:pPr>
              <w:rPr>
                <w:sz w:val="18"/>
                <w:szCs w:val="18"/>
              </w:rPr>
            </w:pPr>
            <w:r w:rsidRPr="00295390">
              <w:rPr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0340" w14:textId="77777777" w:rsidR="003D5F5D" w:rsidRPr="00295390" w:rsidRDefault="003D5F5D" w:rsidP="00EC18ED">
            <w:pPr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RAZLIKA - VIŠAK / MANJAK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5E6D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-2.272.366,14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73EF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328.089,74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66E0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839.879,43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6B0D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-36,96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BD19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255,99</w:t>
            </w:r>
          </w:p>
        </w:tc>
      </w:tr>
      <w:tr w:rsidR="003D5F5D" w:rsidRPr="00295390" w14:paraId="15E44164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B5A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64F0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B7A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B5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DA8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798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995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46790934" w14:textId="77777777" w:rsidTr="00EC18ED">
        <w:trPr>
          <w:trHeight w:val="24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142" w14:textId="77777777" w:rsidR="003D5F5D" w:rsidRPr="00295390" w:rsidRDefault="003D5F5D" w:rsidP="00EC18ED">
            <w:pPr>
              <w:rPr>
                <w:sz w:val="20"/>
                <w:szCs w:val="20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B. RAČUN ZADUŽIVANJA/FINANCIRANJA</w:t>
            </w:r>
          </w:p>
        </w:tc>
      </w:tr>
      <w:tr w:rsidR="003D5F5D" w:rsidRPr="00295390" w14:paraId="6625DFF8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CD8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2D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A8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16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9E6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738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B0F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1FB07580" w14:textId="77777777" w:rsidTr="00EC18ED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5CD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 xml:space="preserve">BROJČANA OZNAKA I NAZIV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B36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C7C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IZVORNI PLAN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9E2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CB7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B9D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D5F5D" w:rsidRPr="00295390" w14:paraId="7DF05767" w14:textId="77777777" w:rsidTr="00EC18ED">
        <w:trPr>
          <w:trHeight w:val="240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8392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4A3D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C399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C2AF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A862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BE9F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4/2*100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BFE3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4/3*100</w:t>
            </w:r>
          </w:p>
        </w:tc>
      </w:tr>
      <w:tr w:rsidR="003D5F5D" w:rsidRPr="00295390" w14:paraId="356CA256" w14:textId="77777777" w:rsidTr="00EC18ED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1903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2EAD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D9198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3987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CA8F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939C" w14:textId="77777777" w:rsidR="003D5F5D" w:rsidRPr="00295390" w:rsidRDefault="003D5F5D" w:rsidP="00EC18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D5F5D" w:rsidRPr="00295390" w14:paraId="2D72297B" w14:textId="77777777" w:rsidTr="00EC18ED">
        <w:trPr>
          <w:trHeight w:val="2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ED7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087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D6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5.031.898,51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0B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2.514.605,44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8F41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2.514.605,44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FD0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82D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D5F5D" w:rsidRPr="00295390" w14:paraId="7835A578" w14:textId="77777777" w:rsidTr="00EC18ED">
        <w:trPr>
          <w:trHeight w:val="2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314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D01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5AE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3.814.803,85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7A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2.225.142,42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9D7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2.186.397,02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03C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57,31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238C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98,26</w:t>
            </w:r>
          </w:p>
        </w:tc>
      </w:tr>
      <w:tr w:rsidR="003D5F5D" w:rsidRPr="00295390" w14:paraId="76CADF87" w14:textId="77777777" w:rsidTr="00EC18ED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F749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8DC1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NETO ZADUŽIVANJE/FINANCIRANJE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DD9B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1.217.094,66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81DD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289.463,02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CD1C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328.208,42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6C22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40B2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113,39</w:t>
            </w:r>
          </w:p>
        </w:tc>
      </w:tr>
      <w:tr w:rsidR="003D5F5D" w:rsidRPr="00295390" w14:paraId="28432B33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957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CA4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7D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243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12E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E70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FB2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008127A6" w14:textId="77777777" w:rsidTr="00EC18ED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0B76" w14:textId="77777777" w:rsidR="003D5F5D" w:rsidRPr="00295390" w:rsidRDefault="003D5F5D" w:rsidP="00EC18ED">
            <w:pPr>
              <w:rPr>
                <w:color w:val="000000"/>
                <w:sz w:val="18"/>
                <w:szCs w:val="18"/>
              </w:rPr>
            </w:pPr>
            <w:r w:rsidRPr="002953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6FBB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VIŠAK/MANJAK + NETO ZADUŽIVANJA/FINANCIRANJA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25D0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-1.055.271,48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5DFA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617.552,76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093F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1.168.087,85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CB66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-110,69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E18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189,15</w:t>
            </w:r>
          </w:p>
        </w:tc>
      </w:tr>
      <w:tr w:rsidR="003D5F5D" w:rsidRPr="00295390" w14:paraId="3BCB8177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299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9BB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3F2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BCD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CD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57D1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7D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0FE828BD" w14:textId="77777777" w:rsidTr="00EC18ED">
        <w:trPr>
          <w:trHeight w:val="24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7FC9" w14:textId="77777777" w:rsidR="003D5F5D" w:rsidRPr="00295390" w:rsidRDefault="003D5F5D" w:rsidP="00EC18ED">
            <w:pPr>
              <w:rPr>
                <w:color w:val="000000"/>
                <w:sz w:val="18"/>
                <w:szCs w:val="18"/>
              </w:rPr>
            </w:pPr>
            <w:r w:rsidRPr="002953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F56B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FAF1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437.718,22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A6C6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-617.552,76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CEBF" w14:textId="77777777" w:rsidR="003D5F5D" w:rsidRPr="00295390" w:rsidRDefault="003D5F5D" w:rsidP="00EC18ED">
            <w:pPr>
              <w:jc w:val="right"/>
              <w:rPr>
                <w:b/>
                <w:bCs/>
                <w:sz w:val="18"/>
                <w:szCs w:val="18"/>
              </w:rPr>
            </w:pPr>
            <w:r w:rsidRPr="00295390">
              <w:rPr>
                <w:b/>
                <w:bCs/>
                <w:sz w:val="18"/>
                <w:szCs w:val="18"/>
              </w:rPr>
              <w:t>-607.156,79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466E7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-138,71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8CF3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98,32</w:t>
            </w:r>
          </w:p>
        </w:tc>
      </w:tr>
      <w:tr w:rsidR="003D5F5D" w:rsidRPr="00295390" w14:paraId="1E68DBE4" w14:textId="77777777" w:rsidTr="00EC18ED">
        <w:trPr>
          <w:trHeight w:val="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81D9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9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749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907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5C2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2C0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4055" w14:textId="77777777" w:rsidR="003D5F5D" w:rsidRPr="00295390" w:rsidRDefault="003D5F5D" w:rsidP="00EC18ED">
            <w:pPr>
              <w:rPr>
                <w:sz w:val="20"/>
                <w:szCs w:val="20"/>
              </w:rPr>
            </w:pPr>
          </w:p>
        </w:tc>
      </w:tr>
      <w:tr w:rsidR="003D5F5D" w:rsidRPr="00295390" w14:paraId="0226FE33" w14:textId="77777777" w:rsidTr="00EC18ED">
        <w:trPr>
          <w:trHeight w:val="480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7998" w14:textId="77777777" w:rsidR="003D5F5D" w:rsidRPr="00295390" w:rsidRDefault="003D5F5D" w:rsidP="00EC18ED">
            <w:pPr>
              <w:rPr>
                <w:color w:val="000000"/>
                <w:sz w:val="18"/>
                <w:szCs w:val="18"/>
              </w:rPr>
            </w:pPr>
            <w:r w:rsidRPr="002953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D85CD" w14:textId="77777777" w:rsidR="003D5F5D" w:rsidRPr="00295390" w:rsidRDefault="003D5F5D" w:rsidP="00EC18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VIŠAK/MANJAK RASPOLOŽIV/ZA POKRIĆE U SLJEDEĆEM RAZDOBLJU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CB2F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-617.553,26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AF60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E5E5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560.931,06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4AE0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-90,83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2E32" w14:textId="77777777" w:rsidR="003D5F5D" w:rsidRPr="00295390" w:rsidRDefault="003D5F5D" w:rsidP="00EC18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539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2CF28953" w14:textId="77777777" w:rsidR="003D5F5D" w:rsidRDefault="003D5F5D" w:rsidP="003D5F5D"/>
    <w:p w14:paraId="6F8B01BB" w14:textId="77777777" w:rsidR="003D5F5D" w:rsidRDefault="003D5F5D" w:rsidP="003D5F5D"/>
    <w:p w14:paraId="42CE45D7" w14:textId="77777777" w:rsidR="003D5F5D" w:rsidRPr="003E23EC" w:rsidRDefault="003D5F5D" w:rsidP="003D5F5D">
      <w:pPr>
        <w:jc w:val="center"/>
      </w:pPr>
      <w:r w:rsidRPr="003E23EC">
        <w:t>Članak 2.</w:t>
      </w:r>
    </w:p>
    <w:p w14:paraId="7E5A19F3" w14:textId="77777777" w:rsidR="003D5F5D" w:rsidRPr="003E23EC" w:rsidRDefault="003D5F5D" w:rsidP="003D5F5D">
      <w:pPr>
        <w:jc w:val="center"/>
      </w:pPr>
    </w:p>
    <w:p w14:paraId="61A27F1A" w14:textId="77777777" w:rsidR="003D5F5D" w:rsidRDefault="003D5F5D" w:rsidP="003D5F5D">
      <w:r w:rsidRPr="003E23EC">
        <w:t>Utvrđuje se da je u 20</w:t>
      </w:r>
      <w:r>
        <w:t>21</w:t>
      </w:r>
      <w:r w:rsidRPr="003E23EC">
        <w:t>. godin</w:t>
      </w:r>
      <w:r>
        <w:t>i</w:t>
      </w:r>
      <w:r w:rsidRPr="003E23EC">
        <w:t xml:space="preserve"> ostvaren ukupan </w:t>
      </w:r>
      <w:r>
        <w:t xml:space="preserve">višak </w:t>
      </w:r>
      <w:r w:rsidRPr="003E23EC">
        <w:t xml:space="preserve">prihoda i primitaka u iznosu od </w:t>
      </w:r>
      <w:r>
        <w:t>1.168.087,85</w:t>
      </w:r>
      <w:r w:rsidRPr="003E23EC">
        <w:t xml:space="preserve"> kuna. </w:t>
      </w:r>
    </w:p>
    <w:p w14:paraId="31F30427" w14:textId="77777777" w:rsidR="003D5F5D" w:rsidRDefault="003D5F5D" w:rsidP="003D5F5D"/>
    <w:p w14:paraId="52F321BC" w14:textId="77777777" w:rsidR="003D5F5D" w:rsidRPr="00E80A17" w:rsidRDefault="003D5F5D" w:rsidP="003D5F5D">
      <w:pPr>
        <w:ind w:right="70"/>
      </w:pPr>
      <w:r w:rsidRPr="00E80A17">
        <w:t>Grad Buje (</w:t>
      </w:r>
      <w:r>
        <w:t>višak</w:t>
      </w:r>
      <w:r w:rsidRPr="00E80A17">
        <w:t xml:space="preserve">) </w:t>
      </w:r>
      <w:r>
        <w:t xml:space="preserve">    </w:t>
      </w:r>
      <w:r w:rsidRPr="00E80A17">
        <w:t xml:space="preserve">                                          </w:t>
      </w:r>
      <w:r>
        <w:t xml:space="preserve"> 1.206.383,46</w:t>
      </w:r>
    </w:p>
    <w:p w14:paraId="546213C5" w14:textId="77777777" w:rsidR="003D5F5D" w:rsidRPr="00E80A17" w:rsidRDefault="003D5F5D" w:rsidP="003D5F5D">
      <w:pPr>
        <w:ind w:right="70"/>
      </w:pPr>
      <w:r w:rsidRPr="00E80A17">
        <w:t>Dječji vrtić Buje (</w:t>
      </w:r>
      <w:r>
        <w:t>višak</w:t>
      </w:r>
      <w:r w:rsidRPr="00E80A17">
        <w:t xml:space="preserve">)                                    </w:t>
      </w:r>
      <w:r>
        <w:t xml:space="preserve">     </w:t>
      </w:r>
      <w:r w:rsidRPr="00E80A17">
        <w:t xml:space="preserve">  </w:t>
      </w:r>
      <w:r>
        <w:t>47.856,20</w:t>
      </w:r>
    </w:p>
    <w:p w14:paraId="519D4AAD" w14:textId="77777777" w:rsidR="003D5F5D" w:rsidRPr="00E80A17" w:rsidRDefault="003D5F5D" w:rsidP="003D5F5D">
      <w:pPr>
        <w:ind w:right="70"/>
      </w:pPr>
      <w:r w:rsidRPr="00E80A17">
        <w:lastRenderedPageBreak/>
        <w:t>Talijanski dječji vrtić Mrvica (</w:t>
      </w:r>
      <w:r>
        <w:t>manja</w:t>
      </w:r>
      <w:r w:rsidRPr="00E80A17">
        <w:t xml:space="preserve">k)                  </w:t>
      </w:r>
      <w:r>
        <w:t>-12.219,49</w:t>
      </w:r>
    </w:p>
    <w:p w14:paraId="1A46AE16" w14:textId="77777777" w:rsidR="003D5F5D" w:rsidRPr="00E80A17" w:rsidRDefault="003D5F5D" w:rsidP="003D5F5D">
      <w:pPr>
        <w:ind w:right="70"/>
        <w:rPr>
          <w:u w:val="single"/>
        </w:rPr>
      </w:pPr>
      <w:r w:rsidRPr="00E80A17">
        <w:rPr>
          <w:u w:val="single"/>
        </w:rPr>
        <w:t>Pučko otvoreno učilište Buje  (</w:t>
      </w:r>
      <w:r>
        <w:rPr>
          <w:u w:val="single"/>
        </w:rPr>
        <w:t>manjak</w:t>
      </w:r>
      <w:r w:rsidRPr="00E80A17">
        <w:rPr>
          <w:u w:val="single"/>
        </w:rPr>
        <w:t>)</w:t>
      </w:r>
      <w:r>
        <w:rPr>
          <w:u w:val="single"/>
        </w:rPr>
        <w:t xml:space="preserve"> </w:t>
      </w:r>
      <w:r w:rsidRPr="00E80A17">
        <w:rPr>
          <w:u w:val="single"/>
        </w:rPr>
        <w:t xml:space="preserve">         </w:t>
      </w:r>
      <w:r>
        <w:rPr>
          <w:u w:val="single"/>
        </w:rPr>
        <w:t xml:space="preserve">        -73.932,32 </w:t>
      </w:r>
    </w:p>
    <w:p w14:paraId="2491304D" w14:textId="77777777" w:rsidR="003D5F5D" w:rsidRPr="003E23EC" w:rsidRDefault="003D5F5D" w:rsidP="003D5F5D">
      <w:pPr>
        <w:ind w:right="70"/>
      </w:pPr>
      <w:r w:rsidRPr="00E80A17">
        <w:t>sveukupno (</w:t>
      </w:r>
      <w:r>
        <w:t>višak</w:t>
      </w:r>
      <w:r w:rsidRPr="00E80A17">
        <w:t xml:space="preserve">)                                          </w:t>
      </w:r>
      <w:r>
        <w:t xml:space="preserve">    </w:t>
      </w:r>
      <w:r w:rsidRPr="00E80A17">
        <w:t xml:space="preserve"> </w:t>
      </w:r>
      <w:r>
        <w:t xml:space="preserve"> 1.168.087,85</w:t>
      </w:r>
      <w:r w:rsidRPr="00E80A17">
        <w:t xml:space="preserve">                                      </w:t>
      </w:r>
    </w:p>
    <w:p w14:paraId="70F6B730" w14:textId="77777777" w:rsidR="003D5F5D" w:rsidRDefault="003D5F5D" w:rsidP="003D5F5D"/>
    <w:p w14:paraId="43DE95A3" w14:textId="77777777" w:rsidR="003D5F5D" w:rsidRDefault="003D5F5D" w:rsidP="003D5F5D">
      <w:r w:rsidRPr="003E23EC">
        <w:t xml:space="preserve">Preneseni </w:t>
      </w:r>
      <w:r>
        <w:t>manjak</w:t>
      </w:r>
      <w:r w:rsidRPr="003E23EC">
        <w:t xml:space="preserve"> iz prethodnih godina iznosi </w:t>
      </w:r>
      <w:r>
        <w:t>607.156,79</w:t>
      </w:r>
      <w:r w:rsidRPr="003E23EC">
        <w:t xml:space="preserve"> kuna. </w:t>
      </w:r>
    </w:p>
    <w:p w14:paraId="4D1F68F4" w14:textId="77777777" w:rsidR="003D5F5D" w:rsidRPr="003E23EC" w:rsidRDefault="003D5F5D" w:rsidP="003D5F5D">
      <w:r>
        <w:t>Sveukupni višak</w:t>
      </w:r>
      <w:r w:rsidRPr="003E23EC">
        <w:t xml:space="preserve"> prihoda i primitaka </w:t>
      </w:r>
      <w:r>
        <w:t>raspoloživ u sljedećem razdoblju</w:t>
      </w:r>
      <w:r w:rsidRPr="003E23EC">
        <w:t xml:space="preserve"> iznosi </w:t>
      </w:r>
      <w:r>
        <w:t>560.931,06</w:t>
      </w:r>
      <w:r w:rsidRPr="003E23EC">
        <w:t xml:space="preserve"> kuna.</w:t>
      </w:r>
    </w:p>
    <w:p w14:paraId="490A3135" w14:textId="77777777" w:rsidR="003D5F5D" w:rsidRPr="003E23EC" w:rsidRDefault="003D5F5D" w:rsidP="003D5F5D">
      <w:pPr>
        <w:ind w:left="360"/>
      </w:pPr>
    </w:p>
    <w:p w14:paraId="270E8C8E" w14:textId="77777777" w:rsidR="003D5F5D" w:rsidRPr="003E23EC" w:rsidRDefault="003D5F5D" w:rsidP="003D5F5D">
      <w:pPr>
        <w:jc w:val="center"/>
      </w:pPr>
      <w:r w:rsidRPr="003E23EC">
        <w:t>Članak 3.</w:t>
      </w:r>
    </w:p>
    <w:p w14:paraId="7432F64E" w14:textId="77777777" w:rsidR="003D5F5D" w:rsidRPr="003E23EC" w:rsidRDefault="003D5F5D" w:rsidP="003D5F5D"/>
    <w:p w14:paraId="621FFC8E" w14:textId="77777777" w:rsidR="003D5F5D" w:rsidRPr="003E23EC" w:rsidRDefault="003D5F5D" w:rsidP="003D5F5D">
      <w:r>
        <w:t>G</w:t>
      </w:r>
      <w:r w:rsidRPr="003E23EC">
        <w:t>odišnji izvještaj o izvršenju Proračuna Grada Buja – Buie za 20</w:t>
      </w:r>
      <w:r>
        <w:t>21</w:t>
      </w:r>
      <w:r w:rsidRPr="003E23EC">
        <w:t>. godinu sadrži:</w:t>
      </w:r>
    </w:p>
    <w:p w14:paraId="0028B4EC" w14:textId="77777777" w:rsidR="003D5F5D" w:rsidRPr="003E23EC" w:rsidRDefault="003D5F5D" w:rsidP="003D5F5D">
      <w:pPr>
        <w:numPr>
          <w:ilvl w:val="0"/>
          <w:numId w:val="6"/>
        </w:numPr>
      </w:pPr>
      <w:r>
        <w:t>o</w:t>
      </w:r>
      <w:r w:rsidRPr="003E23EC">
        <w:t xml:space="preserve">pći dio proračuna </w:t>
      </w:r>
      <w:r>
        <w:t>koji čini Račun prihoda i rashoda i Račun financiranja na razini odjeljka ekonomske klasifikacije</w:t>
      </w:r>
    </w:p>
    <w:p w14:paraId="34B17357" w14:textId="77777777" w:rsidR="003D5F5D" w:rsidRPr="003E23EC" w:rsidRDefault="003D5F5D" w:rsidP="003D5F5D">
      <w:pPr>
        <w:numPr>
          <w:ilvl w:val="0"/>
          <w:numId w:val="6"/>
        </w:numPr>
      </w:pPr>
      <w:r>
        <w:t>p</w:t>
      </w:r>
      <w:r w:rsidRPr="003E23EC">
        <w:t xml:space="preserve">osebni dio proračuna </w:t>
      </w:r>
      <w:r>
        <w:t xml:space="preserve">po </w:t>
      </w:r>
      <w:r w:rsidRPr="003E23EC">
        <w:t>organizacijskoj i programskoj klasifikaciji</w:t>
      </w:r>
      <w:r>
        <w:t xml:space="preserve"> te razini odjeljka ekonomske klasifikacije</w:t>
      </w:r>
    </w:p>
    <w:p w14:paraId="16A28D87" w14:textId="77777777" w:rsidR="003D5F5D" w:rsidRPr="003E23EC" w:rsidRDefault="003D5F5D" w:rsidP="003D5F5D">
      <w:pPr>
        <w:numPr>
          <w:ilvl w:val="0"/>
          <w:numId w:val="6"/>
        </w:numPr>
      </w:pPr>
      <w:r>
        <w:t>i</w:t>
      </w:r>
      <w:r w:rsidRPr="003E23EC">
        <w:t>zvještaj o zaduživanju na domaćem i stranom tržištu novca i kapitala</w:t>
      </w:r>
    </w:p>
    <w:p w14:paraId="751C2964" w14:textId="77777777" w:rsidR="003D5F5D" w:rsidRPr="003E23EC" w:rsidRDefault="003D5F5D" w:rsidP="003D5F5D">
      <w:pPr>
        <w:numPr>
          <w:ilvl w:val="0"/>
          <w:numId w:val="6"/>
        </w:numPr>
      </w:pPr>
      <w:r>
        <w:t>i</w:t>
      </w:r>
      <w:r w:rsidRPr="003E23EC">
        <w:t>zvještaj o korištenju proračunske zalihe</w:t>
      </w:r>
    </w:p>
    <w:p w14:paraId="546CC7C1" w14:textId="77777777" w:rsidR="003D5F5D" w:rsidRPr="003E23EC" w:rsidRDefault="003D5F5D" w:rsidP="003D5F5D">
      <w:pPr>
        <w:numPr>
          <w:ilvl w:val="0"/>
          <w:numId w:val="6"/>
        </w:numPr>
      </w:pPr>
      <w:r>
        <w:t>i</w:t>
      </w:r>
      <w:r w:rsidRPr="003E23EC">
        <w:t>zvještaj o danim jamstvima i izdacima po jamstvima</w:t>
      </w:r>
    </w:p>
    <w:p w14:paraId="6C381CA4" w14:textId="77777777" w:rsidR="003D5F5D" w:rsidRPr="003E23EC" w:rsidRDefault="003D5F5D" w:rsidP="003D5F5D">
      <w:pPr>
        <w:numPr>
          <w:ilvl w:val="0"/>
          <w:numId w:val="6"/>
        </w:numPr>
      </w:pPr>
      <w:r>
        <w:t>o</w:t>
      </w:r>
      <w:r w:rsidRPr="003E23EC">
        <w:t>brazloženje ostvarenja prihoda i primitaka, rashoda i izdataka</w:t>
      </w:r>
    </w:p>
    <w:p w14:paraId="3FAF9E23" w14:textId="77777777" w:rsidR="003D5F5D" w:rsidRPr="003E23EC" w:rsidRDefault="003D5F5D" w:rsidP="003D5F5D">
      <w:pPr>
        <w:numPr>
          <w:ilvl w:val="0"/>
          <w:numId w:val="6"/>
        </w:numPr>
      </w:pPr>
      <w:r>
        <w:t>i</w:t>
      </w:r>
      <w:r w:rsidRPr="003E23EC">
        <w:t>zvještaj o provedbi razvojnih programa</w:t>
      </w:r>
    </w:p>
    <w:p w14:paraId="4F52878B" w14:textId="77777777" w:rsidR="003D5F5D" w:rsidRPr="003E23EC" w:rsidRDefault="003D5F5D" w:rsidP="003D5F5D"/>
    <w:p w14:paraId="2C26CFBD" w14:textId="77777777" w:rsidR="003D5F5D" w:rsidRPr="003E23EC" w:rsidRDefault="003D5F5D" w:rsidP="003D5F5D">
      <w:pPr>
        <w:jc w:val="center"/>
      </w:pPr>
      <w:r w:rsidRPr="003E23EC">
        <w:t>Članak 4.</w:t>
      </w:r>
    </w:p>
    <w:p w14:paraId="67FC633E" w14:textId="77777777" w:rsidR="003D5F5D" w:rsidRPr="003E23EC" w:rsidRDefault="003D5F5D" w:rsidP="003D5F5D"/>
    <w:p w14:paraId="58783CB4" w14:textId="77777777" w:rsidR="003D5F5D" w:rsidRPr="003E23EC" w:rsidRDefault="003D5F5D" w:rsidP="003D5F5D">
      <w:r w:rsidRPr="003E23EC">
        <w:t>Prema odredbama članka 19. Pravilnika o polugodišnjem i godišnjem izvještaju o izvršenju proračuna („Narodne novine“ broj 24/13</w:t>
      </w:r>
      <w:r>
        <w:t xml:space="preserve">, </w:t>
      </w:r>
      <w:r w:rsidRPr="003E23EC">
        <w:t>102/17</w:t>
      </w:r>
      <w:r>
        <w:t>, 1/20 i 147/20</w:t>
      </w:r>
      <w:r w:rsidRPr="003E23EC">
        <w:t xml:space="preserve">) </w:t>
      </w:r>
      <w:r>
        <w:t>G</w:t>
      </w:r>
      <w:r w:rsidRPr="003E23EC">
        <w:t>odišnji izvještaj o izvršenju proračuna Grada Buja – Buie za 20</w:t>
      </w:r>
      <w:r>
        <w:t>21</w:t>
      </w:r>
      <w:r w:rsidRPr="003E23EC">
        <w:t xml:space="preserve">. godinu objavit će se na internetskim stranicama Grada Buja - Buie, a opći i posebni dio </w:t>
      </w:r>
      <w:r>
        <w:t>Go</w:t>
      </w:r>
      <w:r w:rsidRPr="003E23EC">
        <w:t>dišnjeg izvještaja o izvršenju proračuna objavit će se u „Službenim novinama Grada Buja“.</w:t>
      </w:r>
    </w:p>
    <w:p w14:paraId="17BDB6E9" w14:textId="77777777" w:rsidR="003D5F5D" w:rsidRPr="003E23EC" w:rsidRDefault="003D5F5D" w:rsidP="003D5F5D"/>
    <w:p w14:paraId="641EC33D" w14:textId="77777777" w:rsidR="003D5F5D" w:rsidRPr="003E23EC" w:rsidRDefault="003D5F5D" w:rsidP="003D5F5D">
      <w:r w:rsidRPr="003E23EC">
        <w:t>Klasa-</w:t>
      </w:r>
      <w:proofErr w:type="spellStart"/>
      <w:r w:rsidRPr="003E23EC">
        <w:t>Classe</w:t>
      </w:r>
      <w:proofErr w:type="spellEnd"/>
      <w:r w:rsidRPr="003E23EC">
        <w:t>: 400-0</w:t>
      </w:r>
      <w:r>
        <w:t>1</w:t>
      </w:r>
      <w:r w:rsidRPr="003E23EC">
        <w:t>/</w:t>
      </w:r>
      <w:r>
        <w:t>22</w:t>
      </w:r>
      <w:r w:rsidRPr="003E23EC">
        <w:t>-01</w:t>
      </w:r>
      <w:r>
        <w:t>/01</w:t>
      </w:r>
    </w:p>
    <w:p w14:paraId="0B34D6A7" w14:textId="66AC5705" w:rsidR="003D5F5D" w:rsidRPr="003E23EC" w:rsidRDefault="003D5F5D" w:rsidP="003D5F5D">
      <w:proofErr w:type="spellStart"/>
      <w:r w:rsidRPr="003E23EC">
        <w:t>Ur.broj-N.prot</w:t>
      </w:r>
      <w:proofErr w:type="spellEnd"/>
      <w:r w:rsidRPr="003E23EC">
        <w:t xml:space="preserve">.: </w:t>
      </w:r>
      <w:r>
        <w:t>2163-2-02/1-22-</w:t>
      </w:r>
      <w:r w:rsidR="00376EA9">
        <w:t>5</w:t>
      </w:r>
    </w:p>
    <w:p w14:paraId="051B6FD5" w14:textId="6BFA074E" w:rsidR="003D5F5D" w:rsidRPr="003E23EC" w:rsidRDefault="003D5F5D" w:rsidP="003D5F5D">
      <w:r w:rsidRPr="003E23EC">
        <w:t xml:space="preserve">Buje-Buie, </w:t>
      </w:r>
      <w:r w:rsidR="00376EA9">
        <w:t>27</w:t>
      </w:r>
      <w:r>
        <w:t>.04.2022.</w:t>
      </w:r>
    </w:p>
    <w:p w14:paraId="089DE379" w14:textId="77777777" w:rsidR="003D5F5D" w:rsidRPr="003E23EC" w:rsidRDefault="003D5F5D" w:rsidP="003D5F5D"/>
    <w:p w14:paraId="2C2C4910" w14:textId="77777777" w:rsidR="003D5F5D" w:rsidRPr="003E23EC" w:rsidRDefault="003D5F5D" w:rsidP="003D5F5D"/>
    <w:p w14:paraId="39FBB5D1" w14:textId="77777777" w:rsidR="003D5F5D" w:rsidRPr="003E23EC" w:rsidRDefault="003D5F5D" w:rsidP="003D5F5D">
      <w:pPr>
        <w:jc w:val="center"/>
      </w:pPr>
      <w:r w:rsidRPr="003E23EC">
        <w:rPr>
          <w:b/>
        </w:rPr>
        <w:t>GRADSKO VIJEĆE GRADA BUJA - BUIE</w:t>
      </w:r>
    </w:p>
    <w:p w14:paraId="087AE5F3" w14:textId="77777777" w:rsidR="003D5F5D" w:rsidRPr="003E23EC" w:rsidRDefault="003D5F5D" w:rsidP="003D5F5D">
      <w:pPr>
        <w:jc w:val="center"/>
      </w:pPr>
      <w:r w:rsidRPr="003E23EC">
        <w:t>PREDSJEDNIK GRADSKOG VIJEĆA</w:t>
      </w:r>
    </w:p>
    <w:p w14:paraId="6DD458A4" w14:textId="50D6FF5C" w:rsidR="003D5F5D" w:rsidRDefault="003D5F5D" w:rsidP="003D5F5D">
      <w:pPr>
        <w:jc w:val="center"/>
        <w:rPr>
          <w:b/>
        </w:rPr>
      </w:pPr>
      <w:r>
        <w:rPr>
          <w:b/>
        </w:rPr>
        <w:t>Franko Gergorić</w:t>
      </w:r>
      <w:r w:rsidR="00C745C0">
        <w:rPr>
          <w:b/>
        </w:rPr>
        <w:t>, v.r.</w:t>
      </w:r>
    </w:p>
    <w:p w14:paraId="065982B8" w14:textId="77777777" w:rsidR="003D5F5D" w:rsidRDefault="003D5F5D" w:rsidP="003D5F5D"/>
    <w:p w14:paraId="280B83C8" w14:textId="77777777" w:rsidR="003D5F5D" w:rsidRDefault="003D5F5D" w:rsidP="0064163C">
      <w:pPr>
        <w:rPr>
          <w:b/>
        </w:rPr>
      </w:pPr>
    </w:p>
    <w:p w14:paraId="64C0D963" w14:textId="77777777" w:rsidR="003D5F5D" w:rsidRDefault="003D5F5D" w:rsidP="0064163C">
      <w:pPr>
        <w:rPr>
          <w:b/>
        </w:rPr>
      </w:pPr>
    </w:p>
    <w:p w14:paraId="771AD33B" w14:textId="77777777" w:rsidR="003D5F5D" w:rsidRDefault="003D5F5D" w:rsidP="0064163C">
      <w:pPr>
        <w:rPr>
          <w:b/>
        </w:rPr>
      </w:pPr>
    </w:p>
    <w:p w14:paraId="6F2E2106" w14:textId="77777777" w:rsidR="003D5F5D" w:rsidRDefault="003D5F5D" w:rsidP="0064163C">
      <w:pPr>
        <w:rPr>
          <w:b/>
        </w:rPr>
      </w:pPr>
    </w:p>
    <w:p w14:paraId="780096FF" w14:textId="77777777" w:rsidR="003D5F5D" w:rsidRDefault="003D5F5D" w:rsidP="0064163C">
      <w:pPr>
        <w:rPr>
          <w:b/>
        </w:rPr>
      </w:pPr>
    </w:p>
    <w:p w14:paraId="28F982AD" w14:textId="77777777" w:rsidR="003D5F5D" w:rsidRDefault="003D5F5D" w:rsidP="0064163C">
      <w:pPr>
        <w:rPr>
          <w:b/>
        </w:rPr>
      </w:pPr>
    </w:p>
    <w:p w14:paraId="188AD139" w14:textId="77777777" w:rsidR="003D5F5D" w:rsidRDefault="003D5F5D" w:rsidP="0064163C">
      <w:pPr>
        <w:rPr>
          <w:b/>
        </w:rPr>
      </w:pPr>
    </w:p>
    <w:p w14:paraId="4D1EAFA5" w14:textId="77777777" w:rsidR="003D5F5D" w:rsidRDefault="003D5F5D" w:rsidP="0064163C">
      <w:pPr>
        <w:rPr>
          <w:b/>
        </w:rPr>
      </w:pPr>
    </w:p>
    <w:p w14:paraId="35FB35E4" w14:textId="77777777" w:rsidR="00840954" w:rsidRPr="00E80A17" w:rsidRDefault="00840954" w:rsidP="00376EA9">
      <w:pPr>
        <w:rPr>
          <w:b/>
        </w:rPr>
      </w:pPr>
    </w:p>
    <w:p w14:paraId="014F47D8" w14:textId="77777777" w:rsidR="00840954" w:rsidRPr="00E80A17" w:rsidRDefault="00840954" w:rsidP="00840954">
      <w:pPr>
        <w:rPr>
          <w:b/>
        </w:rPr>
      </w:pPr>
    </w:p>
    <w:p w14:paraId="5983DF0B" w14:textId="77777777" w:rsidR="00E91CE8" w:rsidRPr="00E80A17" w:rsidRDefault="00E91CE8" w:rsidP="003756E1">
      <w:pPr>
        <w:rPr>
          <w:b/>
        </w:rPr>
      </w:pPr>
    </w:p>
    <w:p w14:paraId="33107DF8" w14:textId="77777777" w:rsidR="00840954" w:rsidRPr="00E80A17" w:rsidRDefault="00840954" w:rsidP="003756E1">
      <w:pPr>
        <w:rPr>
          <w:b/>
        </w:rPr>
      </w:pPr>
    </w:p>
    <w:p w14:paraId="55346738" w14:textId="77777777" w:rsidR="000A4E1E" w:rsidRPr="000A4E1E" w:rsidRDefault="000A4E1E">
      <w:pPr>
        <w:pStyle w:val="TOCNaslov"/>
        <w:rPr>
          <w:color w:val="auto"/>
        </w:rPr>
      </w:pPr>
      <w:r w:rsidRPr="000A4E1E">
        <w:rPr>
          <w:color w:val="auto"/>
          <w:lang w:val="hr-HR"/>
        </w:rPr>
        <w:lastRenderedPageBreak/>
        <w:t>Sadržaj</w:t>
      </w:r>
    </w:p>
    <w:p w14:paraId="693F95F0" w14:textId="3A56E329" w:rsidR="00FB6E48" w:rsidRDefault="000A4E1E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757146" w:history="1">
        <w:r w:rsidR="00FB6E48" w:rsidRPr="00CC579B">
          <w:rPr>
            <w:rStyle w:val="Hiperveza"/>
            <w:noProof/>
          </w:rPr>
          <w:t>1.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UVOD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_Toc100757146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</w:t>
        </w:r>
        <w:r w:rsidR="00FB6E48">
          <w:rPr>
            <w:noProof/>
            <w:webHidden/>
          </w:rPr>
          <w:fldChar w:fldCharType="end"/>
        </w:r>
      </w:hyperlink>
    </w:p>
    <w:p w14:paraId="47680B81" w14:textId="3B8A15AF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47" w:history="1">
        <w:r w:rsidR="00FB6E48" w:rsidRPr="00CC579B">
          <w:rPr>
            <w:rStyle w:val="Hiperveza"/>
            <w:noProof/>
          </w:rPr>
          <w:t>2.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OPĆI DIO PRORAČUNA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_Toc100757147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3</w:t>
        </w:r>
        <w:r w:rsidR="00FB6E48">
          <w:rPr>
            <w:noProof/>
            <w:webHidden/>
          </w:rPr>
          <w:fldChar w:fldCharType="end"/>
        </w:r>
      </w:hyperlink>
    </w:p>
    <w:p w14:paraId="7D8E1C3E" w14:textId="1E3A98A5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48" w:history="1">
        <w:r w:rsidR="00FB6E48" w:rsidRPr="00CC579B">
          <w:rPr>
            <w:rStyle w:val="Hiperveza"/>
            <w:noProof/>
          </w:rPr>
          <w:t>SAŽETAK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_Toc100757148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3</w:t>
        </w:r>
        <w:r w:rsidR="00FB6E48">
          <w:rPr>
            <w:noProof/>
            <w:webHidden/>
          </w:rPr>
          <w:fldChar w:fldCharType="end"/>
        </w:r>
      </w:hyperlink>
    </w:p>
    <w:p w14:paraId="4FDE6232" w14:textId="6BD4EEC6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49" w:history="1">
        <w:r w:rsidR="00FB6E48" w:rsidRPr="00CC579B">
          <w:rPr>
            <w:rStyle w:val="Hiperveza"/>
            <w:noProof/>
          </w:rPr>
          <w:t>2. A. RAČUN PRIHODA I RASHODA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_Toc100757149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4</w:t>
        </w:r>
        <w:r w:rsidR="00FB6E48">
          <w:rPr>
            <w:noProof/>
            <w:webHidden/>
          </w:rPr>
          <w:fldChar w:fldCharType="end"/>
        </w:r>
      </w:hyperlink>
    </w:p>
    <w:p w14:paraId="2169F2C1" w14:textId="3D1F399F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0" w:history="1">
        <w:r w:rsidR="00FB6E48" w:rsidRPr="00CC579B">
          <w:rPr>
            <w:rStyle w:val="Hiperveza"/>
            <w:noProof/>
          </w:rPr>
          <w:t>2. A. 1. RAČUN PRIHODA I RASHODA - PREMA EKONOMSKOJ KLASIFIKACIJI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_Toc100757150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4</w:t>
        </w:r>
        <w:r w:rsidR="00FB6E48">
          <w:rPr>
            <w:noProof/>
            <w:webHidden/>
          </w:rPr>
          <w:fldChar w:fldCharType="end"/>
        </w:r>
      </w:hyperlink>
    </w:p>
    <w:p w14:paraId="7892A0BD" w14:textId="7A532466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1" w:history="1">
        <w:r w:rsidR="00FB6E48" w:rsidRPr="00CC579B">
          <w:rPr>
            <w:rStyle w:val="Hiperveza"/>
            <w:noProof/>
          </w:rPr>
          <w:t>2. A. 2. RAČUN PRIHODA I RASHODA - PREMA IZVORIMA FINANCIRANJA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_Toc100757151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10</w:t>
        </w:r>
        <w:r w:rsidR="00FB6E48">
          <w:rPr>
            <w:noProof/>
            <w:webHidden/>
          </w:rPr>
          <w:fldChar w:fldCharType="end"/>
        </w:r>
      </w:hyperlink>
    </w:p>
    <w:p w14:paraId="2C2D6F91" w14:textId="6FDAC10C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2" w:history="1">
        <w:r w:rsidR="00FB6E48" w:rsidRPr="00CC579B">
          <w:rPr>
            <w:rStyle w:val="Hiperveza"/>
            <w:noProof/>
          </w:rPr>
          <w:t>2. A. 3. RASHODI PREMA FUNKCIJSKOJ KLASIFIKACIJI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_Toc100757152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12</w:t>
        </w:r>
        <w:r w:rsidR="00FB6E48">
          <w:rPr>
            <w:noProof/>
            <w:webHidden/>
          </w:rPr>
          <w:fldChar w:fldCharType="end"/>
        </w:r>
      </w:hyperlink>
    </w:p>
    <w:p w14:paraId="661DDFB8" w14:textId="74A16421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3" w:history="1">
        <w:r w:rsidR="00FB6E48" w:rsidRPr="00CC579B">
          <w:rPr>
            <w:rStyle w:val="Hiperveza"/>
            <w:noProof/>
          </w:rPr>
          <w:t>2. B. RAČUN FINANCIRANJA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_Toc100757153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14</w:t>
        </w:r>
        <w:r w:rsidR="00FB6E48">
          <w:rPr>
            <w:noProof/>
            <w:webHidden/>
          </w:rPr>
          <w:fldChar w:fldCharType="end"/>
        </w:r>
      </w:hyperlink>
    </w:p>
    <w:p w14:paraId="231C9214" w14:textId="6C02E64F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4" w:history="1">
        <w:r w:rsidR="00FB6E48" w:rsidRPr="00CC579B">
          <w:rPr>
            <w:rStyle w:val="Hiperveza"/>
            <w:noProof/>
          </w:rPr>
          <w:t>2. B. 1. RAČUN FINANCIRANJA - PREMA EKONOMSKOJ KLASIFIKACIJI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_Toc100757154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14</w:t>
        </w:r>
        <w:r w:rsidR="00FB6E48">
          <w:rPr>
            <w:noProof/>
            <w:webHidden/>
          </w:rPr>
          <w:fldChar w:fldCharType="end"/>
        </w:r>
      </w:hyperlink>
    </w:p>
    <w:p w14:paraId="1A1CC2E3" w14:textId="2A117D16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5" w:history="1">
        <w:r w:rsidR="00FB6E48" w:rsidRPr="00CC579B">
          <w:rPr>
            <w:rStyle w:val="Hiperveza"/>
            <w:noProof/>
          </w:rPr>
          <w:t>RAČUN FINANCIRANJA - PREMA EKONOMSKOJ KLASIFIKACIJI - ANALITIČKI PRIKAZ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_Toc100757155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16</w:t>
        </w:r>
        <w:r w:rsidR="00FB6E48">
          <w:rPr>
            <w:noProof/>
            <w:webHidden/>
          </w:rPr>
          <w:fldChar w:fldCharType="end"/>
        </w:r>
      </w:hyperlink>
    </w:p>
    <w:p w14:paraId="5C6D4C17" w14:textId="08C5FBFA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6" w:history="1">
        <w:r w:rsidR="00FB6E48" w:rsidRPr="00CC579B">
          <w:rPr>
            <w:rStyle w:val="Hiperveza"/>
            <w:noProof/>
          </w:rPr>
          <w:t>2. B. 2. RAČUN FINANCIRANJA - PREMA IZVORIMA FINANCIRANJA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_Toc100757156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19</w:t>
        </w:r>
        <w:r w:rsidR="00FB6E48">
          <w:rPr>
            <w:noProof/>
            <w:webHidden/>
          </w:rPr>
          <w:fldChar w:fldCharType="end"/>
        </w:r>
      </w:hyperlink>
    </w:p>
    <w:p w14:paraId="680CEF16" w14:textId="439EAFA4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7" w:history="1">
        <w:r w:rsidR="00FB6E48" w:rsidRPr="00CC579B">
          <w:rPr>
            <w:rStyle w:val="Hiperveza"/>
            <w:noProof/>
          </w:rPr>
          <w:t>3.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POSEBNI DIO PRORAČUNA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_Toc100757157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20</w:t>
        </w:r>
        <w:r w:rsidR="00FB6E48">
          <w:rPr>
            <w:noProof/>
            <w:webHidden/>
          </w:rPr>
          <w:fldChar w:fldCharType="end"/>
        </w:r>
      </w:hyperlink>
    </w:p>
    <w:p w14:paraId="533D0BF0" w14:textId="54DEE3DA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8" w:history="1">
        <w:r w:rsidR="00FB6E48" w:rsidRPr="00CC579B">
          <w:rPr>
            <w:rStyle w:val="Hiperveza"/>
            <w:noProof/>
          </w:rPr>
          <w:t>3. A.  ORGANIZACIJSKA KLASIFIKACIJA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_Toc100757158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20</w:t>
        </w:r>
        <w:r w:rsidR="00FB6E48">
          <w:rPr>
            <w:noProof/>
            <w:webHidden/>
          </w:rPr>
          <w:fldChar w:fldCharType="end"/>
        </w:r>
      </w:hyperlink>
    </w:p>
    <w:p w14:paraId="67FFD412" w14:textId="4E144717" w:rsidR="00FB6E48" w:rsidRDefault="00C03D0D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59" w:history="1">
        <w:r w:rsidR="00FB6E48" w:rsidRPr="00CC579B">
          <w:rPr>
            <w:rStyle w:val="Hiperveza"/>
            <w:noProof/>
          </w:rPr>
          <w:t>3. B. PROGRAMSKA KLASIFIKACIJA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_Toc100757159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21</w:t>
        </w:r>
        <w:r w:rsidR="00FB6E48">
          <w:rPr>
            <w:noProof/>
            <w:webHidden/>
          </w:rPr>
          <w:fldChar w:fldCharType="end"/>
        </w:r>
      </w:hyperlink>
    </w:p>
    <w:p w14:paraId="5C77A73B" w14:textId="1C031ACD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60" w:history="1">
        <w:r w:rsidR="00FB6E48" w:rsidRPr="00CC579B">
          <w:rPr>
            <w:rStyle w:val="Hiperveza"/>
            <w:noProof/>
          </w:rPr>
          <w:t>4.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IZVJEŠTAJ O ZADUŽIVANJU NA DOMAĆEM I STRANOM TRŽIŠTU NOVCA I KAPITALA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_Toc100757160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63</w:t>
        </w:r>
        <w:r w:rsidR="00FB6E48">
          <w:rPr>
            <w:noProof/>
            <w:webHidden/>
          </w:rPr>
          <w:fldChar w:fldCharType="end"/>
        </w:r>
      </w:hyperlink>
    </w:p>
    <w:p w14:paraId="75576376" w14:textId="1E575877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61" w:history="1">
        <w:r w:rsidR="00FB6E48" w:rsidRPr="00CC579B">
          <w:rPr>
            <w:rStyle w:val="Hiperveza"/>
            <w:noProof/>
          </w:rPr>
          <w:t>5.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IZVJEŠTAJ O KORIŠTENJU PRORAČUNSKE ZALIHE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_Toc100757161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68</w:t>
        </w:r>
        <w:r w:rsidR="00FB6E48">
          <w:rPr>
            <w:noProof/>
            <w:webHidden/>
          </w:rPr>
          <w:fldChar w:fldCharType="end"/>
        </w:r>
      </w:hyperlink>
    </w:p>
    <w:p w14:paraId="348FAEB0" w14:textId="742F2F18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62" w:history="1">
        <w:r w:rsidR="00FB6E48" w:rsidRPr="00CC579B">
          <w:rPr>
            <w:rStyle w:val="Hiperveza"/>
            <w:noProof/>
          </w:rPr>
          <w:t>6.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IZVJEŠTAJ O DANIM JAMSTVIMA I IZDACIMA PO JAMSTVIMA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_Toc100757162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69</w:t>
        </w:r>
        <w:r w:rsidR="00FB6E48">
          <w:rPr>
            <w:noProof/>
            <w:webHidden/>
          </w:rPr>
          <w:fldChar w:fldCharType="end"/>
        </w:r>
      </w:hyperlink>
    </w:p>
    <w:p w14:paraId="072D637E" w14:textId="06D6CADD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63" w:history="1">
        <w:r w:rsidR="00FB6E48" w:rsidRPr="00CC579B">
          <w:rPr>
            <w:rStyle w:val="Hiperveza"/>
            <w:noProof/>
          </w:rPr>
          <w:t>7.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OBRAZLOŽENJE PRIHODA I PRIMITAKA, RASHODA I IZDATAKA PRORAČUNA GRADA BUJA – BUIE U 2021. GODINI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_Toc100757163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69</w:t>
        </w:r>
        <w:r w:rsidR="00FB6E48">
          <w:rPr>
            <w:noProof/>
            <w:webHidden/>
          </w:rPr>
          <w:fldChar w:fldCharType="end"/>
        </w:r>
      </w:hyperlink>
    </w:p>
    <w:p w14:paraId="734E8C2C" w14:textId="708A26C6" w:rsidR="00FB6E48" w:rsidRDefault="00C03D0D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57164" w:history="1">
        <w:r w:rsidR="00FB6E48" w:rsidRPr="00CC579B">
          <w:rPr>
            <w:rStyle w:val="Hiperveza"/>
            <w:noProof/>
          </w:rPr>
          <w:t>8.</w:t>
        </w:r>
        <w:r w:rsidR="00FB6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B6E48" w:rsidRPr="00CC579B">
          <w:rPr>
            <w:rStyle w:val="Hiperveza"/>
            <w:noProof/>
          </w:rPr>
          <w:t>IZVJEŠTAJ O PROVEDBI PLANA RAZVOJNIH PROGRAMA</w:t>
        </w:r>
        <w:r w:rsidR="00FB6E48">
          <w:rPr>
            <w:noProof/>
            <w:webHidden/>
          </w:rPr>
          <w:tab/>
        </w:r>
        <w:r w:rsidR="00FB6E48">
          <w:rPr>
            <w:noProof/>
            <w:webHidden/>
          </w:rPr>
          <w:fldChar w:fldCharType="begin"/>
        </w:r>
        <w:r w:rsidR="00FB6E48">
          <w:rPr>
            <w:noProof/>
            <w:webHidden/>
          </w:rPr>
          <w:instrText xml:space="preserve"> PAGEREF _Toc100757164 \h </w:instrText>
        </w:r>
        <w:r w:rsidR="00FB6E48">
          <w:rPr>
            <w:noProof/>
            <w:webHidden/>
          </w:rPr>
        </w:r>
        <w:r w:rsidR="00FB6E48">
          <w:rPr>
            <w:noProof/>
            <w:webHidden/>
          </w:rPr>
          <w:fldChar w:fldCharType="separate"/>
        </w:r>
        <w:r w:rsidR="007A510F">
          <w:rPr>
            <w:noProof/>
            <w:webHidden/>
          </w:rPr>
          <w:t>95</w:t>
        </w:r>
        <w:r w:rsidR="00FB6E48">
          <w:rPr>
            <w:noProof/>
            <w:webHidden/>
          </w:rPr>
          <w:fldChar w:fldCharType="end"/>
        </w:r>
      </w:hyperlink>
    </w:p>
    <w:p w14:paraId="6D51C2F5" w14:textId="2764650E" w:rsidR="000A4E1E" w:rsidRDefault="000A4E1E">
      <w:r>
        <w:rPr>
          <w:b/>
          <w:bCs/>
        </w:rPr>
        <w:fldChar w:fldCharType="end"/>
      </w:r>
    </w:p>
    <w:p w14:paraId="74B12FA1" w14:textId="77777777" w:rsidR="00C11457" w:rsidRDefault="00C11457"/>
    <w:p w14:paraId="4C7D32CB" w14:textId="0F2A6C29" w:rsidR="00FF31EA" w:rsidRDefault="00FF31EA" w:rsidP="003756E1">
      <w:pPr>
        <w:rPr>
          <w:b/>
        </w:rPr>
      </w:pPr>
    </w:p>
    <w:p w14:paraId="1A2B8EC4" w14:textId="1410C72D" w:rsidR="00664F5F" w:rsidRDefault="00664F5F" w:rsidP="003756E1">
      <w:pPr>
        <w:rPr>
          <w:b/>
        </w:rPr>
      </w:pPr>
    </w:p>
    <w:p w14:paraId="62B5D83F" w14:textId="7535CCFD" w:rsidR="00664F5F" w:rsidRDefault="00664F5F" w:rsidP="003756E1">
      <w:pPr>
        <w:rPr>
          <w:b/>
        </w:rPr>
      </w:pPr>
    </w:p>
    <w:p w14:paraId="2C05F987" w14:textId="77777777" w:rsidR="00664F5F" w:rsidRPr="00E80A17" w:rsidRDefault="00664F5F" w:rsidP="003756E1">
      <w:pPr>
        <w:rPr>
          <w:b/>
        </w:rPr>
      </w:pPr>
    </w:p>
    <w:p w14:paraId="7A126099" w14:textId="77777777" w:rsidR="00FF31EA" w:rsidRPr="00E80A17" w:rsidRDefault="00FF31EA" w:rsidP="003756E1">
      <w:pPr>
        <w:rPr>
          <w:b/>
        </w:rPr>
      </w:pPr>
    </w:p>
    <w:p w14:paraId="2E10B908" w14:textId="77777777" w:rsidR="00351FC3" w:rsidRPr="00E80A17" w:rsidRDefault="00351FC3" w:rsidP="003756E1">
      <w:pPr>
        <w:rPr>
          <w:b/>
        </w:rPr>
      </w:pPr>
    </w:p>
    <w:p w14:paraId="679716D8" w14:textId="77777777" w:rsidR="00F32016" w:rsidRDefault="00F32016">
      <w:pPr>
        <w:rPr>
          <w:b/>
          <w:bCs/>
          <w:kern w:val="28"/>
        </w:rPr>
      </w:pPr>
      <w:bookmarkStart w:id="0" w:name="_Toc457913203"/>
      <w:bookmarkStart w:id="1" w:name="_Toc78878304"/>
      <w:bookmarkStart w:id="2" w:name="_Toc79578491"/>
      <w:r>
        <w:br w:type="page"/>
      </w:r>
    </w:p>
    <w:p w14:paraId="717C2CBD" w14:textId="77777777" w:rsidR="00F32016" w:rsidRDefault="00F32016" w:rsidP="00D459D7">
      <w:pPr>
        <w:pStyle w:val="Title1"/>
        <w:rPr>
          <w:rFonts w:ascii="Times New Roman" w:hAnsi="Times New Roman" w:cs="Times New Roman"/>
          <w:sz w:val="24"/>
          <w:szCs w:val="24"/>
        </w:rPr>
        <w:sectPr w:rsidR="00F32016" w:rsidSect="00FF31EA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5FE1044" w14:textId="1B112260" w:rsidR="00777415" w:rsidRDefault="007C2D97" w:rsidP="007C2D9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3" w:name="_Toc100757146"/>
      <w:bookmarkEnd w:id="0"/>
      <w:bookmarkEnd w:id="1"/>
      <w:bookmarkEnd w:id="2"/>
      <w:r w:rsidRPr="007C2D97">
        <w:rPr>
          <w:rFonts w:ascii="Times New Roman" w:hAnsi="Times New Roman"/>
          <w:sz w:val="24"/>
          <w:szCs w:val="24"/>
        </w:rPr>
        <w:lastRenderedPageBreak/>
        <w:t>UVOD</w:t>
      </w:r>
      <w:bookmarkEnd w:id="3"/>
    </w:p>
    <w:p w14:paraId="7B607A2A" w14:textId="77777777" w:rsidR="007C2D97" w:rsidRPr="007C2D97" w:rsidRDefault="007C2D97" w:rsidP="007C2D97"/>
    <w:p w14:paraId="5EC2F5D1" w14:textId="61D46556" w:rsidR="00794C29" w:rsidRPr="00E80A17" w:rsidRDefault="00794C29" w:rsidP="00794C29">
      <w:pPr>
        <w:rPr>
          <w:bCs/>
        </w:rPr>
      </w:pPr>
      <w:r w:rsidRPr="00E80A17">
        <w:rPr>
          <w:bCs/>
        </w:rPr>
        <w:t xml:space="preserve">Zakonom o proračunu („Narodne novine“ broj </w:t>
      </w:r>
      <w:r w:rsidR="000E4BA8">
        <w:rPr>
          <w:bCs/>
        </w:rPr>
        <w:t>144/21</w:t>
      </w:r>
      <w:r w:rsidRPr="00E80A17">
        <w:rPr>
          <w:bCs/>
        </w:rPr>
        <w:t xml:space="preserve">) </w:t>
      </w:r>
      <w:r w:rsidR="007C1AEF">
        <w:rPr>
          <w:bCs/>
        </w:rPr>
        <w:t>i Pravilnikom o polugodišnjem i godišnjem izvještaju o izvršenju prorač</w:t>
      </w:r>
      <w:r w:rsidR="00776F34">
        <w:rPr>
          <w:bCs/>
        </w:rPr>
        <w:t>u</w:t>
      </w:r>
      <w:r w:rsidR="007C1AEF">
        <w:rPr>
          <w:bCs/>
        </w:rPr>
        <w:t xml:space="preserve">na („Narodne novine“ broj 24/13, 102/17, 1/20 i 147/20) </w:t>
      </w:r>
      <w:r w:rsidRPr="00E80A17">
        <w:rPr>
          <w:bCs/>
        </w:rPr>
        <w:t xml:space="preserve">propisana je obveza podnošenja godišnjeg izvještaja o izvršenju proračuna predstavničkom tijelu na donošenje, do </w:t>
      </w:r>
      <w:r w:rsidR="000E4BA8">
        <w:rPr>
          <w:bCs/>
        </w:rPr>
        <w:t>31</w:t>
      </w:r>
      <w:r w:rsidRPr="00E80A17">
        <w:rPr>
          <w:bCs/>
        </w:rPr>
        <w:t xml:space="preserve">. </w:t>
      </w:r>
      <w:r w:rsidR="000E4BA8">
        <w:rPr>
          <w:bCs/>
        </w:rPr>
        <w:t xml:space="preserve">svibnja </w:t>
      </w:r>
      <w:r w:rsidRPr="00E80A17">
        <w:rPr>
          <w:bCs/>
        </w:rPr>
        <w:t xml:space="preserve">tekuće </w:t>
      </w:r>
      <w:r w:rsidR="000E4BA8">
        <w:rPr>
          <w:bCs/>
        </w:rPr>
        <w:t>godine za prethodnu godinu</w:t>
      </w:r>
      <w:r w:rsidR="00A77CB2" w:rsidRPr="00E80A17">
        <w:rPr>
          <w:bCs/>
        </w:rPr>
        <w:t>.</w:t>
      </w:r>
    </w:p>
    <w:p w14:paraId="785D2917" w14:textId="77777777" w:rsidR="00794C29" w:rsidRPr="00E80A17" w:rsidRDefault="00794C29" w:rsidP="00794C29">
      <w:pPr>
        <w:rPr>
          <w:bCs/>
        </w:rPr>
      </w:pPr>
    </w:p>
    <w:p w14:paraId="28FE5337" w14:textId="3445D569" w:rsidR="00794C29" w:rsidRPr="00E80A17" w:rsidRDefault="00794C29" w:rsidP="00794C29">
      <w:pPr>
        <w:rPr>
          <w:bCs/>
        </w:rPr>
      </w:pPr>
      <w:r w:rsidRPr="00E80A17">
        <w:rPr>
          <w:bCs/>
        </w:rPr>
        <w:t>Sadržaj godišnjeg izvještaja o izvršenju proračuna propisan je Pravilnikom o polugodišnjem i godišnjem izvještaju o izvršenju proračuna („Narodne novine“ broj 24/13</w:t>
      </w:r>
      <w:r w:rsidR="003A1496">
        <w:rPr>
          <w:bCs/>
        </w:rPr>
        <w:t>,</w:t>
      </w:r>
      <w:r w:rsidR="00BF6137" w:rsidRPr="00E80A17">
        <w:rPr>
          <w:bCs/>
        </w:rPr>
        <w:t xml:space="preserve"> 102/17</w:t>
      </w:r>
      <w:r w:rsidR="00B44189">
        <w:rPr>
          <w:bCs/>
        </w:rPr>
        <w:t>,</w:t>
      </w:r>
      <w:r w:rsidR="003A1496">
        <w:rPr>
          <w:bCs/>
        </w:rPr>
        <w:t xml:space="preserve"> 01/20</w:t>
      </w:r>
      <w:r w:rsidR="00B44189">
        <w:rPr>
          <w:bCs/>
        </w:rPr>
        <w:t xml:space="preserve"> i 147/20</w:t>
      </w:r>
      <w:r w:rsidRPr="00E80A17">
        <w:rPr>
          <w:bCs/>
        </w:rPr>
        <w:t xml:space="preserve">). U članku 4. navedenog Pravilnika utvrđeno je da </w:t>
      </w:r>
      <w:r w:rsidR="00490E6D">
        <w:rPr>
          <w:bCs/>
        </w:rPr>
        <w:t>g</w:t>
      </w:r>
      <w:r w:rsidRPr="00E80A17">
        <w:rPr>
          <w:bCs/>
        </w:rPr>
        <w:t>odišnji izvještaj o izvršenju proračuna jedinice lokalne samouprave sadrži:</w:t>
      </w:r>
    </w:p>
    <w:p w14:paraId="3FCB2232" w14:textId="77777777" w:rsidR="00794C29" w:rsidRPr="00E80A17" w:rsidRDefault="00794C29" w:rsidP="00794C29">
      <w:pPr>
        <w:rPr>
          <w:bCs/>
          <w:color w:val="FF0000"/>
        </w:rPr>
      </w:pPr>
    </w:p>
    <w:p w14:paraId="6EEBC15C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opći dio proračuna koji čini Račun prihoda i rashoda i Račun financiranja na razini odjeljka ekonomske klasifikacije</w:t>
      </w:r>
    </w:p>
    <w:p w14:paraId="6565E785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posebni dio proračuna po organizacijskoj i programskoj klasifikaciji te razini odjeljka ekonomske klasifikacije</w:t>
      </w:r>
    </w:p>
    <w:p w14:paraId="116FD853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izvještaj o zaduživanju na domaćem i stranom tržištu novca i kapitala</w:t>
      </w:r>
    </w:p>
    <w:p w14:paraId="0ACA9710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izvještaj o korištenju proračunske zalihe</w:t>
      </w:r>
    </w:p>
    <w:p w14:paraId="1911E90D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izvještaj o danim državnim jamstvima i izdacima po državnim jamstvima</w:t>
      </w:r>
    </w:p>
    <w:p w14:paraId="5F265FF4" w14:textId="77777777" w:rsidR="00794C29" w:rsidRPr="00E80A17" w:rsidRDefault="00794C29" w:rsidP="00794C29">
      <w:pPr>
        <w:numPr>
          <w:ilvl w:val="0"/>
          <w:numId w:val="2"/>
        </w:numPr>
        <w:rPr>
          <w:bCs/>
        </w:rPr>
      </w:pPr>
      <w:r w:rsidRPr="00E80A17">
        <w:rPr>
          <w:bCs/>
        </w:rPr>
        <w:t>obrazloženje ostvarenja prihoda i primitaka, rashoda i izdataka.</w:t>
      </w:r>
    </w:p>
    <w:p w14:paraId="5E3BF160" w14:textId="77777777" w:rsidR="003A1496" w:rsidRDefault="003A1496" w:rsidP="003A1496">
      <w:pPr>
        <w:rPr>
          <w:bCs/>
        </w:rPr>
      </w:pPr>
    </w:p>
    <w:p w14:paraId="6062CFCD" w14:textId="7C426E01" w:rsidR="000E4BA8" w:rsidRPr="004A7618" w:rsidRDefault="000E4BA8" w:rsidP="000E4BA8">
      <w:r w:rsidRPr="004A7618">
        <w:t>Financiranje javnih rashoda u 2021. godin</w:t>
      </w:r>
      <w:r w:rsidR="00076387">
        <w:t>i</w:t>
      </w:r>
      <w:r w:rsidRPr="004A7618">
        <w:t xml:space="preserve"> izvršeno je na osnovi sljedećih financijsko-planskih dokumenata:</w:t>
      </w:r>
    </w:p>
    <w:p w14:paraId="49CAD353" w14:textId="77777777" w:rsidR="000E4BA8" w:rsidRPr="004A7618" w:rsidRDefault="000E4BA8" w:rsidP="000E4BA8">
      <w:pPr>
        <w:numPr>
          <w:ilvl w:val="0"/>
          <w:numId w:val="1"/>
        </w:numPr>
      </w:pPr>
      <w:r w:rsidRPr="004A7618">
        <w:t xml:space="preserve">Proračun Grada Buja - Buie za 2021. godinu u ukupnom iznosu od 46.463.645,52 kuna i </w:t>
      </w:r>
    </w:p>
    <w:p w14:paraId="0519E78E" w14:textId="77777777" w:rsidR="000E4BA8" w:rsidRPr="004A7618" w:rsidRDefault="000E4BA8" w:rsidP="000E4BA8">
      <w:pPr>
        <w:numPr>
          <w:ilvl w:val="0"/>
          <w:numId w:val="1"/>
        </w:numPr>
      </w:pPr>
      <w:r w:rsidRPr="004A7618">
        <w:t xml:space="preserve">Odluka o izvršavanju Proračuna Grada Buja – Buie za 2021. godinu </w:t>
      </w:r>
    </w:p>
    <w:p w14:paraId="4DD4E23D" w14:textId="77777777" w:rsidR="000E4BA8" w:rsidRPr="004A7618" w:rsidRDefault="000E4BA8" w:rsidP="000E4BA8">
      <w:r w:rsidRPr="004A7618">
        <w:t>koje je donijelo Gradsko vijeće na sjednici od 26. studenog 2020. godine, a objavljeni su u «Službenim novinama» Grada Buja broj 19/20 od 27. studenog 2020. godine.</w:t>
      </w:r>
    </w:p>
    <w:p w14:paraId="7AF82C14" w14:textId="77777777" w:rsidR="000E4BA8" w:rsidRPr="004A7618" w:rsidRDefault="000E4BA8" w:rsidP="000E4BA8">
      <w:pPr>
        <w:pStyle w:val="Odlomakpopisa"/>
        <w:numPr>
          <w:ilvl w:val="0"/>
          <w:numId w:val="1"/>
        </w:numPr>
        <w:contextualSpacing/>
      </w:pPr>
      <w:r w:rsidRPr="004A7618">
        <w:t>Prve izmjene i dopune Proračuna Grada Buja - Buie za 2021. godinu u ukupnom iznosu od 51.570.336,77 kuna</w:t>
      </w:r>
    </w:p>
    <w:p w14:paraId="1DBFE704" w14:textId="77777777" w:rsidR="000E4BA8" w:rsidRPr="004A7618" w:rsidRDefault="000E4BA8" w:rsidP="000E4BA8">
      <w:r w:rsidRPr="004A7618">
        <w:t>koje je donijelo Gradsko vijeće na sjednici od 27. srpnja 2021. godine, a objavljene su u «Službenim novinama» Grada Buja broj 12/21 od 29. srpnja 2021. godine.</w:t>
      </w:r>
    </w:p>
    <w:p w14:paraId="660E3FB8" w14:textId="77777777" w:rsidR="000E4BA8" w:rsidRPr="004A7618" w:rsidRDefault="000E4BA8" w:rsidP="000E4BA8">
      <w:pPr>
        <w:pStyle w:val="Odlomakpopisa"/>
        <w:numPr>
          <w:ilvl w:val="0"/>
          <w:numId w:val="1"/>
        </w:numPr>
        <w:contextualSpacing/>
      </w:pPr>
      <w:r w:rsidRPr="004A7618">
        <w:t>Druge izmjene i dopune Proračuna Grada Buja - Buie za 2021. godinu u ukupnom iznosu od 40.695.744,58 kuna</w:t>
      </w:r>
    </w:p>
    <w:p w14:paraId="4BAF69AF" w14:textId="4EA8A77F" w:rsidR="000E4BA8" w:rsidRPr="004A7618" w:rsidRDefault="000E4BA8" w:rsidP="000E4BA8">
      <w:r w:rsidRPr="004A7618">
        <w:t>koje je donijelo Gradsko vijeće na sjednici od 22. prosinca 2021. godine, a objavljene su u «Službenim novinama» Grada Buja broj 16/21 od 2</w:t>
      </w:r>
      <w:r w:rsidR="00076387">
        <w:t>3</w:t>
      </w:r>
      <w:r w:rsidRPr="004A7618">
        <w:t>. prosinca 2021. godine.</w:t>
      </w:r>
    </w:p>
    <w:p w14:paraId="769CBB02" w14:textId="77777777" w:rsidR="00A77CB2" w:rsidRPr="00E80A17" w:rsidRDefault="00A77CB2" w:rsidP="00A77CB2"/>
    <w:p w14:paraId="75BF3170" w14:textId="77777777" w:rsidR="00A77CB2" w:rsidRPr="00E80A17" w:rsidRDefault="00A77CB2" w:rsidP="00A77CB2">
      <w:r w:rsidRPr="00E80A17">
        <w:t>Grad Buje - Buie ima tri proračunska korisnika: Dječji vrtić Buje, Talijanski dječji vrtić Mrvica i Pučko otvoreno učilište Buje koji su upisani u Registar proračunskih i izvanproračunskih korisnika. Sukladno odredbama Zakona o proračunu Vijeće talijanske nacionalne manjine Grada Buja i mjesni odbori također imaju status proračunskih korisnika Grada.</w:t>
      </w:r>
    </w:p>
    <w:p w14:paraId="42D87D50" w14:textId="77777777" w:rsidR="00A77CB2" w:rsidRDefault="007C1AEF" w:rsidP="00A77CB2">
      <w:r>
        <w:t>U Proračunu Grada Buja – Buie za 2021. godinu planirani su proračunski prihodi i rashodi te vlastiti i namjenski prihodi svih proračunskih korisnika Grada te rashodi koji se iz njih financiraju.</w:t>
      </w:r>
    </w:p>
    <w:p w14:paraId="064C47FF" w14:textId="77777777" w:rsidR="007C1AEF" w:rsidRPr="00E80A17" w:rsidRDefault="007C1AEF" w:rsidP="00A77CB2"/>
    <w:p w14:paraId="3772C4A0" w14:textId="77777777" w:rsidR="00A77CB2" w:rsidRDefault="00A3317D" w:rsidP="00A3317D">
      <w:pPr>
        <w:rPr>
          <w:bCs/>
        </w:rPr>
      </w:pPr>
      <w:r w:rsidRPr="00E80A17">
        <w:rPr>
          <w:bCs/>
        </w:rPr>
        <w:t xml:space="preserve">Prema odredbama Pravilnika o polugodišnjem i godišnjem izvještaju o izvršenju proračuna, izvorni plan je proračun odnosno posljednje izmjene i dopune proračuna donesene od strane </w:t>
      </w:r>
      <w:r w:rsidRPr="00E80A17">
        <w:rPr>
          <w:bCs/>
        </w:rPr>
        <w:lastRenderedPageBreak/>
        <w:t>predstavničkog tijela. Tekući plan je proračun odnosno posljednje izmjene i dopune proračuna s uključenim naknadno izvršenim preraspodjelama.</w:t>
      </w:r>
    </w:p>
    <w:p w14:paraId="48EDF070" w14:textId="71CA6B21" w:rsidR="00B5386F" w:rsidRPr="00E80A17" w:rsidRDefault="00B44189" w:rsidP="005B0691">
      <w:r>
        <w:rPr>
          <w:bCs/>
        </w:rPr>
        <w:t>Preraspodjela sredstava planiranih u Proračun nije bilo te je</w:t>
      </w:r>
      <w:r w:rsidR="00A348F2">
        <w:rPr>
          <w:bCs/>
        </w:rPr>
        <w:t xml:space="preserve"> tekući plan jednak izvornom planu odnosno</w:t>
      </w:r>
      <w:r w:rsidR="00A3317D" w:rsidRPr="00E80A17">
        <w:rPr>
          <w:bCs/>
        </w:rPr>
        <w:t xml:space="preserve"> </w:t>
      </w:r>
      <w:r w:rsidR="00E85375">
        <w:rPr>
          <w:bCs/>
        </w:rPr>
        <w:t xml:space="preserve">Drugim izmjenama i dopunama </w:t>
      </w:r>
      <w:r w:rsidR="00A3317D" w:rsidRPr="00E80A17">
        <w:rPr>
          <w:bCs/>
        </w:rPr>
        <w:t>Proračuna Grada Buja – Buie za 20</w:t>
      </w:r>
      <w:r w:rsidR="00E77AA8">
        <w:rPr>
          <w:bCs/>
        </w:rPr>
        <w:t>2</w:t>
      </w:r>
      <w:r>
        <w:rPr>
          <w:bCs/>
        </w:rPr>
        <w:t>1</w:t>
      </w:r>
      <w:r w:rsidR="00A3317D" w:rsidRPr="00E80A17">
        <w:rPr>
          <w:bCs/>
        </w:rPr>
        <w:t>. godinu.</w:t>
      </w:r>
    </w:p>
    <w:p w14:paraId="6B2DC902" w14:textId="77777777" w:rsidR="00B5386F" w:rsidRPr="00E80A17" w:rsidRDefault="00B5386F">
      <w:pPr>
        <w:rPr>
          <w:b/>
          <w:bCs/>
          <w:sz w:val="20"/>
          <w:szCs w:val="20"/>
        </w:rPr>
        <w:sectPr w:rsidR="00B5386F" w:rsidRPr="00E80A17" w:rsidSect="00F32016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6854723" w14:textId="1FB4CEFC" w:rsidR="00C9381F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4" w:name="_Toc100757147"/>
      <w:r>
        <w:rPr>
          <w:rFonts w:ascii="Times New Roman" w:hAnsi="Times New Roman"/>
          <w:sz w:val="24"/>
          <w:szCs w:val="24"/>
        </w:rPr>
        <w:lastRenderedPageBreak/>
        <w:t>OPĆI DIO</w:t>
      </w:r>
      <w:r w:rsidR="00F22C87">
        <w:rPr>
          <w:rFonts w:ascii="Times New Roman" w:hAnsi="Times New Roman"/>
          <w:sz w:val="24"/>
          <w:szCs w:val="24"/>
        </w:rPr>
        <w:t xml:space="preserve"> PRORAČUNA</w:t>
      </w:r>
      <w:bookmarkEnd w:id="4"/>
    </w:p>
    <w:tbl>
      <w:tblPr>
        <w:tblW w:w="14707" w:type="dxa"/>
        <w:tblLook w:val="04A0" w:firstRow="1" w:lastRow="0" w:firstColumn="1" w:lastColumn="0" w:noHBand="0" w:noVBand="1"/>
      </w:tblPr>
      <w:tblGrid>
        <w:gridCol w:w="316"/>
        <w:gridCol w:w="6630"/>
        <w:gridCol w:w="1366"/>
        <w:gridCol w:w="1503"/>
        <w:gridCol w:w="1366"/>
        <w:gridCol w:w="983"/>
        <w:gridCol w:w="1240"/>
        <w:gridCol w:w="63"/>
        <w:gridCol w:w="1240"/>
      </w:tblGrid>
      <w:tr w:rsidR="00E85375" w:rsidRPr="00E85375" w14:paraId="5A70174B" w14:textId="77777777" w:rsidTr="00D24BDD">
        <w:trPr>
          <w:trHeight w:val="300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47F" w14:textId="77777777" w:rsidR="008677B2" w:rsidRDefault="008677B2" w:rsidP="008677B2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  <w:p w14:paraId="0E7447C4" w14:textId="3297197B" w:rsidR="00D24BDD" w:rsidRPr="008677B2" w:rsidRDefault="00E85375" w:rsidP="008677B2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5" w:name="_Toc100757148"/>
            <w:r w:rsidRPr="008677B2">
              <w:rPr>
                <w:rFonts w:ascii="Times New Roman" w:hAnsi="Times New Roman"/>
                <w:sz w:val="24"/>
                <w:szCs w:val="24"/>
              </w:rPr>
              <w:t>SAŽETAK</w:t>
            </w:r>
            <w:bookmarkEnd w:id="5"/>
            <w:r w:rsidRPr="0086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26476C" w14:textId="3781ED2A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A. RAČUNA PRIHODA I RASHODA, B. RAČUNA FINANCIRANJA I RASPOLOŽIVA SREDSTAVA IZ PRETHODNIH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18F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375" w:rsidRPr="00E85375" w14:paraId="7B04C6E5" w14:textId="77777777" w:rsidTr="00D24BDD">
        <w:trPr>
          <w:gridAfter w:val="2"/>
          <w:wAfter w:w="1303" w:type="dxa"/>
          <w:trHeight w:val="165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8B1D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9C77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A85A1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49D4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29C6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57004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1030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3C41CCFC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27A5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A082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8494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EF8B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6FCC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F02D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124E0E51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2D5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391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183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581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387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EB1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E85375" w:rsidRPr="00E85375" w14:paraId="3C7DAD5B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7EDE0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89E9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79D3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66BF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9815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50A6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9CD1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E85375" w:rsidRPr="00E85375" w14:paraId="77300A01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5513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8BA6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3FAA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26DD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B86A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82F6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85375" w:rsidRPr="00E85375" w14:paraId="2E7747B6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54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A1C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Prihodi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C068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31.038.925,97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0F6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32.298.691,90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00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32.174.692,70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6BB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103,66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A97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99,62</w:t>
            </w:r>
          </w:p>
        </w:tc>
      </w:tr>
      <w:tr w:rsidR="00E85375" w:rsidRPr="00E85375" w14:paraId="4AA89FAC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754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C8E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8E3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4.518.344,48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55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28E8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4.580.232,11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66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101,37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1B8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70,47</w:t>
            </w:r>
          </w:p>
        </w:tc>
      </w:tr>
      <w:tr w:rsidR="00E85375" w:rsidRPr="00E85375" w14:paraId="643D4032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5ED4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C095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FE9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35.557.270,45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382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38.798.691,90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303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36.754.924,81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9859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103,37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249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94,73</w:t>
            </w:r>
          </w:p>
        </w:tc>
      </w:tr>
      <w:tr w:rsidR="00E85375" w:rsidRPr="00E85375" w14:paraId="4917D357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AB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CFB5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B54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23.591.327,62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E5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29.202.217,77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0C3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26.175.139,99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08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110,95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56F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89,63</w:t>
            </w:r>
          </w:p>
        </w:tc>
      </w:tr>
      <w:tr w:rsidR="00E85375" w:rsidRPr="00E85375" w14:paraId="1FF7A9CB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E6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DE9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1FC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14.238.308,97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F2E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9.268.384,39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15C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9.739.905,39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4C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68,41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454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105,09</w:t>
            </w:r>
          </w:p>
        </w:tc>
      </w:tr>
      <w:tr w:rsidR="00E85375" w:rsidRPr="00E85375" w14:paraId="44BED20D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8AF6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04BD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ACC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37.829.636,59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8AF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38.470.602,16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E77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35.915.045,38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BF6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94,94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AF9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93,36</w:t>
            </w:r>
          </w:p>
        </w:tc>
      </w:tr>
      <w:tr w:rsidR="00E85375" w:rsidRPr="00E85375" w14:paraId="6DC80A4C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D1E47" w14:textId="77777777" w:rsidR="00E85375" w:rsidRPr="00E85375" w:rsidRDefault="00E85375">
            <w:pPr>
              <w:rPr>
                <w:sz w:val="20"/>
                <w:szCs w:val="20"/>
              </w:rPr>
            </w:pPr>
            <w:r w:rsidRPr="00E85375">
              <w:rPr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F76AA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RAZLIKA - VIŠAK / MANJAK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2EA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-2.272.366,14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3714C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328.089,74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514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839.879,43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083AE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-36,96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8C37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255,99</w:t>
            </w:r>
          </w:p>
        </w:tc>
      </w:tr>
      <w:tr w:rsidR="00E85375" w:rsidRPr="00E85375" w14:paraId="21C02661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A2A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B. RAČUN ZADUŽIVANJA/FINANCIRANJA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E1A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B46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19F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EC2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4D5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31D55DC2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726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AAF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B69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AD6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65A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6E4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E85375" w:rsidRPr="00E85375" w14:paraId="4B1BE40C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A8A7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EBF4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CEF4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1BEB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BF78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21CE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B30D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E85375" w:rsidRPr="00E85375" w14:paraId="7521C285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7089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F8E2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CA07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0C71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10BC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4E1A9" w14:textId="77777777" w:rsidR="00E85375" w:rsidRPr="00E85375" w:rsidRDefault="00E8537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85375" w:rsidRPr="00E85375" w14:paraId="05CBA20D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603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7EE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34F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5.031.898,51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C44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2.514.605,44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9E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2.514.605,44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A0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49,97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77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85375" w:rsidRPr="00E85375" w14:paraId="69AC5ACD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5D1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C80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 xml:space="preserve">    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1C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3.814.803,85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3A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2.225.142,42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FE7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2.186.397,02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267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57,31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02F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E85375" w:rsidRPr="00E85375" w14:paraId="0665A17D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5F5D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340C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923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1.217.094,66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2A5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289.463,02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F84B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328.208,42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2C29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23,78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15B5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113,39</w:t>
            </w:r>
          </w:p>
        </w:tc>
      </w:tr>
      <w:tr w:rsidR="00E85375" w:rsidRPr="00E85375" w14:paraId="7328A732" w14:textId="77777777" w:rsidTr="00D24BDD">
        <w:trPr>
          <w:gridAfter w:val="2"/>
          <w:wAfter w:w="1303" w:type="dxa"/>
          <w:trHeight w:val="7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FEFF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428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33A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2BC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F1E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F74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A88A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117CF042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2D09" w14:textId="77777777" w:rsidR="00E85375" w:rsidRPr="00E85375" w:rsidRDefault="00E85375">
            <w:pPr>
              <w:rPr>
                <w:sz w:val="20"/>
                <w:szCs w:val="20"/>
              </w:rPr>
            </w:pPr>
            <w:r w:rsidRPr="00E85375">
              <w:rPr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A67D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VIŠAK/MANJAK TEKUĆE GODINE (A+B)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B26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-1.055.271,48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B43E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617.552,76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D8969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1.168.087,85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67A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-110,69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115E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189,15</w:t>
            </w:r>
          </w:p>
        </w:tc>
      </w:tr>
      <w:tr w:rsidR="00E85375" w:rsidRPr="00E85375" w14:paraId="5DED99E4" w14:textId="77777777" w:rsidTr="00D24BDD">
        <w:trPr>
          <w:gridAfter w:val="2"/>
          <w:wAfter w:w="1303" w:type="dxa"/>
          <w:trHeight w:val="70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4CB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7CB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B7D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06D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C60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79E3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B6FB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74A6D7A3" w14:textId="77777777" w:rsidTr="00D24BDD">
        <w:trPr>
          <w:gridAfter w:val="2"/>
          <w:wAfter w:w="1303" w:type="dxa"/>
          <w:trHeight w:val="300"/>
        </w:trPr>
        <w:tc>
          <w:tcPr>
            <w:tcW w:w="69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071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3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DF7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437.718,22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20C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-617.552,76</w:t>
            </w:r>
          </w:p>
        </w:tc>
        <w:tc>
          <w:tcPr>
            <w:tcW w:w="13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15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-607.156,79</w:t>
            </w: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44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-138,71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046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98,32</w:t>
            </w:r>
          </w:p>
        </w:tc>
      </w:tr>
      <w:tr w:rsidR="00E85375" w:rsidRPr="00E85375" w14:paraId="1A7087F1" w14:textId="77777777" w:rsidTr="00D24BDD">
        <w:trPr>
          <w:gridAfter w:val="2"/>
          <w:wAfter w:w="1303" w:type="dxa"/>
          <w:trHeight w:val="165"/>
        </w:trPr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6BDF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13F8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CF49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F437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D3E0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EF72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D5A9" w14:textId="77777777" w:rsidR="00E85375" w:rsidRPr="00E85375" w:rsidRDefault="00E85375">
            <w:pPr>
              <w:rPr>
                <w:sz w:val="20"/>
                <w:szCs w:val="20"/>
              </w:rPr>
            </w:pPr>
          </w:p>
        </w:tc>
      </w:tr>
      <w:tr w:rsidR="00E85375" w:rsidRPr="00E85375" w14:paraId="3F377124" w14:textId="77777777" w:rsidTr="00D24BDD">
        <w:trPr>
          <w:gridAfter w:val="2"/>
          <w:wAfter w:w="1303" w:type="dxa"/>
          <w:trHeight w:val="30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F054" w14:textId="77777777" w:rsidR="00E85375" w:rsidRPr="00E85375" w:rsidRDefault="00E85375">
            <w:pPr>
              <w:rPr>
                <w:sz w:val="20"/>
                <w:szCs w:val="20"/>
              </w:rPr>
            </w:pPr>
            <w:r w:rsidRPr="00E85375">
              <w:rPr>
                <w:sz w:val="20"/>
                <w:szCs w:val="20"/>
              </w:rPr>
              <w:t> 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C72B" w14:textId="77777777" w:rsidR="00E85375" w:rsidRPr="00E85375" w:rsidRDefault="00E85375">
            <w:pPr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VIŠAK/MANJAK RASPOLOŽIV/ZA POKRIĆE U SLJEDEĆEM RAZDOBLJU (A+B+C)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91BD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-617.553,26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E6AF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BE6A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560.931,06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E9F22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-90,83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9EC9" w14:textId="77777777" w:rsidR="00E85375" w:rsidRPr="00E85375" w:rsidRDefault="00E85375">
            <w:pPr>
              <w:jc w:val="right"/>
              <w:rPr>
                <w:b/>
                <w:bCs/>
                <w:sz w:val="20"/>
                <w:szCs w:val="20"/>
              </w:rPr>
            </w:pPr>
            <w:r w:rsidRPr="00E8537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16683122" w14:textId="77777777" w:rsidR="006F4711" w:rsidRPr="00AD72E4" w:rsidRDefault="00F56993" w:rsidP="00AD72E4">
      <w:pPr>
        <w:pStyle w:val="Subtitle1"/>
        <w:rPr>
          <w:rFonts w:ascii="Times New Roman" w:hAnsi="Times New Roman"/>
          <w:sz w:val="24"/>
          <w:szCs w:val="24"/>
        </w:rPr>
      </w:pPr>
      <w:bookmarkStart w:id="6" w:name="_Toc78878307"/>
      <w:bookmarkStart w:id="7" w:name="_Toc79578494"/>
      <w:bookmarkStart w:id="8" w:name="_Toc100757149"/>
      <w:r w:rsidRPr="00AD72E4">
        <w:rPr>
          <w:rFonts w:ascii="Times New Roman" w:hAnsi="Times New Roman"/>
          <w:sz w:val="24"/>
          <w:szCs w:val="24"/>
        </w:rPr>
        <w:lastRenderedPageBreak/>
        <w:t>2. A. RAČUN PRIHODA I RASHODA</w:t>
      </w:r>
      <w:bookmarkEnd w:id="6"/>
      <w:bookmarkEnd w:id="7"/>
      <w:bookmarkEnd w:id="8"/>
    </w:p>
    <w:p w14:paraId="3631A7D0" w14:textId="25882B9E" w:rsidR="0006178C" w:rsidRDefault="0006178C" w:rsidP="00C57C94">
      <w:pPr>
        <w:pStyle w:val="Subtitle1"/>
        <w:rPr>
          <w:rFonts w:ascii="Times New Roman" w:hAnsi="Times New Roman"/>
          <w:sz w:val="24"/>
          <w:szCs w:val="24"/>
        </w:rPr>
      </w:pPr>
    </w:p>
    <w:tbl>
      <w:tblPr>
        <w:tblW w:w="13285" w:type="dxa"/>
        <w:tblLook w:val="04A0" w:firstRow="1" w:lastRow="0" w:firstColumn="1" w:lastColumn="0" w:noHBand="0" w:noVBand="1"/>
      </w:tblPr>
      <w:tblGrid>
        <w:gridCol w:w="616"/>
        <w:gridCol w:w="6330"/>
        <w:gridCol w:w="1370"/>
        <w:gridCol w:w="1503"/>
        <w:gridCol w:w="1366"/>
        <w:gridCol w:w="1100"/>
        <w:gridCol w:w="1000"/>
      </w:tblGrid>
      <w:tr w:rsidR="008677B2" w:rsidRPr="00B8211B" w14:paraId="0B42AC98" w14:textId="77777777" w:rsidTr="0018060E">
        <w:trPr>
          <w:trHeight w:val="255"/>
        </w:trPr>
        <w:tc>
          <w:tcPr>
            <w:tcW w:w="12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35D" w14:textId="70CF59F9" w:rsidR="008677B2" w:rsidRPr="006F6A35" w:rsidRDefault="008677B2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9" w:name="_Toc100757150"/>
            <w:r w:rsidRPr="006F6A35">
              <w:rPr>
                <w:rFonts w:ascii="Times New Roman" w:hAnsi="Times New Roman"/>
                <w:sz w:val="24"/>
                <w:szCs w:val="24"/>
              </w:rPr>
              <w:t>2. A. 1. RAČUN PRIHODA I RASHODA - PREMA EKONOMSKOJ KLASIFIKACIJI</w:t>
            </w:r>
            <w:bookmarkEnd w:id="9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B16" w14:textId="77777777" w:rsidR="008677B2" w:rsidRPr="00B8211B" w:rsidRDefault="008677B2" w:rsidP="00B8211B">
            <w:pPr>
              <w:rPr>
                <w:sz w:val="20"/>
                <w:szCs w:val="20"/>
              </w:rPr>
            </w:pPr>
          </w:p>
        </w:tc>
      </w:tr>
      <w:tr w:rsidR="00B8211B" w:rsidRPr="00B8211B" w14:paraId="7CB4789E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F48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924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575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1901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A7D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00E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057" w14:textId="77777777" w:rsidR="00B8211B" w:rsidRPr="00B8211B" w:rsidRDefault="00B8211B" w:rsidP="00B8211B">
            <w:pPr>
              <w:rPr>
                <w:sz w:val="20"/>
                <w:szCs w:val="20"/>
              </w:rPr>
            </w:pPr>
          </w:p>
        </w:tc>
      </w:tr>
      <w:tr w:rsidR="00B8211B" w:rsidRPr="00B8211B" w14:paraId="5154A149" w14:textId="77777777" w:rsidTr="00B8211B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C6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BROJČANA OZNAKA I NAZIV PRIHODA / RASHODA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687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43D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EAB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D09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715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B8211B" w:rsidRPr="00B8211B" w14:paraId="61F690B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537F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112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8266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4152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BE74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55E9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A988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B8211B" w:rsidRPr="00B8211B" w14:paraId="06BE40B3" w14:textId="77777777" w:rsidTr="00B8211B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5D54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41F8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BADC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55D4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5992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E850" w14:textId="77777777" w:rsidR="00B8211B" w:rsidRPr="00B8211B" w:rsidRDefault="00B8211B" w:rsidP="00B8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8211B" w:rsidRPr="00B8211B" w14:paraId="38592422" w14:textId="77777777" w:rsidTr="00B8211B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BB6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SVEUKUPNO PRIHODI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A7A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35.557.270,45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6D5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38.798.691,90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861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36.754.924,81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C26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C84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94,73</w:t>
            </w:r>
          </w:p>
        </w:tc>
      </w:tr>
      <w:tr w:rsidR="00B8211B" w:rsidRPr="00B8211B" w14:paraId="65387B8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C1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D4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3B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31.038.925,97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29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32.298.691,90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9E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32.174.692,70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1D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91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99,62</w:t>
            </w:r>
          </w:p>
        </w:tc>
      </w:tr>
      <w:tr w:rsidR="00B8211B" w:rsidRPr="00B8211B" w14:paraId="6E3776D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2A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CF1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F9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11.370.484,08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08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12.237.189,25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6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13.338.337,97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90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117,31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6A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109,00</w:t>
            </w:r>
          </w:p>
        </w:tc>
      </w:tr>
      <w:tr w:rsidR="00B8211B" w:rsidRPr="00B8211B" w14:paraId="4536839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91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A9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25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8.440.617,80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D8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7.869.189,25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72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7.941.727,63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FF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87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100,92</w:t>
            </w:r>
          </w:p>
        </w:tc>
      </w:tr>
      <w:tr w:rsidR="00B8211B" w:rsidRPr="00B8211B" w14:paraId="03F63E4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896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F69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od nesamostalnog rada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48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7.193.254,40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36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28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6.927.486,63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B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96,31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9E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C411B5E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33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431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od samostalnih djelatnosti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BB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1.015.344,49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AC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B9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859.562,37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4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84,66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F4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C45C17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C0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0F7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od imovine i imovinskih prava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7F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359.954,59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71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1A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546.344,74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04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151,78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DC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A98B88F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00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9C7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od kapitala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A7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555.696,19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D0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84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736.898,79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7D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132,61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FC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0EA68F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55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534E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po godišnjoj prijavi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4D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217.086,44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ED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31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245.111,64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76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112,91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25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A8B47A9" w14:textId="77777777" w:rsidTr="000C2F3A">
        <w:trPr>
          <w:trHeight w:val="19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52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B90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i prirez na dohodak utvrđen u postupku nadzora za prethodne godine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10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DC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D4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10.925,63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D2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5D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3C18D1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E7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6117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E58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Povrat poreza i prireza na dohodak po godišnjoj prijavi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43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-900.718,31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C2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9D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-1.384.602,17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ED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153,72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4E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309E7D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F0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46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09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2.687.465,78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7D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4.097.000,00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6B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5.112.353,51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1F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190,23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E0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124,78</w:t>
            </w:r>
          </w:p>
        </w:tc>
      </w:tr>
      <w:tr w:rsidR="00B8211B" w:rsidRPr="00B8211B" w14:paraId="5D0CD95F" w14:textId="77777777" w:rsidTr="000C2F3A">
        <w:trPr>
          <w:trHeight w:val="15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AD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C68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Stalni porezi na nepokretnu imovinu (zemlju, zgrade, kuće i ostalo)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96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171.963,10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78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74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188.705,61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E8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109,74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0A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6D0826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A8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6134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0EC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Povremeni porezi na imovinu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BB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2.515.502,68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24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7D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4.923.647,90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32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195,73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2B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224D4A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E2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69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16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242.400,50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2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A1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284.256,83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871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117,27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D7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104,89</w:t>
            </w:r>
          </w:p>
        </w:tc>
      </w:tr>
      <w:tr w:rsidR="00B8211B" w:rsidRPr="00B8211B" w14:paraId="6767968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7D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6142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F81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 na promet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DE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239.900,50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90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15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284.256,83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32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118,49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A81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19952F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16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6145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A35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Porezi na korištenje dobara ili izvođenje aktivnosti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40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2.500,00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31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EB7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9D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07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091D07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01D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BC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25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8.343.299,31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90E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7.494.891,67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EA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7.513.355,43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21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90,05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FD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100,25</w:t>
            </w:r>
          </w:p>
        </w:tc>
      </w:tr>
      <w:tr w:rsidR="00B8211B" w:rsidRPr="00B8211B" w14:paraId="446810A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E7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B5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Pomoći od međunarodnih organizacija te institucija i tijela EU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A2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273.042,08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FB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352.124,07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98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357.264,53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78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130,85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7C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101,46</w:t>
            </w:r>
          </w:p>
        </w:tc>
      </w:tr>
      <w:tr w:rsidR="00B8211B" w:rsidRPr="00B8211B" w14:paraId="1061310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1B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C3C9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Tekuće pomoći od institucija i tijela  EU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AF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78.813,24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AD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FA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247.033,48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1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313,44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62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865282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99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6324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1BC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Kapitalne pomoći od institucija i tijela  EU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341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194.228,84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3A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43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110.231,05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30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56,75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9A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B3AB2B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C2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A1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proračunu iz drugih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C7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2.602.068,70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19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4.591.832,66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7F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4.591.766,67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B7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176,47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0E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8211B" w:rsidRPr="00B8211B" w14:paraId="3F43670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AE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F54C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F2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514.730,74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EA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CF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1.355.473,51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18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263,34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55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A8556A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97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9AA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Kapitalne pomoći proračunu iz drugih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6F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2.087.337,96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C2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B93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3.236.293,16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9C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155,04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15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ADEE7B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783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1DF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F9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734.455,50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23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50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735.444,00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9F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C3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98,06</w:t>
            </w:r>
          </w:p>
        </w:tc>
      </w:tr>
      <w:tr w:rsidR="00B8211B" w:rsidRPr="00B8211B" w14:paraId="3A45307F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2C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6351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D073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Tekuće pomoći izravnanja za decentralizirane funkcije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38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734.455,50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74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B3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735.444,00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A9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100,13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FB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45CA09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E6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lastRenderedPageBreak/>
              <w:t>636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BB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16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564.941,00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1BC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592.162,00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01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620.107,29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5F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109,76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23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104,72</w:t>
            </w:r>
          </w:p>
        </w:tc>
      </w:tr>
      <w:tr w:rsidR="00B8211B" w:rsidRPr="00B8211B" w14:paraId="64465869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2C5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6361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74E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81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494.941,00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B4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D5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596.092,91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5F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120,44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FC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6DE015F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58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6362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212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AC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70.000,00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5E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F9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24.014,38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88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890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46079C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B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CE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87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4.168.792,03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77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1.208.772,94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40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1.208.772,94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65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FE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8211B" w:rsidRPr="00B8211B" w14:paraId="2A7E65C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0F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6382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78D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56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4.168.792,03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E0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FD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1.208.772,94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C5C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82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4BB80F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66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13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13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1.581.923,37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FCF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1.523.230,10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45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1.472.416,63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08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93,08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A4F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96,66</w:t>
            </w:r>
          </w:p>
        </w:tc>
      </w:tr>
      <w:tr w:rsidR="00B8211B" w:rsidRPr="00B8211B" w14:paraId="1081379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B4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B27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1D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78.528,18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78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135.230,10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00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124.482,19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2B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158,52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C45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92,05</w:t>
            </w:r>
          </w:p>
        </w:tc>
      </w:tr>
      <w:tr w:rsidR="00B8211B" w:rsidRPr="00B8211B" w14:paraId="7198346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A9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C927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Kamate na oročena sredstva i depozite po viđenju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7D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280,71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A1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06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310,87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4B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110,74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EFA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3D8B34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2F3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F18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od zateznih kamata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51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78.247,47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0BA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55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120.441,22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8E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153,92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4A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8FA182F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ED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6417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51F4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iz dobiti trgovačkih društava, kreditnih i ostalih financijskih institucija po posebnim </w:t>
            </w:r>
            <w:proofErr w:type="spellStart"/>
            <w:r w:rsidRPr="00B8211B">
              <w:rPr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FC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9B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84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3.730,10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FF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5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506765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A4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5BF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7B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1.485.785,74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BA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86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1.322.517,59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50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89,01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78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97,17</w:t>
            </w:r>
          </w:p>
        </w:tc>
      </w:tr>
      <w:tr w:rsidR="00B8211B" w:rsidRPr="00B8211B" w14:paraId="460A043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48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D4A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za koncesije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22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118.217,51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3D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6B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142.095,40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E9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120,20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81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1C9C90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A0B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2C4E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od zakupa i iznajmljivanja imovine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64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909.330,23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F4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B1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847.417,62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895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93,19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AE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697494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EF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730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Naknada za korištenje nefinancijske imovine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20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444.983,61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12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1C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300.913,31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68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67,62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90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C7C804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22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6425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121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Prihodi od prodaje kratkotrajne nefinancijske imovine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56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598,75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67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80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1C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FE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4D7C3EF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F7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6429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512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prihodi od nefinancijske imovine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E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12.655,64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C2F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28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32.091,26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78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253,57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E2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3C9BBC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2E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964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kamata na dane zajmove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09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17.609,45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F5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6C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25.416,85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33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144,34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07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94,14</w:t>
            </w:r>
          </w:p>
        </w:tc>
      </w:tr>
      <w:tr w:rsidR="00B8211B" w:rsidRPr="00B8211B" w14:paraId="6C2CF151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5E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8994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od kamata na dane zajmove neprofitnim organizacijama, građanima i kućanstvima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E0F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13.008,61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E5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EEF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22.670,96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72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174,28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92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EB48782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37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6436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F90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od kamata na dane zajmove trgovačkim društvima i obrtnicima izvan javnog sektora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B6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4.600,84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CF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87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2.745,89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DC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59,68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99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F2E25A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98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05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B6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9.347.458,71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BB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10.720.377,15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281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9.376.231,75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AA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E2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87,46</w:t>
            </w:r>
          </w:p>
        </w:tc>
      </w:tr>
      <w:tr w:rsidR="00B8211B" w:rsidRPr="00B8211B" w14:paraId="2BE703B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20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5A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CC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257.654,72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DF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ED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330.875,46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37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128,42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12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96,75</w:t>
            </w:r>
          </w:p>
        </w:tc>
      </w:tr>
      <w:tr w:rsidR="00B8211B" w:rsidRPr="00B8211B" w14:paraId="56F1FBE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EB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5F7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Županijske, gradske i općinske pristojbe i naknade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35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56.384,56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02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29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38.868,42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87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68,93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5D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0197C6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4B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95A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Ostale upravne pristojbe i naknade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A2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97.529,54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97E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A1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89.258,72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02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91,52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D0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A5E51C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17E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609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Ostale pristojbe i naknade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33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103.740,62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FD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45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202.748,32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EB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195,44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D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6EE64C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69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C6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92C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814.831,86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554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1.475.377,15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65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1.261.054,15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B1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154,76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AA6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85,47</w:t>
            </w:r>
          </w:p>
        </w:tc>
      </w:tr>
      <w:tr w:rsidR="00B8211B" w:rsidRPr="00B8211B" w14:paraId="14D6395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A1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690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vodnog gospodarstva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663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34.965,62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38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2A4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8.526,65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A4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24,39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AE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7BA07F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00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6524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093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Doprinosi za šume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00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1.766,85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3B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FA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4.932,47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AC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279,17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CF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8311EC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B8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6526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DAFD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DB1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778.099,39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24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25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1.247.595,03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B9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160,34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A8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124F0B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32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3F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DE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8.274.972,13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27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8.903.000,00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E6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7.784.302,14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CB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5D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87,43</w:t>
            </w:r>
          </w:p>
        </w:tc>
      </w:tr>
      <w:tr w:rsidR="00B8211B" w:rsidRPr="00B8211B" w14:paraId="5526F65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D79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lastRenderedPageBreak/>
              <w:t>6531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119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E35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4.343.296,94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26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29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3.916.575,91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37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90,18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EB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7BFAF0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39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8BC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27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3.931.675,19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10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9E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3.867.726,23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E5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98,37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8C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B0127E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82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27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D35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359.999,60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EB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268.493,01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1B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428.776,83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E2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119,10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B6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159,70</w:t>
            </w:r>
          </w:p>
        </w:tc>
      </w:tr>
      <w:tr w:rsidR="00B8211B" w:rsidRPr="00B8211B" w14:paraId="794C950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E15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71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FE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192.607,07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46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218.800,00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69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206.022,93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16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04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94,16</w:t>
            </w:r>
          </w:p>
        </w:tc>
      </w:tr>
      <w:tr w:rsidR="00B8211B" w:rsidRPr="00B8211B" w14:paraId="749D753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8F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6615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367D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29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192.607,07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53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BD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206.022,93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D9A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24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1F933E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07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7F5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1B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167.392,53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09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49.693,01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A4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222.753,90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B5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133,07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91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448,26</w:t>
            </w:r>
          </w:p>
        </w:tc>
      </w:tr>
      <w:tr w:rsidR="00B8211B" w:rsidRPr="00B8211B" w14:paraId="31CE9BB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2B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6631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EA4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8E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133.300,62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D4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74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3.529,10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C5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49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527E21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0F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6632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BF6D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2A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34.091,91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87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5C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219.224,80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A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643,04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B2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E6637A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3FA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04F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85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35.760,90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25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54.510,72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00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45.574,09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32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127,44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2F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83,61</w:t>
            </w:r>
          </w:p>
        </w:tc>
      </w:tr>
      <w:tr w:rsidR="00B8211B" w:rsidRPr="00B8211B" w14:paraId="6ACFB02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DC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39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DF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19.400,00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00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D4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19.182,38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07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98,88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BA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69,75</w:t>
            </w:r>
          </w:p>
        </w:tc>
      </w:tr>
      <w:tr w:rsidR="00B8211B" w:rsidRPr="00B8211B" w14:paraId="4ABEAAD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7A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6819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BC45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Ostale kazne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72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19.400,00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E2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D1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19.182,38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4D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98,88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1B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5FDED0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0F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35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2E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16.360,90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47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27.010,72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38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26.391,71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BC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161,31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8C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97,71</w:t>
            </w:r>
          </w:p>
        </w:tc>
      </w:tr>
      <w:tr w:rsidR="00B8211B" w:rsidRPr="00B8211B" w14:paraId="2C84483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320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6831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4CD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8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16.360,90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19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12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26.391,71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79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161,31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12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F3E179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A7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07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27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4.518.344,48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01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B7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4.580.232,11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94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E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70,47</w:t>
            </w:r>
          </w:p>
        </w:tc>
      </w:tr>
      <w:tr w:rsidR="00B8211B" w:rsidRPr="00B8211B" w14:paraId="6395D23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C1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4A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 w:rsidRPr="00B8211B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B8211B">
              <w:rPr>
                <w:b/>
                <w:bCs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696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3.346.620,14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F8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36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3.471.903,68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C4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B5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79,72</w:t>
            </w:r>
          </w:p>
        </w:tc>
      </w:tr>
      <w:tr w:rsidR="00B8211B" w:rsidRPr="00B8211B" w14:paraId="7CD9116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D95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27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46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3.346.620,14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84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02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3.471.903,68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36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37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79,72</w:t>
            </w:r>
          </w:p>
        </w:tc>
      </w:tr>
      <w:tr w:rsidR="00B8211B" w:rsidRPr="00B8211B" w14:paraId="2399528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CF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7111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42B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F4D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3.346.620,14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3E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9D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3.471.903,68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5A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103,74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78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E0B19C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45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DE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D6F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1.171.724,34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1F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25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1.108.328,43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A7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54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51,67</w:t>
            </w:r>
          </w:p>
        </w:tc>
      </w:tr>
      <w:tr w:rsidR="00B8211B" w:rsidRPr="00B8211B" w14:paraId="09DAA38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6C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FF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50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1.171.724,34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C4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87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1.108.328,43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B6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F2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51,67</w:t>
            </w:r>
          </w:p>
        </w:tc>
      </w:tr>
      <w:tr w:rsidR="00B8211B" w:rsidRPr="00B8211B" w14:paraId="0077EF6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06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7211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510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Stambeni objekti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3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1.171.724,34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CAD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3A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1.108.328,43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FE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94,59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5C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C983DCC" w14:textId="77777777" w:rsidTr="00B8211B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3F2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SVEUKUPNO RASHODI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3F4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37.829.636,59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DED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38.470.602,16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0EA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35.915.045,38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5AF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377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93,36</w:t>
            </w:r>
          </w:p>
        </w:tc>
      </w:tr>
      <w:tr w:rsidR="00B8211B" w:rsidRPr="00B8211B" w14:paraId="4E86900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11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B1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8D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23.591.327,62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271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29.202.217,77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81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26.175.139,99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C2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110,95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FE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89,63</w:t>
            </w:r>
          </w:p>
        </w:tc>
      </w:tr>
      <w:tr w:rsidR="00B8211B" w:rsidRPr="00B8211B" w14:paraId="7AB2970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16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22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AF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8.059.362,83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1E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9.001.746,60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C0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8.468.839,32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11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105,08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37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94,08</w:t>
            </w:r>
          </w:p>
        </w:tc>
      </w:tr>
      <w:tr w:rsidR="00B8211B" w:rsidRPr="00B8211B" w14:paraId="7A470B0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C6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F3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5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6.775.121,96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C5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7.392.474,30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D2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6.990.209,75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96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8E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94,56</w:t>
            </w:r>
          </w:p>
        </w:tc>
      </w:tr>
      <w:tr w:rsidR="00B8211B" w:rsidRPr="00B8211B" w14:paraId="05751DA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4F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994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99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6.738.664,20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DE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1D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6.902.635,40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13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102,43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D5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B36CF6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8A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20DA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F1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36.457,76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CA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E7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87.574,35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58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240,21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A1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B012AC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26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CE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4F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190.000,50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21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389.486,60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91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343.772,60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44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180,93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01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88,26</w:t>
            </w:r>
          </w:p>
        </w:tc>
      </w:tr>
      <w:tr w:rsidR="00B8211B" w:rsidRPr="00B8211B" w14:paraId="36E614D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42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418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D3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190.000,50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D5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A3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343.772,60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B2B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180,93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A1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9458B6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BE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D3CF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11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1.094.240,37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F1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1.219.785,70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0A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1.134.856,97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5D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1F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93,04</w:t>
            </w:r>
          </w:p>
        </w:tc>
      </w:tr>
      <w:tr w:rsidR="00B8211B" w:rsidRPr="00B8211B" w14:paraId="0EF816E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31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3F2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F66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1.094.240,37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12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A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1.134.856,97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76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103,71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C32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400481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E8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63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29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10.476.170,14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C7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13.081.461,86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BE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11.991.376,40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AC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114,46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54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91,67</w:t>
            </w:r>
          </w:p>
        </w:tc>
      </w:tr>
      <w:tr w:rsidR="00B8211B" w:rsidRPr="00B8211B" w14:paraId="78D44A2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FC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0E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B7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448.593,96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49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564.510,64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94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473.462,88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D6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105,54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075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83,87</w:t>
            </w:r>
          </w:p>
        </w:tc>
      </w:tr>
      <w:tr w:rsidR="00B8211B" w:rsidRPr="00B8211B" w14:paraId="35DFBA9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BA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3B7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16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29.346,60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3F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68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41.810,52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1C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142,47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00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3A6AF7E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25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C1A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A9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399.090,00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F0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3A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414.785,36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A65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103,93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FC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8046D3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DF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lastRenderedPageBreak/>
              <w:t>3213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38A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5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17.395,36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1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01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12.660,00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73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72,78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62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8E0236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48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37F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50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2.762,00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50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6A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4.207,00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BD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152,32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56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DA9580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D5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6C4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7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1.812.215,49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020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1.757.868,14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23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1.593.727,57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B0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87,94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3F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90,66</w:t>
            </w:r>
          </w:p>
        </w:tc>
      </w:tr>
      <w:tr w:rsidR="00B8211B" w:rsidRPr="00B8211B" w14:paraId="62D5509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35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A495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D9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275.236,88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AD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A3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281.752,27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97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102,37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B2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831EC9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08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1AB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AD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281.086,57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C1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86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364.791,58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19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129,78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0A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098DFD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F4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E60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83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1.139.523,29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3EA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03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795.648,19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BD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69,82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89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C09EA6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79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BAB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09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14.394,43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5D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61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30.852,62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ED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214,34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22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1D8E24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90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214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44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97.603,02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46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B1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99.059,93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AF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101,49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F0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B9D19E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6A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3227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E5CA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65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4.371,30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4D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B5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21.622,98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A6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494,66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DE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F06908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D5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565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B0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7.500.070,14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66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9.664.232,80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77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9.003.536,92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AC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120,05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67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93,16</w:t>
            </w:r>
          </w:p>
        </w:tc>
      </w:tr>
      <w:tr w:rsidR="00B8211B" w:rsidRPr="00B8211B" w14:paraId="5200578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D2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943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ED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303.531,37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97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C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257.667,13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B1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84,89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A3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132151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01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BE0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87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2.525.984,80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01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B3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3.979.206,54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EC2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157,53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4C1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178BD2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A5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8AB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DE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171.799,64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57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808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352.083,25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8E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204,94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13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A883FFE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A2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68B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95C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2.253.060,40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7B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A9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2.265.024,51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EA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100,53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53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62561B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6E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76C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BE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22.060,00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4D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59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47.282,50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3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214,34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20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A7FAEB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A6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A01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97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259.429,34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A9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2F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145.357,97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87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56,03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E1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99C16B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12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E69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E1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998.644,71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EBF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66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1.022.488,12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AE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102,39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94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DFD1C5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CC8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3238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A45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87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204.494,76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1D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87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207.075,33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0D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101,26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D0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EFF18A2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87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3239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790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BA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761.065,12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AF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03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727.351,57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0A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95,57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74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34A907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79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D7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DC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9.604,25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0D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E1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8.244,00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63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E5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66,48</w:t>
            </w:r>
          </w:p>
        </w:tc>
      </w:tr>
      <w:tr w:rsidR="00B8211B" w:rsidRPr="00B8211B" w14:paraId="10EE420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9D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3241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1EC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8E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9.604,25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5A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17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8.244,00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E2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85,84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F7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2E022E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BA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93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C5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705.686,30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3C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1.082.450,28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54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912.405,03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FF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129,29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65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84,29</w:t>
            </w:r>
          </w:p>
        </w:tc>
      </w:tr>
      <w:tr w:rsidR="00B8211B" w:rsidRPr="00B8211B" w14:paraId="3353303A" w14:textId="77777777" w:rsidTr="003A58CE">
        <w:trPr>
          <w:trHeight w:val="16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6D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DDC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19A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172.328,32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22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3B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320.854,88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CD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186,19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E0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002D0E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3B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B9AB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D4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130.422,97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6B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27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137.511,87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3B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105,44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A2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1F5317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C5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282C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CA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170.083,06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7A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41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225.398,11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6C1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132,52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FB2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B443BB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A6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B8B9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Članarine i norme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58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53.193,54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DC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21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54.748,66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79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102,92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99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758361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12F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FDE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23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66.003,14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ED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EE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103.799,85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DF1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157,27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AE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6FAF9CE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DE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DCE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5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54.149,46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59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8D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7.691,92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12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17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2E81F9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76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3299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C6B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87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59.505,81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25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1E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62.399,74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40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104,86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23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1CCD9D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81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FB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45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135.108,18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00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163.766,10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6AF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140.025,16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9F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103,64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9F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85,50</w:t>
            </w:r>
          </w:p>
        </w:tc>
      </w:tr>
      <w:tr w:rsidR="00B8211B" w:rsidRPr="00B8211B" w14:paraId="564002E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A4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7A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C39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55.035,28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2A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7E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67.421,33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C6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122,51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D4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92,36</w:t>
            </w:r>
          </w:p>
        </w:tc>
      </w:tr>
      <w:tr w:rsidR="00B8211B" w:rsidRPr="00B8211B" w14:paraId="15C71286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F8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325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Kamate za primljene kredite i zajmove od kreditnih i ostalih financijskih institucija u javnom sekto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4B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C5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41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6.752,89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91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C1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DD3F7A6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95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697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Kamate za primljene kredite i zajmove od kreditnih i ostalih financijskih institucija izvan javnog 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72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55.035,28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E7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33D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60.668,44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8D2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110,24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BC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4752D2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93A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9A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F13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80.072,90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38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90.766,10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66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72.603,83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23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90,67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4D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79,99</w:t>
            </w:r>
          </w:p>
        </w:tc>
      </w:tr>
      <w:tr w:rsidR="00B8211B" w:rsidRPr="00B8211B" w14:paraId="6D51813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48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355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08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68.075,01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BA6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03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61.427,70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919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90,24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B5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EE9A01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67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EF2A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CB2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9,25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7A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B9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481,71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D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5.207,68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72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DBE8C2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0C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3433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B58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41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939,38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121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82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712,22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AB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75,82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67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EF3871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8E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3434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B01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1F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11.049,26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71E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3B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9.982,20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83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90,34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8E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09FFF8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50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E9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E4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109,29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9B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6D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12.762,05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22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11.677,23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76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2,41</w:t>
            </w:r>
          </w:p>
        </w:tc>
      </w:tr>
      <w:tr w:rsidR="00B8211B" w:rsidRPr="00B8211B" w14:paraId="03AEB5D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33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CE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ED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109,29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DE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53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12.762,05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4F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11.677,23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EC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2,41</w:t>
            </w:r>
          </w:p>
        </w:tc>
      </w:tr>
      <w:tr w:rsidR="00B8211B" w:rsidRPr="00B8211B" w14:paraId="2186210B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20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3522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BCD1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B9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109,29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9C8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30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12.762,05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5E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11.677,23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2C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3822B1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F0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073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30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2.945.938,26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67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3.422.286,04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78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3.070.657,72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85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104,23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CB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89,73</w:t>
            </w:r>
          </w:p>
        </w:tc>
      </w:tr>
      <w:tr w:rsidR="00B8211B" w:rsidRPr="00B8211B" w14:paraId="7EAAF06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C36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1B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77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1.228.263,72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DE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1.300.126,04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70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1.080.605,69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94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87,98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E0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83,12</w:t>
            </w:r>
          </w:p>
        </w:tc>
      </w:tr>
      <w:tr w:rsidR="00B8211B" w:rsidRPr="00B8211B" w14:paraId="01488E7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61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64D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81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139.861,90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2B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F6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580.000,00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DCC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414,69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F6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EE738B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798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3632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BAB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8F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1.088.401,82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F1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FF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500.605,69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03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45,99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8A9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1035A4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6DB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47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C9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1.717.674,54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3C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2.122.160,00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8A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1.990.052,03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77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115,86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87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93,77</w:t>
            </w:r>
          </w:p>
        </w:tc>
      </w:tr>
      <w:tr w:rsidR="00B8211B" w:rsidRPr="00B8211B" w14:paraId="3E030CE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3C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3661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72D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E6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1.717.674,54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67E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FD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1.990.052,03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78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115,86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40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3D735E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6A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73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83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480.720,06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AD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70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567.416,98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49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118,03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A7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76,75</w:t>
            </w:r>
          </w:p>
        </w:tc>
      </w:tr>
      <w:tr w:rsidR="00B8211B" w:rsidRPr="00B8211B" w14:paraId="1DFC03F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4B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D7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F0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480.720,06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02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4D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567.416,98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6D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118,03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0B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76,75</w:t>
            </w:r>
          </w:p>
        </w:tc>
      </w:tr>
      <w:tr w:rsidR="00B8211B" w:rsidRPr="00B8211B" w14:paraId="7771362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105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3721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DC6B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2F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310.914,00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DA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5D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360.204,96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E5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115,85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DB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280D3B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27A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3722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712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E5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169.806,06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F7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94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207.212,02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A5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122,03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FAA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3B17A3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DC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C4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E5B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1.493.918,86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9B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2.263.657,17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25A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1.924.062,36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12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128,79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D7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85,00</w:t>
            </w:r>
          </w:p>
        </w:tc>
      </w:tr>
      <w:tr w:rsidR="00B8211B" w:rsidRPr="00B8211B" w14:paraId="26BC519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42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74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E6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1.474.918,86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49F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1.800.519,67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5F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1.760.924,86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6E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119,39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89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97,80</w:t>
            </w:r>
          </w:p>
        </w:tc>
      </w:tr>
      <w:tr w:rsidR="00B8211B" w:rsidRPr="00B8211B" w14:paraId="5DA1BEE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18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30F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F7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1.474.320,11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6E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72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1.760.924,86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25B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119,44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B2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63B40FF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23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6D9A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F2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598,75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B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60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47D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F8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81A49C0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725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17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3CA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7B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163.137,50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E4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163.137,50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B23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858,62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64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8211B" w:rsidRPr="00B8211B" w14:paraId="6A1A53B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20C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3831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ED2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A0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19.000,00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03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72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163.137,50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49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858,62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31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1AEFC9E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7B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E2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Izvanredni rashodi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67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EF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3F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7EF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9A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211B" w:rsidRPr="00B8211B" w14:paraId="09715EEF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22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3851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7E1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Nepredviđeni rashodi do visine proračunske pričuve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E41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34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92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4C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B8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7D7F79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F1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155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55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42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A0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53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C2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8211B" w:rsidRPr="00B8211B" w14:paraId="71FFE04F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BB1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3861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592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Kapitalne pomoći kreditnim i ostalim financijskim institucijama te trgovačkim društvima u javnom </w:t>
            </w:r>
            <w:proofErr w:type="spellStart"/>
            <w:r w:rsidRPr="00B8211B">
              <w:rPr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50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10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56D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0B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5B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41C7CDD" w14:textId="77777777" w:rsidTr="00B8211B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FF0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3862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B9C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Kapitalne pomoći kreditnim i ostalim financijskim institucijama te trgovačkim društvima i zadrugama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B2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5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CA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82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D1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0DC5DF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17C1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F6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C95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14.238.308,97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55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9.268.384,39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78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9.739.905,39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01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68,41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7D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105,09</w:t>
            </w:r>
          </w:p>
        </w:tc>
      </w:tr>
      <w:tr w:rsidR="00B8211B" w:rsidRPr="00B8211B" w14:paraId="46B2C4F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B74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6BF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B8211B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B8211B">
              <w:rPr>
                <w:b/>
                <w:bCs/>
                <w:sz w:val="20"/>
                <w:szCs w:val="20"/>
              </w:rPr>
              <w:t xml:space="preserve"> dugotrajne imovine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C3C6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55.239,92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C7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357.252,52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3C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282.606,52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D2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511,60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26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79,11</w:t>
            </w:r>
          </w:p>
        </w:tc>
      </w:tr>
      <w:tr w:rsidR="00B8211B" w:rsidRPr="00B8211B" w14:paraId="3595FC0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7E7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963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71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55.239,92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C2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357.252,52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6B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282.606,52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E6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511,60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23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79,11</w:t>
            </w:r>
          </w:p>
        </w:tc>
      </w:tr>
      <w:tr w:rsidR="00B8211B" w:rsidRPr="00B8211B" w14:paraId="6E13612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B7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4111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1A4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52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55.239,92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F3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30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282.606,52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A8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511,60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D6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3053758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D58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ED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4E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5.520.918,82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C0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3.323.223,80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2A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3.885.873,41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9E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70,38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6F2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116,93</w:t>
            </w:r>
          </w:p>
        </w:tc>
      </w:tr>
      <w:tr w:rsidR="00B8211B" w:rsidRPr="00B8211B" w14:paraId="31334B5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BA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D8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2D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4.287.874,52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93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2.370.954,54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A9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3.131.765,98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148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73,04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0E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132,09</w:t>
            </w:r>
          </w:p>
        </w:tc>
      </w:tr>
      <w:tr w:rsidR="00B8211B" w:rsidRPr="00B8211B" w14:paraId="2DF81FF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A4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4212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8668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CF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B2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DF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AB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29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55EC4DD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A7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4213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B78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64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539.887,13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1C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EA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2.342.117,74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3F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433,82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FC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24A9D7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7B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4214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8E1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E3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3.747.987,39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82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5D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789.648,24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16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21,07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E3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212A5BDA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2AE9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FDC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9F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861.424,76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26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460.273,01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34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330.351,26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21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38,35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1697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71,77</w:t>
            </w:r>
          </w:p>
        </w:tc>
      </w:tr>
      <w:tr w:rsidR="00B8211B" w:rsidRPr="00B8211B" w14:paraId="04643ED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F1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4221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970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43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146.772,57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26D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50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111.014,69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6FE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75,64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E44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4A7D2D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05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4222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9D63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B1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47.471,00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92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DCA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05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66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75F61E1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29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4223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601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F7A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144.571,00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67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4C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28.935,20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A70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3D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F3AF9C5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CDC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4225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B86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7F9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39.986,00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B4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44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A7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02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52B28BE3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6D7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4227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8BA3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BA1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482.624,19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383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48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190.401,37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40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39,45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C02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0DB01B44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1E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31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07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65.744,54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1A7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EE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46.034,92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F81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70,02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E4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92,25</w:t>
            </w:r>
          </w:p>
        </w:tc>
      </w:tr>
      <w:tr w:rsidR="00B8211B" w:rsidRPr="00B8211B" w14:paraId="106BBF8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3E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4241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C08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6F9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65.744,54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8B7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48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46.034,92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6B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70,02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A2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381DC8F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D75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E4E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72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305.875,00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3F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442.096,25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11C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377.721,25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73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123,49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5C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85,44</w:t>
            </w:r>
          </w:p>
        </w:tc>
      </w:tr>
      <w:tr w:rsidR="00B8211B" w:rsidRPr="00B8211B" w14:paraId="516C091B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619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4262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5305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CE9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52B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A3F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173.371,25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4D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FF46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72F41DC9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122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4263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1E466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F1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305.875,00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71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25C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204.350,00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79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66,81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ED8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</w:p>
        </w:tc>
      </w:tr>
      <w:tr w:rsidR="00B8211B" w:rsidRPr="00B8211B" w14:paraId="4873B697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680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75A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324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8.662.150,23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83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5.587.908,07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FA7D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5.571.425,46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EB5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2AA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99,71</w:t>
            </w:r>
          </w:p>
        </w:tc>
      </w:tr>
      <w:tr w:rsidR="00B8211B" w:rsidRPr="00B8211B" w14:paraId="694D1196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8BD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1E2" w14:textId="77777777" w:rsidR="00B8211B" w:rsidRPr="00B8211B" w:rsidRDefault="00B8211B" w:rsidP="00B8211B">
            <w:pPr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FEB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8.662.150,23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BE3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5.587.908,07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6480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5.571.425,46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E99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64,32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A9E" w14:textId="77777777" w:rsidR="00B8211B" w:rsidRPr="00B8211B" w:rsidRDefault="00B8211B" w:rsidP="00B8211B">
            <w:pPr>
              <w:jc w:val="right"/>
              <w:rPr>
                <w:b/>
                <w:bCs/>
                <w:sz w:val="20"/>
                <w:szCs w:val="20"/>
              </w:rPr>
            </w:pPr>
            <w:r w:rsidRPr="00B8211B">
              <w:rPr>
                <w:b/>
                <w:bCs/>
                <w:sz w:val="20"/>
                <w:szCs w:val="20"/>
              </w:rPr>
              <w:t>99,71</w:t>
            </w:r>
          </w:p>
        </w:tc>
      </w:tr>
      <w:tr w:rsidR="00B8211B" w:rsidRPr="00B8211B" w14:paraId="6DE0429C" w14:textId="77777777" w:rsidTr="00B821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A0CD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4511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DB53B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93B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8.662.150,23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BF7E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4EF2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5.571.425,46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56D5" w14:textId="77777777" w:rsidR="00B8211B" w:rsidRPr="00B8211B" w:rsidRDefault="00B8211B" w:rsidP="00B8211B">
            <w:pPr>
              <w:jc w:val="right"/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64,32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F6B4" w14:textId="77777777" w:rsidR="00B8211B" w:rsidRPr="00B8211B" w:rsidRDefault="00B8211B" w:rsidP="00B8211B">
            <w:pPr>
              <w:rPr>
                <w:sz w:val="20"/>
                <w:szCs w:val="20"/>
              </w:rPr>
            </w:pPr>
            <w:r w:rsidRPr="00B8211B">
              <w:rPr>
                <w:sz w:val="20"/>
                <w:szCs w:val="20"/>
              </w:rPr>
              <w:t> </w:t>
            </w:r>
          </w:p>
        </w:tc>
      </w:tr>
    </w:tbl>
    <w:p w14:paraId="73FE07D0" w14:textId="737EB856" w:rsidR="00B8211B" w:rsidRDefault="00B8211B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5F72AC28" w14:textId="4C3B111D" w:rsidR="00B8211B" w:rsidRDefault="00B8211B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110C53FD" w14:textId="20FECB35" w:rsidR="003A58CE" w:rsidRDefault="003A58CE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69C66FDE" w14:textId="7CBE79A7" w:rsidR="003A58CE" w:rsidRDefault="003A58CE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324DEBFD" w14:textId="7263072C" w:rsidR="003A58CE" w:rsidRDefault="003A58CE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5C172103" w14:textId="7E5A5E02" w:rsidR="003A58CE" w:rsidRDefault="003A58CE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6BD55E79" w14:textId="77777777" w:rsidR="003A58CE" w:rsidRDefault="003A58CE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48CAE5B2" w14:textId="3BC8AF99" w:rsidR="00B8211B" w:rsidRDefault="00B8211B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1D05654A" w14:textId="77777777" w:rsidR="00B8211B" w:rsidRDefault="00B8211B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2260B99B" w14:textId="77777777" w:rsidR="0006178C" w:rsidRDefault="0006178C" w:rsidP="00C57C94">
      <w:pPr>
        <w:pStyle w:val="Subtitle1"/>
        <w:rPr>
          <w:rFonts w:ascii="Times New Roman" w:hAnsi="Times New Roman"/>
          <w:sz w:val="24"/>
          <w:szCs w:val="24"/>
        </w:rPr>
      </w:pPr>
    </w:p>
    <w:tbl>
      <w:tblPr>
        <w:tblW w:w="14285" w:type="dxa"/>
        <w:tblLook w:val="04A0" w:firstRow="1" w:lastRow="0" w:firstColumn="1" w:lastColumn="0" w:noHBand="0" w:noVBand="1"/>
      </w:tblPr>
      <w:tblGrid>
        <w:gridCol w:w="6804"/>
        <w:gridCol w:w="1861"/>
        <w:gridCol w:w="1660"/>
        <w:gridCol w:w="1720"/>
        <w:gridCol w:w="1120"/>
        <w:gridCol w:w="1120"/>
      </w:tblGrid>
      <w:tr w:rsidR="008677B2" w:rsidRPr="006F6A35" w14:paraId="086B23EC" w14:textId="77777777" w:rsidTr="00711434">
        <w:trPr>
          <w:trHeight w:val="300"/>
        </w:trPr>
        <w:tc>
          <w:tcPr>
            <w:tcW w:w="1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1CE" w14:textId="42376CCF" w:rsidR="008677B2" w:rsidRPr="006F6A35" w:rsidRDefault="008677B2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10" w:name="_Toc100757151"/>
            <w:r w:rsidRPr="006F6A35">
              <w:rPr>
                <w:rFonts w:ascii="Times New Roman" w:hAnsi="Times New Roman"/>
                <w:sz w:val="24"/>
                <w:szCs w:val="24"/>
              </w:rPr>
              <w:lastRenderedPageBreak/>
              <w:t>2. A. 2. RAČUN PRIHODA I RASHODA - PREMA IZVORIMA FINANCIRANJA</w:t>
            </w:r>
            <w:bookmarkEnd w:id="1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320" w14:textId="77777777" w:rsidR="008677B2" w:rsidRPr="006F6A35" w:rsidRDefault="008677B2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A0" w14:paraId="2787A961" w14:textId="77777777" w:rsidTr="003A58CE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A6D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915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165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F6C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90C2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A1B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1ECB290F" w14:textId="77777777" w:rsidTr="00D14BA0">
        <w:trPr>
          <w:trHeight w:val="300"/>
        </w:trPr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13A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62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FED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625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B7B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6C1CACF9" w14:textId="77777777" w:rsidTr="003A58CE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316" w14:textId="77777777" w:rsidR="00D14BA0" w:rsidRDefault="00D14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BROJČANA OZNAKA I NAZIV IZVORA FINANCIRANJA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D7F" w14:textId="77777777" w:rsidR="00D14BA0" w:rsidRDefault="00D14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0BD" w14:textId="77777777" w:rsidR="00D14BA0" w:rsidRDefault="00D14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IZVORNI PLAN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2963" w14:textId="77777777" w:rsidR="00D14BA0" w:rsidRDefault="00D14B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IZVRŠENJE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5EE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9292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INDEKS</w:t>
            </w:r>
          </w:p>
        </w:tc>
      </w:tr>
      <w:tr w:rsidR="00D14BA0" w14:paraId="526B8B4C" w14:textId="77777777" w:rsidTr="003A58CE">
        <w:trPr>
          <w:trHeight w:val="24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C6AB" w14:textId="77777777" w:rsidR="00D14BA0" w:rsidRDefault="00D14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4B7D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CB2F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9C92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665A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4/2*100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7850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4/3*100</w:t>
            </w:r>
          </w:p>
        </w:tc>
      </w:tr>
      <w:tr w:rsidR="00D14BA0" w14:paraId="397C0939" w14:textId="77777777" w:rsidTr="003A58CE">
        <w:trPr>
          <w:trHeight w:val="24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D494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EFCE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9AF6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BA23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CAC6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E3B9" w14:textId="77777777" w:rsidR="00D14BA0" w:rsidRDefault="00D14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14BA0" w14:paraId="108A4664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A174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SVEUKUPNI PRIHODI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BF8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35.557.270,45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5B9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38.798.691,90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157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36.754.924,81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322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81B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94,73</w:t>
            </w:r>
          </w:p>
        </w:tc>
      </w:tr>
      <w:tr w:rsidR="00D14BA0" w14:paraId="59D3812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5F0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Opći prihodi i primici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71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13.204.968,56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B1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14.764.826,90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B5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15.797.765,16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02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38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107,00</w:t>
            </w:r>
          </w:p>
        </w:tc>
      </w:tr>
      <w:tr w:rsidR="00D14BA0" w14:paraId="5ABF1C9A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46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Opći prihodi i primici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23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13.204.968,56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45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14.764.826,90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CB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15.797.765,16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1D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30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</w:t>
            </w:r>
          </w:p>
        </w:tc>
      </w:tr>
      <w:tr w:rsidR="00D14BA0" w14:paraId="15A4A8A7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3774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Vlastiti prihodi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27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49.614,95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D8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80.903,17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48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63.384,46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4B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F8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78,35</w:t>
            </w:r>
          </w:p>
        </w:tc>
      </w:tr>
      <w:tr w:rsidR="00D14BA0" w14:paraId="096157E3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BF2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Vlastiti prihodi - proračunski korisnici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C4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49.614,95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1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80.903,17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64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63.384,46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B0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2E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</w:t>
            </w:r>
          </w:p>
        </w:tc>
      </w:tr>
      <w:tr w:rsidR="00D14BA0" w14:paraId="4BC74FC1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57E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Prihodi za posebne namjene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0B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10.969.517,99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5E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12.250.377,15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FB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10.890.326,65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2F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9A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88,90</w:t>
            </w:r>
          </w:p>
        </w:tc>
      </w:tr>
      <w:tr w:rsidR="00D14BA0" w14:paraId="76B9A696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8F9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Prihodi posebne namjene - komunalna naknada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34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3.931.675,19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36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59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3.867.726,23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B5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CB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87,90</w:t>
            </w:r>
          </w:p>
        </w:tc>
      </w:tr>
      <w:tr w:rsidR="00D14BA0" w14:paraId="2A258FA8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CE17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Prihodi posebne namjene - komunalni doprinos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D1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4.343.296,94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2A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F9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3.916.575,91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8C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26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87,04</w:t>
            </w:r>
          </w:p>
        </w:tc>
      </w:tr>
      <w:tr w:rsidR="00D14BA0" w14:paraId="62831436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F49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Prihodi posebne namjene - boravišne pristojbe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AB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103.740,62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B9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66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202.748,32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2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10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</w:tr>
      <w:tr w:rsidR="00D14BA0" w14:paraId="235B8FFA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351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Prihodi posebne namjene - spomenička renta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BD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43.515,05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54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DD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49.444,90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15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FC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93,29</w:t>
            </w:r>
          </w:p>
        </w:tc>
      </w:tr>
      <w:tr w:rsidR="00D14BA0" w14:paraId="7AD51FCA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A4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Prihodi posebne namjene - poljoprivredno zemljište </w:t>
            </w:r>
            <w:proofErr w:type="spellStart"/>
            <w:r>
              <w:rPr>
                <w:sz w:val="20"/>
                <w:szCs w:val="20"/>
              </w:rPr>
              <w:t>rh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7E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731.316,59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8A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15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745.115,72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85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EF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94,92</w:t>
            </w:r>
          </w:p>
        </w:tc>
      </w:tr>
      <w:tr w:rsidR="00D14BA0" w14:paraId="1A50976D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931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Prihodi posebne namjene - ostali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22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1.089.226,62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13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1.109.000,00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CC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1.098.950,19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30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E2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99,09</w:t>
            </w:r>
          </w:p>
        </w:tc>
      </w:tr>
      <w:tr w:rsidR="00D14BA0" w14:paraId="63A1B084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FD1A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Prihodi posebne namjene - proračunski korisnici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36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726.746,98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E4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1.198.377,15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BB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1.009.765,38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247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05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84,26</w:t>
            </w:r>
          </w:p>
        </w:tc>
      </w:tr>
      <w:tr w:rsidR="00D14BA0" w14:paraId="217389EC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9BE8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Pomoći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8F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7.197.408,21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B8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5.612.891,67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7F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5.645.977,42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53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A4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100,59</w:t>
            </w:r>
          </w:p>
        </w:tc>
      </w:tr>
      <w:tr w:rsidR="00D14BA0" w14:paraId="699BFA70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F8AD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Pomoći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EBC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6.621.404,99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0F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4.895.071,67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7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4.989.740,71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E8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60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101,93</w:t>
            </w:r>
          </w:p>
        </w:tc>
      </w:tr>
      <w:tr w:rsidR="00D14BA0" w14:paraId="1CED1AC0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8C5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Pomoći - proračunski korisnici (grad)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79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576.003,22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F1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717.820,00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AC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656.236,71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91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02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91,42</w:t>
            </w:r>
          </w:p>
        </w:tc>
      </w:tr>
      <w:tr w:rsidR="00D14BA0" w14:paraId="44B2612A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A65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Donacije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BF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167.392,53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1E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49.693,01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81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222.753,90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88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AC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448,26</w:t>
            </w:r>
          </w:p>
        </w:tc>
      </w:tr>
      <w:tr w:rsidR="00D14BA0" w14:paraId="7F3AA6BC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5F2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Donacije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FC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5C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62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189.644,81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4B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0C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0DFCC01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785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Donacije - proračunski korisnici (grad)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61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21.932,92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C4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E0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BE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77F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7DF78132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37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Donacije - proračunski korisnici (direktno)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0A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50.959,61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6F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46.693,01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8D1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33.109,09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3A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81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70,91</w:t>
            </w:r>
          </w:p>
        </w:tc>
      </w:tr>
      <w:tr w:rsidR="00D14BA0" w14:paraId="351171A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4916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Prihodi od </w:t>
            </w:r>
            <w:proofErr w:type="spellStart"/>
            <w:r>
              <w:rPr>
                <w:b/>
                <w:bCs/>
                <w:sz w:val="20"/>
                <w:szCs w:val="20"/>
              </w:rPr>
              <w:t>nefin.imovine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b/>
                <w:bCs/>
                <w:sz w:val="20"/>
                <w:szCs w:val="20"/>
              </w:rPr>
              <w:t>osig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67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3.968.368,21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23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6.040.000,00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CD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4.134.717,22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29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53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68,46</w:t>
            </w:r>
          </w:p>
        </w:tc>
      </w:tr>
      <w:tr w:rsidR="00D14BA0" w14:paraId="33B8B40E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D08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Prihodi od </w:t>
            </w:r>
            <w:proofErr w:type="spellStart"/>
            <w:r>
              <w:rPr>
                <w:sz w:val="20"/>
                <w:szCs w:val="20"/>
              </w:rPr>
              <w:t>nefin.imovine</w:t>
            </w:r>
            <w:proofErr w:type="spellEnd"/>
            <w:r>
              <w:rPr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sz w:val="20"/>
                <w:szCs w:val="20"/>
              </w:rPr>
              <w:t>osig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0C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3.968.368,21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35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55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4.134.717,22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98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CD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</w:tr>
      <w:tr w:rsidR="00D14BA0" w14:paraId="21A04669" w14:textId="77777777" w:rsidTr="003A58C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4FA8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SVEUKUPNI RASHODI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C05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37.829.636,59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AA68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38.470.602,16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B29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35.915.045,38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3066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207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93,36</w:t>
            </w:r>
          </w:p>
        </w:tc>
      </w:tr>
      <w:tr w:rsidR="00D14BA0" w14:paraId="1188FB0D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C4F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Opći prihodi i primici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51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13.914.578,09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44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17.276.851,74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F7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15.105.414,66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1AD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ED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87,43</w:t>
            </w:r>
          </w:p>
        </w:tc>
      </w:tr>
      <w:tr w:rsidR="00D14BA0" w14:paraId="64590259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D16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Opći prihodi i primici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DC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13.914.578,09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07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17.276.851,74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434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15.105.414,66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A8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4F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87,43</w:t>
            </w:r>
          </w:p>
        </w:tc>
      </w:tr>
      <w:tr w:rsidR="00D14BA0" w14:paraId="3B7C3BDC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F483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Vlastiti prihodi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9C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38.379,63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A5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94.783,59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A7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47.169,80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98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0D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49,77</w:t>
            </w:r>
          </w:p>
        </w:tc>
      </w:tr>
      <w:tr w:rsidR="00D14BA0" w14:paraId="5899A530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2E68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Vlastiti prihodi - proračunski korisnici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A3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38.379,63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5C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94.783,59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5B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47.169,80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57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59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49,77</w:t>
            </w:r>
          </w:p>
        </w:tc>
      </w:tr>
      <w:tr w:rsidR="00D14BA0" w14:paraId="1EF4B6B0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007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Prihodi za posebne namjene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B0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8.647.450,58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A2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12.100.018,86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B2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12.340.373,40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64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7C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101,99</w:t>
            </w:r>
          </w:p>
        </w:tc>
      </w:tr>
      <w:tr w:rsidR="00D14BA0" w14:paraId="5AE2B631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EC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 Prihodi posebne namjene - komunalna naknada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5B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5.012.147,50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0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5.376.656,85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B9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5.263.099,18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A5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66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97,89</w:t>
            </w:r>
          </w:p>
        </w:tc>
      </w:tr>
      <w:tr w:rsidR="00D14BA0" w14:paraId="5C559956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4CC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Prihodi posebne namjene - komunalni doprinos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D2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1.017.687,08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0C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3.334.368,46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22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3.960.949,71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77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B6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118,79</w:t>
            </w:r>
          </w:p>
        </w:tc>
      </w:tr>
      <w:tr w:rsidR="00D14BA0" w14:paraId="301D1C4C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21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Prihodi posebne namjene - boravišne pristojbe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14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186.746,52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05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161.481,25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E0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161.481,25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4D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E7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14BA0" w14:paraId="5F237982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642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Prihodi posebne namjene - spomenička renta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BA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0E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112.733,75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47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120.865,00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EF6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A1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107,21</w:t>
            </w:r>
          </w:p>
        </w:tc>
      </w:tr>
      <w:tr w:rsidR="00D14BA0" w14:paraId="2D1F07A3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B4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Prihodi posebne namjene - poljoprivredno zemljište </w:t>
            </w:r>
            <w:proofErr w:type="spellStart"/>
            <w:r>
              <w:rPr>
                <w:sz w:val="20"/>
                <w:szCs w:val="20"/>
              </w:rPr>
              <w:t>rh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21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355.612,21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41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994.500,00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4A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943.192,59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C5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91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94,84</w:t>
            </w:r>
          </w:p>
        </w:tc>
      </w:tr>
      <w:tr w:rsidR="00D14BA0" w14:paraId="4C1AAC98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B37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Prihodi posebne namjene - ostali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98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1.293.832,86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C7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963.375,00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32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921.824,62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F9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22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95,69</w:t>
            </w:r>
          </w:p>
        </w:tc>
      </w:tr>
      <w:tr w:rsidR="00D14BA0" w14:paraId="0DC442A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21E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Prihodi posebne namjene - proračunski korisnici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1B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738.374,41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538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1.156.903,55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E21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968.961,05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00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CA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83,75</w:t>
            </w:r>
          </w:p>
        </w:tc>
      </w:tr>
      <w:tr w:rsidR="00D14BA0" w14:paraId="2BFA603F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68D7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Pomoći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31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6.054.307,48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AC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2.908.045,61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C8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2.972.013,86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C61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E4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102,20</w:t>
            </w:r>
          </w:p>
        </w:tc>
      </w:tr>
      <w:tr w:rsidR="00D14BA0" w14:paraId="42551CCE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0FC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Pomoći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1C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5.485.219,95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24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2.180.925,67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83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2.225.624,44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9B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4E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102,05</w:t>
            </w:r>
          </w:p>
        </w:tc>
      </w:tr>
      <w:tr w:rsidR="00D14BA0" w14:paraId="6A9DB4B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858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Pomoći - proračunski korisnici (grad)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C2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569.087,53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65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727.119,94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4E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746.389,42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40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39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102,65</w:t>
            </w:r>
          </w:p>
        </w:tc>
      </w:tr>
      <w:tr w:rsidR="00D14BA0" w14:paraId="5C60496F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6BD4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Donacije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95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158.969,68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87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51.761,61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61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232.038,21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7E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2F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448,28</w:t>
            </w:r>
          </w:p>
        </w:tc>
      </w:tr>
      <w:tr w:rsidR="00D14BA0" w14:paraId="24E9E0AA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1A4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Donacije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E9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A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54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189.644,81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65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8A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37B388C3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F5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Donacije - proračunski korisnici (grad)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92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20.725,78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68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5.068,60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EE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2.068,60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37D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6EC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40,81</w:t>
            </w:r>
          </w:p>
        </w:tc>
      </w:tr>
      <w:tr w:rsidR="00D14BA0" w14:paraId="17064115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75F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Donacije - proračunski korisnici (direktno)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F0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43.743,90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67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46.693,01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B42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40.324,80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24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31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86,36</w:t>
            </w:r>
          </w:p>
        </w:tc>
      </w:tr>
      <w:tr w:rsidR="00D14BA0" w14:paraId="4D1A46B7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7BCC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Prihodi od </w:t>
            </w:r>
            <w:proofErr w:type="spellStart"/>
            <w:r>
              <w:rPr>
                <w:b/>
                <w:bCs/>
                <w:sz w:val="20"/>
                <w:szCs w:val="20"/>
              </w:rPr>
              <w:t>nefin.imovine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b/>
                <w:bCs/>
                <w:sz w:val="20"/>
                <w:szCs w:val="20"/>
              </w:rPr>
              <w:t>osig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1A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3.196.659,16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6C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5.175.667,36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19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4.354.562,06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7B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6A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84,14</w:t>
            </w:r>
          </w:p>
        </w:tc>
      </w:tr>
      <w:tr w:rsidR="00D14BA0" w14:paraId="5B093C38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B06D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Prihodi od </w:t>
            </w:r>
            <w:proofErr w:type="spellStart"/>
            <w:r>
              <w:rPr>
                <w:sz w:val="20"/>
                <w:szCs w:val="20"/>
              </w:rPr>
              <w:t>nefin.imovine</w:t>
            </w:r>
            <w:proofErr w:type="spellEnd"/>
            <w:r>
              <w:rPr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sz w:val="20"/>
                <w:szCs w:val="20"/>
              </w:rPr>
              <w:t>osig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63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3.196.659,16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8F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5.175.667,36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6A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4.354.562,06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47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5C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84,14</w:t>
            </w:r>
          </w:p>
        </w:tc>
      </w:tr>
      <w:tr w:rsidR="00D14BA0" w14:paraId="7C593072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262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Namjenski primici od zaduživanja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E8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5.819.291,97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7F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863.473,39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22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863.473,39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4B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29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3FD61CC8" w14:textId="77777777" w:rsidTr="003A58CE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789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Namjenski primici od zaduživanja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A6A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5.819.291,97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02D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863.473,39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2E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863.473,39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E4A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0D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14:paraId="3DAF3F5E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71ED324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4496C553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671CD24C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57BCA2F2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7AC408FC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4D999B0A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18DDB344" w14:textId="77777777" w:rsidR="009B1FC1" w:rsidRDefault="009B1FC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C32E902" w14:textId="77777777" w:rsidR="00AD72E4" w:rsidRDefault="00AD72E4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7F5C2386" w14:textId="3BF0134A" w:rsidR="006F4711" w:rsidRDefault="006F471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420CA9D" w14:textId="77777777" w:rsidR="00E85850" w:rsidRDefault="00E85850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2D128CA0" w14:textId="77777777" w:rsidR="00D14BA0" w:rsidRDefault="00D14BA0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CCBB7F4" w14:textId="3BA99F08" w:rsidR="006F4711" w:rsidRDefault="006F4711" w:rsidP="00C57C94">
      <w:pPr>
        <w:pStyle w:val="Subtitle1"/>
        <w:rPr>
          <w:rFonts w:ascii="Times New Roman" w:hAnsi="Times New Roman"/>
          <w:sz w:val="24"/>
          <w:szCs w:val="24"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7268"/>
        <w:gridCol w:w="1660"/>
        <w:gridCol w:w="1660"/>
        <w:gridCol w:w="1660"/>
        <w:gridCol w:w="983"/>
        <w:gridCol w:w="983"/>
      </w:tblGrid>
      <w:tr w:rsidR="00D14BA0" w:rsidRPr="006F6A35" w14:paraId="478571D5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EB0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11" w:name="_Toc100757152"/>
            <w:r w:rsidRPr="006F6A35">
              <w:rPr>
                <w:rFonts w:ascii="Times New Roman" w:hAnsi="Times New Roman"/>
                <w:sz w:val="24"/>
                <w:szCs w:val="24"/>
              </w:rPr>
              <w:lastRenderedPageBreak/>
              <w:t>2. A. 3. RASHODI PREMA FUNKCIJSKOJ KLASIFIKACIJI</w:t>
            </w:r>
            <w:bookmarkEnd w:id="1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D62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252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FF4E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591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A9C" w14:textId="77777777" w:rsidR="00D14BA0" w:rsidRPr="006F6A35" w:rsidRDefault="00D14BA0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A0" w14:paraId="4EC44A79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614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4F8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F08D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5D9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CCA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1BBE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103F0404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6F0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D02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4B5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952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943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D73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591674D4" w14:textId="77777777" w:rsidTr="00D14BA0">
        <w:trPr>
          <w:trHeight w:val="255"/>
        </w:trPr>
        <w:tc>
          <w:tcPr>
            <w:tcW w:w="7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BC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I NAZIV FUNKCIJSKE KLASIFIKACIJE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E50F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34A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243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68B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0CC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D14BA0" w14:paraId="22B729CC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D73C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9FA0E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BC15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5908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54DB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44F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D14BA0" w14:paraId="16B85CCB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3932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2354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4A80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C313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A10B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307A0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4BA0" w14:paraId="2963EA1A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C9F27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278F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37.829.636,59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F88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38.470.602,16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D1B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35.915.045,38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8F4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A3C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93,36</w:t>
            </w:r>
          </w:p>
        </w:tc>
      </w:tr>
      <w:tr w:rsidR="00D14BA0" w14:paraId="672CCDC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4FE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46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6.432.926,79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E4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7.014.496,47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88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6.056.129,33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59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55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86,34</w:t>
            </w:r>
          </w:p>
        </w:tc>
      </w:tr>
      <w:tr w:rsidR="00D14BA0" w14:paraId="5F76DC6F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DD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Izvršna  i zakonodavna tijela, financijski i fiskalni poslovi, vanjski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4C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6.377.891,51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93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6.941.496,47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35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5.988.708,00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ED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7A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86,27</w:t>
            </w:r>
          </w:p>
        </w:tc>
      </w:tr>
      <w:tr w:rsidR="00D14BA0" w14:paraId="731E08E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807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 Transakcije vezane za javni dug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B0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55.035,28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C9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55D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67.421,33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67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9B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92,36</w:t>
            </w:r>
          </w:p>
        </w:tc>
      </w:tr>
      <w:tr w:rsidR="00D14BA0" w14:paraId="4C7567EC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B027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Obrana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C6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AE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3F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17.575,00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D0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23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5DDFF5F2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0C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 Civilna obrana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A8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0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C6F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17.575,00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5D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35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14BA0" w14:paraId="63D60413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37DA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87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1.733.121,20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0D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1.772.492,97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12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1.703.424,87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FC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79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96,10</w:t>
            </w:r>
          </w:p>
        </w:tc>
      </w:tr>
      <w:tr w:rsidR="00D14BA0" w14:paraId="53F67B1C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847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 Usluge protupožarne zaštite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17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1.718.208,70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0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1.753.492,97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93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1.686.924,87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C7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92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96,20</w:t>
            </w:r>
          </w:p>
        </w:tc>
      </w:tr>
      <w:tr w:rsidR="00D14BA0" w14:paraId="3CBFEC0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C9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55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14.912,50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D8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A4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4D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C14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86,84</w:t>
            </w:r>
          </w:p>
        </w:tc>
      </w:tr>
      <w:tr w:rsidR="00D14BA0" w14:paraId="5BC8FBD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7DB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AD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2.885.542,26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85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5.700.877,75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893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5.770.237,76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0F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A2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101,22</w:t>
            </w:r>
          </w:p>
        </w:tc>
      </w:tr>
      <w:tr w:rsidR="00D14BA0" w14:paraId="61F33F24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F5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Opći ekonomski, trgovački i poslovi vezani uz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A1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5.609,29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4F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58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18.262,05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A8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D1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D14BA0" w14:paraId="5481273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0FA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 Poljoprivreda, šumarstvo, ribarstvo i lov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C0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71.552,72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16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5F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228.579,49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5B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7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</w:t>
            </w:r>
          </w:p>
        </w:tc>
      </w:tr>
      <w:tr w:rsidR="00D14BA0" w14:paraId="7A1AB920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03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 Promet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E9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2.372.371,64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7F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4.566.457,06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77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5.247.169,89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941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F0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114,91</w:t>
            </w:r>
          </w:p>
        </w:tc>
      </w:tr>
      <w:tr w:rsidR="00D14BA0" w14:paraId="216ED89E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09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 Komunikacije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2E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60.351,00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4D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24.806,25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76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22.208,75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30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18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89,53</w:t>
            </w:r>
          </w:p>
        </w:tc>
      </w:tr>
      <w:tr w:rsidR="00D14BA0" w14:paraId="721A77E4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9B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 Ostale industrije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9A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375.657,61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18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321.814,44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A3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254.017,58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EA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C5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78,93</w:t>
            </w:r>
          </w:p>
        </w:tc>
      </w:tr>
      <w:tr w:rsidR="00D14BA0" w14:paraId="5A60E9B6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5CD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2F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4.456.689,47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38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90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1.370.937,02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72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91A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99,89</w:t>
            </w:r>
          </w:p>
        </w:tc>
      </w:tr>
      <w:tr w:rsidR="00D14BA0" w14:paraId="7DC14D2A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09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Gospodarenje otpadom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CF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3.768.287,56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B3E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73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582.723,27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CE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8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97,22</w:t>
            </w:r>
          </w:p>
        </w:tc>
      </w:tr>
      <w:tr w:rsidR="00D14BA0" w14:paraId="760F0A31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12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 Gospodarenje otpadnim vodama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5F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130.605,42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93A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75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276.352,46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9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7F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113,73</w:t>
            </w:r>
          </w:p>
        </w:tc>
      </w:tr>
      <w:tr w:rsidR="00D14BA0" w14:paraId="40A2D8FC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1FD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 Zaštita bioraznolikosti i krajolika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7E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356.837,50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25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F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342.612,50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C0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B5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D14BA0" w14:paraId="3E852A6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22B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 Poslovi i usluge zaštite okoliša koji nisu drugdje svrstani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19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200.958,99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F2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2A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169.248,79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93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B0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91,49</w:t>
            </w:r>
          </w:p>
        </w:tc>
      </w:tr>
      <w:tr w:rsidR="00D14BA0" w14:paraId="03A0DA4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7D8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Usluge unapređenja stanovanja i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32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5.001.858,03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6D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6.699.685,41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5C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6.417.626,67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D2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1E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95,79</w:t>
            </w:r>
          </w:p>
        </w:tc>
      </w:tr>
      <w:tr w:rsidR="00D14BA0" w14:paraId="60A2A1C1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8B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Razvoj stanovanja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BE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294.353,13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9D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2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876.602,61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B9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5A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  <w:tr w:rsidR="00D14BA0" w14:paraId="77FC6BB6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F6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 Razvoj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6D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742.449,87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C4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1.325.593,75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C0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1.271.043,75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B2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35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95,88</w:t>
            </w:r>
          </w:p>
        </w:tc>
      </w:tr>
      <w:tr w:rsidR="00D14BA0" w14:paraId="7951F909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8A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 Opskrba vodom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27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44.646,88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C7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7B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7A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D7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0E1230D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34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 Ulična rasvjeta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D0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2.613.448,06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CE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2.147.766,06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18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2.295.206,52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4E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4B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106,86</w:t>
            </w:r>
          </w:p>
        </w:tc>
      </w:tr>
      <w:tr w:rsidR="00D14BA0" w14:paraId="44C57FC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F1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 Rashodi vezani za stanovanje i kom. pogodnosti koji nisu drugdje svrstani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07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1.306.960,09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6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2.241.325,60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08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1.974.773,79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39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FE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88,11</w:t>
            </w:r>
          </w:p>
        </w:tc>
      </w:tr>
      <w:tr w:rsidR="00D14BA0" w14:paraId="2C227E7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BB6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01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382.674,29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58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429.186,04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FE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322.328,67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80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0D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75,10</w:t>
            </w:r>
          </w:p>
        </w:tc>
      </w:tr>
      <w:tr w:rsidR="00D14BA0" w14:paraId="47E7538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27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 Službe javnog zdravstva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28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293.674,29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72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337.186,04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47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234.328,67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90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1F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69,50</w:t>
            </w:r>
          </w:p>
        </w:tc>
      </w:tr>
      <w:tr w:rsidR="00D14BA0" w14:paraId="7E851717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FB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076 Poslovi i usluge zdravstva koji nisu drugdje svrstani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57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8D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FA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95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3B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95,65</w:t>
            </w:r>
          </w:p>
        </w:tc>
      </w:tr>
      <w:tr w:rsidR="00D14BA0" w14:paraId="3090A3D1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D80C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69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4.677.483,91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4DB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4.959.717,50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DA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4.388.232,96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14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B4A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88,48</w:t>
            </w:r>
          </w:p>
        </w:tc>
      </w:tr>
      <w:tr w:rsidR="00D14BA0" w14:paraId="52138A26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C66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 Službe rekreacije i sporta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75D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1.337.139,97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40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83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1.783.108,20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A6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D4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94,59</w:t>
            </w:r>
          </w:p>
        </w:tc>
      </w:tr>
      <w:tr w:rsidR="00D14BA0" w14:paraId="5039C43F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93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 Službe kulture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C3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3.302.383,94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CE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2.962.769,30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BD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2.492.239,06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2A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74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84,12</w:t>
            </w:r>
          </w:p>
        </w:tc>
      </w:tr>
      <w:tr w:rsidR="00D14BA0" w14:paraId="7426E3B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C7A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 Religijske i druge službe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B2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63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111.948,20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F2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112.885,70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D7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81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100,84</w:t>
            </w:r>
          </w:p>
        </w:tc>
      </w:tr>
      <w:tr w:rsidR="00D14BA0" w14:paraId="70FA6F27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ECF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38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11.394.326,97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09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9.396.551,02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95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8.921.041,14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55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58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94,94</w:t>
            </w:r>
          </w:p>
        </w:tc>
      </w:tr>
      <w:tr w:rsidR="00D14BA0" w14:paraId="74F7A446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21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 Predškolsko i osnovno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D4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11.218.876,97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2E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9.164.051,02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D3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8.716.741,14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EB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EE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95,12</w:t>
            </w:r>
          </w:p>
        </w:tc>
      </w:tr>
      <w:tr w:rsidR="00D14BA0" w14:paraId="4D1AE249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AE3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Srednjoškolsko 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13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4C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B6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AF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D3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88,11</w:t>
            </w:r>
          </w:p>
        </w:tc>
      </w:tr>
      <w:tr w:rsidR="00D14BA0" w14:paraId="5EE8647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C0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 Visoka naobrazba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D7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B3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B0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F9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F5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87,65</w:t>
            </w:r>
          </w:p>
        </w:tc>
      </w:tr>
      <w:tr w:rsidR="00D14BA0" w14:paraId="5F4900EC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13B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48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861.888,67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D2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1.107.520,00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AB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947.511,96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20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75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85,55</w:t>
            </w:r>
          </w:p>
        </w:tc>
      </w:tr>
      <w:tr w:rsidR="00D14BA0" w14:paraId="6CC10E68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70D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Bolest i invaliditet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4F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10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80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F3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79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D14BA0" w14:paraId="03D76050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F3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Starost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ED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AC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C40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8B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90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70,33</w:t>
            </w:r>
          </w:p>
        </w:tc>
      </w:tr>
      <w:tr w:rsidR="00D14BA0" w14:paraId="26E6D755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91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Sljednici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11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2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56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D6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81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81,45</w:t>
            </w:r>
          </w:p>
        </w:tc>
      </w:tr>
      <w:tr w:rsidR="00D14BA0" w14:paraId="75D84AAD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FF7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Obitelj i djeca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02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114.651,62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64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FA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105.521,09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7A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9A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63,57</w:t>
            </w:r>
          </w:p>
        </w:tc>
      </w:tr>
      <w:tr w:rsidR="00D14BA0" w14:paraId="0A7AF035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DF8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Stanovanje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4F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105.268,44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7E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A8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107.056,39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36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0B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62,97</w:t>
            </w:r>
          </w:p>
        </w:tc>
      </w:tr>
      <w:tr w:rsidR="00D14BA0" w14:paraId="7D2A6AAE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A2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Socijalna pomoć stanovništvu koje nije obuhvaćeno redovnim socijalnim programima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69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462.743,61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F6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656.020,00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53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649.694,98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3E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95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99,04</w:t>
            </w:r>
          </w:p>
        </w:tc>
      </w:tr>
      <w:tr w:rsidR="00D14BA0" w14:paraId="05676F6E" w14:textId="77777777" w:rsidTr="00D14BA0">
        <w:trPr>
          <w:trHeight w:val="2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85C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105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6BB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503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7C5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E31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14:paraId="7546C5A1" w14:textId="37189585" w:rsidR="00D14BA0" w:rsidRDefault="00D14BA0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452CD5AD" w14:textId="78AB94A9" w:rsidR="00D14BA0" w:rsidRDefault="00D14BA0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6973046A" w14:textId="77777777" w:rsidR="00D14BA0" w:rsidRDefault="00D14BA0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8499118" w14:textId="77777777" w:rsidR="006F4711" w:rsidRDefault="006F471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094FFF1E" w14:textId="77777777" w:rsidR="006F4711" w:rsidRPr="004064E3" w:rsidRDefault="006F4711" w:rsidP="00C57C94">
      <w:pPr>
        <w:pStyle w:val="Subtitle1"/>
        <w:rPr>
          <w:rFonts w:ascii="Times New Roman" w:hAnsi="Times New Roman"/>
          <w:sz w:val="24"/>
          <w:szCs w:val="24"/>
        </w:rPr>
      </w:pPr>
    </w:p>
    <w:p w14:paraId="5CFADA9E" w14:textId="54A2D8F5" w:rsidR="002C0056" w:rsidRDefault="002C0056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066A19DB" w14:textId="2F6E9AC9" w:rsidR="00D14BA0" w:rsidRDefault="00D14BA0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4134DBA6" w14:textId="23DB45D9" w:rsidR="00D14BA0" w:rsidRDefault="00D14BA0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2E1367CE" w14:textId="77777777" w:rsidR="00D14BA0" w:rsidRPr="00BB1CB4" w:rsidRDefault="00D14BA0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1EA1CC7F" w14:textId="77777777" w:rsidR="00BB1CB4" w:rsidRDefault="00BB1CB4" w:rsidP="00D459D7">
      <w:pPr>
        <w:pStyle w:val="Subtitle1"/>
        <w:rPr>
          <w:rFonts w:ascii="Times New Roman" w:hAnsi="Times New Roman"/>
        </w:rPr>
      </w:pPr>
    </w:p>
    <w:p w14:paraId="402EE998" w14:textId="77777777" w:rsidR="00BB1CB4" w:rsidRDefault="00BB1CB4" w:rsidP="00D459D7">
      <w:pPr>
        <w:pStyle w:val="Subtitle1"/>
        <w:rPr>
          <w:rFonts w:ascii="Times New Roman" w:hAnsi="Times New Roman"/>
        </w:rPr>
      </w:pPr>
    </w:p>
    <w:p w14:paraId="62C454AB" w14:textId="77777777" w:rsidR="00E76102" w:rsidRDefault="00E76102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20F105E8" w14:textId="77777777" w:rsidR="00CA5894" w:rsidRPr="00BB1CB4" w:rsidRDefault="00CA5894" w:rsidP="00D459D7">
      <w:pPr>
        <w:pStyle w:val="Subtitle1"/>
        <w:rPr>
          <w:rFonts w:ascii="Times New Roman" w:hAnsi="Times New Roman"/>
          <w:sz w:val="24"/>
          <w:szCs w:val="24"/>
        </w:rPr>
      </w:pPr>
    </w:p>
    <w:p w14:paraId="597C4A54" w14:textId="398218BC" w:rsidR="005D5AA2" w:rsidRDefault="005D5AA2" w:rsidP="005D5AA2">
      <w:pPr>
        <w:pStyle w:val="Subtitle1"/>
        <w:rPr>
          <w:rFonts w:ascii="Times New Roman" w:hAnsi="Times New Roman"/>
          <w:sz w:val="24"/>
          <w:szCs w:val="24"/>
        </w:rPr>
      </w:pPr>
      <w:bookmarkStart w:id="12" w:name="_Toc100757153"/>
      <w:r w:rsidRPr="00BB1CB4">
        <w:rPr>
          <w:rFonts w:ascii="Times New Roman" w:hAnsi="Times New Roman"/>
          <w:sz w:val="24"/>
          <w:szCs w:val="24"/>
        </w:rPr>
        <w:lastRenderedPageBreak/>
        <w:t xml:space="preserve">2. </w:t>
      </w:r>
      <w:bookmarkStart w:id="13" w:name="_Toc78878311"/>
      <w:bookmarkStart w:id="14" w:name="_Toc79578498"/>
      <w:r>
        <w:rPr>
          <w:rFonts w:ascii="Times New Roman" w:hAnsi="Times New Roman"/>
          <w:sz w:val="24"/>
          <w:szCs w:val="24"/>
        </w:rPr>
        <w:t>B. RAČUN FINANCIRANJA</w:t>
      </w:r>
      <w:bookmarkEnd w:id="12"/>
      <w:bookmarkEnd w:id="13"/>
      <w:bookmarkEnd w:id="14"/>
    </w:p>
    <w:p w14:paraId="4EFBC867" w14:textId="77777777" w:rsidR="00D14BA0" w:rsidRDefault="00D14BA0" w:rsidP="005D5AA2">
      <w:pPr>
        <w:pStyle w:val="Subtitle1"/>
        <w:rPr>
          <w:rFonts w:ascii="Times New Roman" w:hAnsi="Times New Roman"/>
          <w:sz w:val="24"/>
          <w:szCs w:val="24"/>
        </w:rPr>
      </w:pPr>
    </w:p>
    <w:tbl>
      <w:tblPr>
        <w:tblW w:w="13662" w:type="dxa"/>
        <w:tblLook w:val="04A0" w:firstRow="1" w:lastRow="0" w:firstColumn="1" w:lastColumn="0" w:noHBand="0" w:noVBand="1"/>
      </w:tblPr>
      <w:tblGrid>
        <w:gridCol w:w="616"/>
        <w:gridCol w:w="6897"/>
        <w:gridCol w:w="1340"/>
        <w:gridCol w:w="1503"/>
        <w:gridCol w:w="1340"/>
        <w:gridCol w:w="983"/>
        <w:gridCol w:w="983"/>
      </w:tblGrid>
      <w:tr w:rsidR="008677B2" w:rsidRPr="006F6A35" w14:paraId="11C27938" w14:textId="77777777" w:rsidTr="00EA6F35">
        <w:trPr>
          <w:trHeight w:val="315"/>
        </w:trPr>
        <w:tc>
          <w:tcPr>
            <w:tcW w:w="13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755" w14:textId="14A97396" w:rsidR="008677B2" w:rsidRPr="006F6A35" w:rsidRDefault="008677B2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15" w:name="_Toc100757154"/>
            <w:r w:rsidRPr="006F6A35">
              <w:rPr>
                <w:rFonts w:ascii="Times New Roman" w:hAnsi="Times New Roman"/>
                <w:sz w:val="24"/>
                <w:szCs w:val="24"/>
              </w:rPr>
              <w:t>2. B. 1. RAČUN FINANCIRANJA - PREMA EKONOMSKOJ KLASIFIKACIJI</w:t>
            </w:r>
            <w:bookmarkEnd w:id="15"/>
          </w:p>
        </w:tc>
      </w:tr>
      <w:tr w:rsidR="00D14BA0" w14:paraId="2776A711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1BCE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C18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20A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3FF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9B9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11D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662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4869ED80" w14:textId="77777777" w:rsidTr="00D14BA0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C5F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024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7CC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41C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617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183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810" w14:textId="77777777" w:rsidR="00D14BA0" w:rsidRDefault="00D14BA0">
            <w:pPr>
              <w:rPr>
                <w:sz w:val="20"/>
                <w:szCs w:val="20"/>
              </w:rPr>
            </w:pPr>
          </w:p>
        </w:tc>
      </w:tr>
      <w:tr w:rsidR="00D14BA0" w14:paraId="412098F1" w14:textId="77777777" w:rsidTr="00D14BA0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07A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I NAZIV PRIMITKA/IZDATKA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E28" w14:textId="77777777" w:rsidR="00D14BA0" w:rsidRDefault="00D14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319" w14:textId="77777777" w:rsidR="00D14BA0" w:rsidRDefault="00D14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342" w14:textId="77777777" w:rsidR="00D14BA0" w:rsidRDefault="00D14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844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1A7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D14BA0" w14:paraId="0F307521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3503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6774D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9C31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C7C2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5404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DEB8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EF456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D14BA0" w14:paraId="5AC93036" w14:textId="77777777" w:rsidTr="00D14BA0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21BE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5D0E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8C32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3726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969A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7E11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4BA0" w14:paraId="29CF5A9A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5FE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39E5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C31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5.031.898,51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D68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2.514.605,44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B15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2.514.605,44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ED7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B0C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16546E93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D5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381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prodaje dionica i udjela u glavnici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59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0A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AC0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32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CD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78956DB6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1A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C7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prodaje dionica i udjela u glavnici trgovačkih društava u javnom sektoru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20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56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00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C5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40D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187B7103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C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600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3D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6BA2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37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00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FAB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2316AD74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2F8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A56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0A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5.031.898,51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A7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12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14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91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6220924B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18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8CE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krediti i zajmovi od kreditnih i ostalih financijskih institucija u javnom sektoru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DF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32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1.654.489,44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9A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FC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D9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48FF294B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DA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4F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kreditnih institucija u javnom sektoru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2C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318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1A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6A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D58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5F15E62B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14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C49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80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4.237.151,04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A9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840.116,00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54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B3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EE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14BA0" w14:paraId="189632C4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FBA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1A9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tuzemnih kreditnih institucija izvan javnog sektora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6A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4.237.151,04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75E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24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1C9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B5B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3E283AF5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F3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C7D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zajmovi od drugih razina vlasti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B7C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794.747,47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1E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54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CF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A5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52705466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32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52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zajmovi od državnog proračuna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D5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794.747,47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F72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50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76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8F2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44F871CD" w14:textId="77777777" w:rsidTr="00D14BA0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C0F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C3DB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99A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3.814.803,85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6CB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2.225.142,42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56F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2.186.397,02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005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9EA9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D14BA0" w14:paraId="3B74F481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70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8017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8D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87.808,39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1A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D0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F7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5E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D14BA0" w14:paraId="42535E86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24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5D6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4D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87.808,39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7E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36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44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AC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D14BA0" w14:paraId="077D5BE0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50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316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F8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87.808,39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B9D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5F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46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413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013DCBB9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44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318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06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3.726.995,46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01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2.137.142,42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5E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2.099.008,71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F5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95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98,22</w:t>
            </w:r>
          </w:p>
        </w:tc>
      </w:tr>
      <w:tr w:rsidR="00D14BA0" w14:paraId="39E6DFA5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38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859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b/>
                <w:bCs/>
                <w:sz w:val="20"/>
                <w:szCs w:val="20"/>
              </w:rPr>
              <w:t>javn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1A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42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79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C3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31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98,48</w:t>
            </w:r>
          </w:p>
        </w:tc>
      </w:tr>
      <w:tr w:rsidR="00D14BA0" w14:paraId="43F390AE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8C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4D6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2F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2FB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70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A8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FFC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24C9DD8D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3FE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544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87B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CE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3.726.995,46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C8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1.577.142,42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95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1.564.522,05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47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146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99,20</w:t>
            </w:r>
          </w:p>
        </w:tc>
      </w:tr>
      <w:tr w:rsidR="00D14BA0" w14:paraId="03653922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E1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5D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65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3.726.995,46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F6E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62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1.564.522,05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F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3D7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6A9BF1DD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1A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545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42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1F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44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58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7C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95,08</w:t>
            </w:r>
          </w:p>
        </w:tc>
      </w:tr>
      <w:tr w:rsidR="00D14BA0" w14:paraId="6094EAED" w14:textId="77777777" w:rsidTr="00D14BA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912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0B97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4B7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25D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B99F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81A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08C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03C6970" w14:textId="1472A2BE" w:rsidR="0075555E" w:rsidRDefault="0075555E" w:rsidP="005D5AA2">
      <w:pPr>
        <w:pStyle w:val="Subtitle1"/>
        <w:rPr>
          <w:rFonts w:ascii="Times New Roman" w:hAnsi="Times New Roman"/>
          <w:sz w:val="24"/>
          <w:szCs w:val="24"/>
        </w:rPr>
      </w:pPr>
    </w:p>
    <w:p w14:paraId="0CDA1ACF" w14:textId="77777777" w:rsidR="00D14BA0" w:rsidRDefault="00D14BA0" w:rsidP="005D5AA2">
      <w:pPr>
        <w:pStyle w:val="Subtitle1"/>
        <w:rPr>
          <w:rFonts w:ascii="Times New Roman" w:hAnsi="Times New Roman"/>
          <w:sz w:val="24"/>
          <w:szCs w:val="24"/>
        </w:rPr>
      </w:pPr>
    </w:p>
    <w:p w14:paraId="7FA63C34" w14:textId="30F76B44" w:rsidR="00AD72E4" w:rsidRDefault="00AD72E4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1EDAE580" w14:textId="4EA31227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60FC33EA" w14:textId="737021BD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2FCB3E7B" w14:textId="3BCF2DC4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161B8FCC" w14:textId="4EEF47BB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4C9FB99C" w14:textId="28EE499E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588AF78E" w14:textId="1674A8D5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147DA5A9" w14:textId="7CB892A1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4FDE2E96" w14:textId="0C880D7F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5A7A6F97" w14:textId="621A2D14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2140503A" w14:textId="61AA3FA3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5B584613" w14:textId="22C829B6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73F4EA21" w14:textId="7B0C93CB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2C8EBF9E" w14:textId="276BC7ED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6CE18F16" w14:textId="4E8BD234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650BF638" w14:textId="79099C82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00C61F44" w14:textId="77777777" w:rsidR="00E85850" w:rsidRDefault="00E8585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3FD39344" w14:textId="637C6DF2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3792C404" w14:textId="7FA80941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6C781193" w14:textId="5EB8297F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5A1CD7E9" w14:textId="359D3C4F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6C1F7831" w14:textId="77777777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276083B0" w14:textId="77777777" w:rsidR="005C6B0A" w:rsidRDefault="005C6B0A" w:rsidP="00AD72E4">
      <w:pPr>
        <w:pStyle w:val="Subtitle1"/>
        <w:rPr>
          <w:rFonts w:ascii="Times New Roman" w:hAnsi="Times New Roman"/>
          <w:sz w:val="22"/>
          <w:szCs w:val="22"/>
        </w:rPr>
      </w:pPr>
      <w:bookmarkStart w:id="16" w:name="_Toc78878313"/>
      <w:bookmarkStart w:id="17" w:name="_Toc79578500"/>
      <w:bookmarkStart w:id="18" w:name="_Toc100757155"/>
      <w:r w:rsidRPr="00AD72E4">
        <w:rPr>
          <w:rFonts w:ascii="Times New Roman" w:hAnsi="Times New Roman"/>
          <w:sz w:val="22"/>
          <w:szCs w:val="22"/>
        </w:rPr>
        <w:lastRenderedPageBreak/>
        <w:t>RAČUN FINANCIRANJA - PREMA EKONOMSKOJ KLASIFIKACIJI - ANALITIČKI PRIKAZ</w:t>
      </w:r>
      <w:bookmarkEnd w:id="16"/>
      <w:bookmarkEnd w:id="17"/>
      <w:bookmarkEnd w:id="18"/>
    </w:p>
    <w:p w14:paraId="3CA8C6E3" w14:textId="6A8A4E88" w:rsidR="00AD72E4" w:rsidRDefault="00AD72E4" w:rsidP="00AD72E4">
      <w:pPr>
        <w:pStyle w:val="Subtitle1"/>
        <w:rPr>
          <w:rFonts w:ascii="Times New Roman" w:hAnsi="Times New Roman"/>
          <w:sz w:val="22"/>
          <w:szCs w:val="22"/>
        </w:rPr>
      </w:pPr>
    </w:p>
    <w:tbl>
      <w:tblPr>
        <w:tblW w:w="12672" w:type="dxa"/>
        <w:tblLook w:val="04A0" w:firstRow="1" w:lastRow="0" w:firstColumn="1" w:lastColumn="0" w:noHBand="0" w:noVBand="1"/>
      </w:tblPr>
      <w:tblGrid>
        <w:gridCol w:w="716"/>
        <w:gridCol w:w="8073"/>
        <w:gridCol w:w="1480"/>
        <w:gridCol w:w="1420"/>
        <w:gridCol w:w="983"/>
      </w:tblGrid>
      <w:tr w:rsidR="00D14BA0" w14:paraId="643E5439" w14:textId="77777777" w:rsidTr="00D14BA0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FB3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I NAZIV PRIMITKA/IZDATKA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CA" w14:textId="77777777" w:rsidR="00D14BA0" w:rsidRDefault="00D14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A92" w14:textId="77777777" w:rsidR="00D14BA0" w:rsidRDefault="00D14B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1C2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D14BA0" w14:paraId="4E7424B3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0A1D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DA99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CDD1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812D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624F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3/2*100</w:t>
            </w:r>
          </w:p>
        </w:tc>
      </w:tr>
      <w:tr w:rsidR="00D14BA0" w14:paraId="47D45302" w14:textId="77777777" w:rsidTr="00D14BA0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C31D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1272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49E7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D604" w14:textId="77777777" w:rsidR="00D14BA0" w:rsidRDefault="00D14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4BA0" w14:paraId="2E9941BB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161B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C28E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C54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5.031.898,51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4E2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2.514.605,44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072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49,97</w:t>
            </w:r>
          </w:p>
        </w:tc>
      </w:tr>
      <w:tr w:rsidR="00D14BA0" w14:paraId="064BE237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5F4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80F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prodaje dionica i udjela u glavnici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58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9D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12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53D07F51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D2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634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prodaje dionica i udjela u glavnici trgovačkih društava u javnom sektoru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03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18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5B4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677E572B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9F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60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6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DF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DF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1B4C6E05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FA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9EA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E2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4B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350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0C6DC2EF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401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416C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Business </w:t>
            </w:r>
            <w:proofErr w:type="spellStart"/>
            <w:r>
              <w:rPr>
                <w:i/>
                <w:iCs/>
                <w:sz w:val="20"/>
                <w:szCs w:val="20"/>
              </w:rPr>
              <w:t>Education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Centre d.o.o. - povrat osnivačkog uloga radi brisanja subjekta iz Sudskog registra (rješenje Tt-20/12897-54 od 31.05.2021.)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E1F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F10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FC6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4E18C57C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08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DC4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90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5.031.898,51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12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3A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49,58</w:t>
            </w:r>
          </w:p>
        </w:tc>
      </w:tr>
      <w:tr w:rsidR="00D14BA0" w14:paraId="41C28313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26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106B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krediti i zajmovi od kreditnih i ostalih financijskih institucija u javnom sektoru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8C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2E88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D9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540EEB13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97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BC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kreditnih institucija u javnom sektoru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6C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04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5D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2AF534E4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42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84222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97E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kreditnih institucija u javnom sektoru - dugoročni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22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63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196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006FB738" w14:textId="77777777" w:rsidTr="00D14BA0">
        <w:trPr>
          <w:trHeight w:val="78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9CD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6F12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Hrvatska banka za obnovu i razvitak - ugovor sklopljen 30.12.2020. na iznos od 1.654.489,44 kn, rok vraćanja 7 godina uz poček od 6 mjeseci, kamatna stopa 0,50%, namjena: energetska obnova javne rasvjete - zamjena LED rasvjetom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F30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B79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1.654.489,44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326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6CB51695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DB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CC1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8A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4.237.151,04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84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E1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19,83</w:t>
            </w:r>
          </w:p>
        </w:tc>
      </w:tr>
      <w:tr w:rsidR="00D14BA0" w14:paraId="0D7938AB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C1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349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tuzemnih kreditnih institucija izvan javnog sektora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DC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4.237.151,04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E4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F5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</w:tr>
      <w:tr w:rsidR="00D14BA0" w14:paraId="68982477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D1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5BA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tuzemnih kreditnih institucija izvan javnog sektora - kratkoročni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2F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1.427.142,42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16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3C3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329D007B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743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3BCBF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Zagrebačka banka d.d. - ugovor sklopljen 26.05.2020. na iznos od 7.500.000,00 kn, rok vraćanja 26.05.2021., kamatna stopa 1,00%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932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1.427.142,42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CE3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59E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1D746732" w14:textId="77777777" w:rsidTr="00D14BA0">
        <w:trPr>
          <w:trHeight w:val="33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F9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CFDB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krediti od tuzemnih kreditnih institucija izvan javnog sektora - dugoročni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31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2.810.008,62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0E16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12F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205733E9" w14:textId="77777777" w:rsidTr="00D14BA0">
        <w:trPr>
          <w:trHeight w:val="103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AF4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188C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Istarska kreditna banka Umag d.d. - ugovor sklopljen 18.09.2019. na iznos do 4.089.561,00 kn, rok vraćanja 10 godina (</w:t>
            </w:r>
            <w:proofErr w:type="spellStart"/>
            <w:r>
              <w:rPr>
                <w:i/>
                <w:iCs/>
                <w:sz w:val="20"/>
                <w:szCs w:val="20"/>
              </w:rPr>
              <w:t>uključjujući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godinu dana počeka), kamatna stopa 1,20%, namjena: energetska obnova zgrade Centra za inkluziju i zgrade Gradske uprave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EC1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113.278,62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187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C23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316C7EA3" w14:textId="77777777" w:rsidTr="00D14BA0">
        <w:trPr>
          <w:trHeight w:val="129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B99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4122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Istarska kreditna banka Umag d.d. - ugovor sklopljen 04.05.2020. na iznos do 2.696.730,00 kn, rok vraćanja 10 godina (</w:t>
            </w:r>
            <w:proofErr w:type="spellStart"/>
            <w:r>
              <w:rPr>
                <w:i/>
                <w:iCs/>
                <w:sz w:val="20"/>
                <w:szCs w:val="20"/>
              </w:rPr>
              <w:t>uključjujući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godinu dana počeka), kamatna stopa 1,20% u prvih 36 mjeseci nakon prijenosa kredita u otplatu, nakon toga postotak prinosa na trezorske zapise MF RH s dospijećem 364 dana +1,30 p.p., namjena: energetska obnova zgrade dječjeg vrtića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C69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2.696.730,00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A0A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8B5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563498C1" w14:textId="77777777" w:rsidTr="00D14BA0">
        <w:trPr>
          <w:trHeight w:val="129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69D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6EE1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Istarska kreditna banka Umag d.d. - ugovor sklopljen 08.01.2021. na iznos do 840.116,00 kn, rok vraćanja 7 godina i 6 mjeseci (sa uključenim počekom od 6 mjeseci), kamatna stopa 1,00% u prvih 24 mjeseci nakon prijenosa kredita u otplatu, nakon toga postotak prinosa na trezorske zapise MF RH s dospijećem 364 dana +1,30 p.p., namjena: energetska obnova javne rasvjete - zamjena LED rasvjetom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044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B6F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840.116,00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F8B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6FBF68EF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51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A93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Primljeni zajmovi od drugih razina vlasti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65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794.747,47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97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95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03653F8D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82DA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992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Primljeni zajmovi od državnog proračuna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E9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794.747,47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E9B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96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2B2A5975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F1D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B2E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zajmovi od državnog proračuna - kratkoročni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29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494.747,47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E2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65D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28F6EE8A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818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3B5A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Naputak o načinu isplate beskamatnog zajma JLPRS, HZMO i HZZO (NN 46/2020) - odgoda plaćanja i/ili </w:t>
            </w:r>
            <w:proofErr w:type="spellStart"/>
            <w:r>
              <w:rPr>
                <w:i/>
                <w:iCs/>
                <w:sz w:val="20"/>
                <w:szCs w:val="20"/>
              </w:rPr>
              <w:t>oborčna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otplata poreza i prireza na dohodak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BE0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224.747,47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259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F3C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72277221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163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20DA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Naputak o načinu isplate beskamatnog zajma JLPRS, HZMO i HZZO (NN 46/2020) - povrat poreza i prireza na dohodak po godišnjim prijavama za 2019. godinu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4CBF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77A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FDD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3C2BFAC7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BD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93644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zajmovi od državnog proračuna - dugoročni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AB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33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F27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311001BE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570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3F07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Naputak o isplati sredstava beskamatnog zajma JLPRS uslijed pada prihoda (NN 130/20), isplaćen 24.12.2020., povrat najkasnije u roku od tri godine od dana isplate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466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A7C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370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733D3469" w14:textId="77777777" w:rsidTr="00D14BA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966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2EEE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279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3.814.803,85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CDF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2.186.397,02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C3A9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57,31</w:t>
            </w:r>
          </w:p>
        </w:tc>
      </w:tr>
      <w:tr w:rsidR="00D14BA0" w14:paraId="3FF1329A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077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37F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6C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87.808,39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E43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C5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99,52</w:t>
            </w:r>
          </w:p>
        </w:tc>
      </w:tr>
      <w:tr w:rsidR="00D14BA0" w14:paraId="6D5EECD4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31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829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42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87.808,39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92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19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99,52</w:t>
            </w:r>
          </w:p>
        </w:tc>
      </w:tr>
      <w:tr w:rsidR="00D14BA0" w14:paraId="6ECCAF9D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6C3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74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867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87.808,39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2AE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803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D14BA0" w14:paraId="53CA3475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5BE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EFA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E33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87.808,39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48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B91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401E9F23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1D8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602D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Istarska županija - ŽCGO </w:t>
            </w:r>
            <w:proofErr w:type="spellStart"/>
            <w:r>
              <w:rPr>
                <w:i/>
                <w:iCs/>
                <w:sz w:val="20"/>
                <w:szCs w:val="20"/>
              </w:rPr>
              <w:t>Kaštijun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DD8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87.808,39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5BC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87.388,31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4F7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354EA9B6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F8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168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1A6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3.726.995,46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FFE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2.099.008,71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01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56,32</w:t>
            </w:r>
          </w:p>
        </w:tc>
      </w:tr>
      <w:tr w:rsidR="00D14BA0" w14:paraId="5E41850E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8AB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1E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b/>
                <w:bCs/>
                <w:sz w:val="20"/>
                <w:szCs w:val="20"/>
              </w:rPr>
              <w:t>javn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C2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B35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513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1617B788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B0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07C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69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A7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A3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1D9558BF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91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E8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kredita od kreditnih institucija u javnom sektoru - dugoročnih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B4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890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5A1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6D289D4A" w14:textId="77777777" w:rsidTr="00D14BA0">
        <w:trPr>
          <w:trHeight w:val="78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744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40F1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Hrvatska banka za obnovu i razvitak - ugovor sklopljen 30.12.2020. na iznos od 1.654.489,44 kn, rok vraćanja 7 godina uz poček od 6 mjeseci, kamatna stopa 0,50%, namjena: energetska obnova javne rasvjete - zamjena LED rasvjetom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1F4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6C3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59.088,91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0FA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54266E74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21C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A52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6EF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3.726.995,46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54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1.564.522,05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21A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41,98</w:t>
            </w:r>
          </w:p>
        </w:tc>
      </w:tr>
      <w:tr w:rsidR="00D14BA0" w14:paraId="12E9D4ED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E44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6A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00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ED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1.610.315,26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20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24F3FB76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34B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45AC1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kredita od tuzemnih kreditnih institucija izvan javnog sektora - kratkoročnih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508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25C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1.472.935,63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BDB7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0AD3A047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9983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008B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Zagrebačka banka d.d. - ugovor sklopljen 26.05.2020. na iznos od 7.500.000,00 kn, rok vraćanja 26.05.2021., kamatna stopa 1,00%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90D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86B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1.472.935,63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2C4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4F610CDB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8AAC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54432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E23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kredita od tuzemnih kreditnih institucija izvan javnog sektora - dugoročnih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4CE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C56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137.379,63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BF7D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775636C8" w14:textId="77777777" w:rsidTr="00D14BA0">
        <w:trPr>
          <w:trHeight w:val="103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D82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36CD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Istarska kreditna banka Umag d.d. - ugovor sklopljen 18.09.2019. na iznos do 4.089.561,00 kn, rok vraćanja 10 godina (</w:t>
            </w:r>
            <w:proofErr w:type="spellStart"/>
            <w:r>
              <w:rPr>
                <w:i/>
                <w:iCs/>
                <w:sz w:val="20"/>
                <w:szCs w:val="20"/>
              </w:rPr>
              <w:t>uključjujući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godinu dana počeka), kamatna stopa 1,20%, namjena: energetska obnova zgrade Centra za inkluziju i zgrade Gradske uprave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065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5D4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137.379,63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643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76D300BB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CD2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8FF" w14:textId="77777777" w:rsidR="00D14BA0" w:rsidRDefault="00D14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DE21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C9D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110" w14:textId="77777777" w:rsidR="00D14BA0" w:rsidRDefault="00D14B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4BA0" w14:paraId="1471ACB1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1AF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81D8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8F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EB5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5AF1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4BA0" w14:paraId="5D12D9F5" w14:textId="77777777" w:rsidTr="00D14BA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D4F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54711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79395" w14:textId="77777777" w:rsidR="00D14BA0" w:rsidRDefault="00D1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Otplata glavnice primljenih zajmova od državnog proračuna - kratkoročnih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379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992" w14:textId="77777777" w:rsidR="00D14BA0" w:rsidRDefault="00D14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475.164,54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678" w14:textId="77777777" w:rsidR="00D14BA0" w:rsidRDefault="00D14BA0">
            <w:pPr>
              <w:jc w:val="right"/>
              <w:rPr>
                <w:sz w:val="20"/>
                <w:szCs w:val="20"/>
              </w:rPr>
            </w:pPr>
          </w:p>
        </w:tc>
      </w:tr>
      <w:tr w:rsidR="00D14BA0" w14:paraId="1D95A985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6F8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FF34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Naputak o načinu isplate beskamatnog zajma JLPRS, HZMO i HZZO (NN 46/2020) - odgoda plaćanja i/ili </w:t>
            </w:r>
            <w:proofErr w:type="spellStart"/>
            <w:r>
              <w:rPr>
                <w:i/>
                <w:iCs/>
                <w:sz w:val="20"/>
                <w:szCs w:val="20"/>
              </w:rPr>
              <w:t>oborčna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otplata poreza i prireza na dohodak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FD3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BDB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5.164,54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AA6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1CB14751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067F" w14:textId="77777777" w:rsidR="00D14BA0" w:rsidRDefault="00D14BA0">
            <w:pPr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EBF0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Naputak o načinu isplate beskamatnog zajma JLPRS, HZMO i HZZO (NN 46/2020) - povrat poreza i prireza na dohodak po godišnjim prijavama za 2019. godinu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9B2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B4C1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9F4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14BA0" w14:paraId="70C8EA6B" w14:textId="77777777" w:rsidTr="00D14BA0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A173" w14:textId="77777777" w:rsidR="00D14BA0" w:rsidRDefault="00D14B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3AD5F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Naputak o isplati sredstava beskamatnog zajma JLPRS uslijed pada prihoda (NN 130/20), isplaćen 24.12.2020., povrat najkasnije u roku od tri godine od dana isplate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EBAE7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FBE5" w14:textId="77777777" w:rsidR="00D14BA0" w:rsidRDefault="00D14BA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6114" w14:textId="77777777" w:rsidR="00D14BA0" w:rsidRDefault="00D14B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14:paraId="56F3B5F6" w14:textId="4D66CD30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7BDA76F0" w14:textId="77777777" w:rsidR="00D14BA0" w:rsidRDefault="00D14BA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31E2C509" w14:textId="77777777" w:rsidR="003745B0" w:rsidRPr="00AD72E4" w:rsidRDefault="003745B0" w:rsidP="00AD72E4">
      <w:pPr>
        <w:pStyle w:val="Subtitle1"/>
        <w:rPr>
          <w:rFonts w:ascii="Times New Roman" w:hAnsi="Times New Roman"/>
          <w:sz w:val="22"/>
          <w:szCs w:val="22"/>
        </w:rPr>
      </w:pPr>
    </w:p>
    <w:p w14:paraId="7BB08E41" w14:textId="77777777" w:rsidR="001944E7" w:rsidRDefault="001944E7" w:rsidP="005C6B0A">
      <w:pPr>
        <w:pStyle w:val="xl97"/>
      </w:pPr>
    </w:p>
    <w:p w14:paraId="3F4E3ADD" w14:textId="11E4BA2A" w:rsidR="001944E7" w:rsidRDefault="001944E7" w:rsidP="005C6B0A">
      <w:pPr>
        <w:pStyle w:val="xl97"/>
      </w:pPr>
    </w:p>
    <w:tbl>
      <w:tblPr>
        <w:tblW w:w="13029" w:type="dxa"/>
        <w:tblLook w:val="04A0" w:firstRow="1" w:lastRow="0" w:firstColumn="1" w:lastColumn="0" w:noHBand="0" w:noVBand="1"/>
      </w:tblPr>
      <w:tblGrid>
        <w:gridCol w:w="6580"/>
        <w:gridCol w:w="1600"/>
        <w:gridCol w:w="1503"/>
        <w:gridCol w:w="1380"/>
        <w:gridCol w:w="983"/>
        <w:gridCol w:w="983"/>
      </w:tblGrid>
      <w:tr w:rsidR="004D587E" w:rsidRPr="006F6A35" w14:paraId="22D69F47" w14:textId="77777777" w:rsidTr="004D587E">
        <w:trPr>
          <w:trHeight w:val="315"/>
        </w:trPr>
        <w:tc>
          <w:tcPr>
            <w:tcW w:w="1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584" w14:textId="7515104D" w:rsidR="004D587E" w:rsidRPr="006F6A35" w:rsidRDefault="004D587E" w:rsidP="006F6A35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19" w:name="_Toc100757156"/>
            <w:r w:rsidRPr="006F6A35">
              <w:rPr>
                <w:rFonts w:ascii="Times New Roman" w:hAnsi="Times New Roman"/>
                <w:sz w:val="24"/>
                <w:szCs w:val="24"/>
              </w:rPr>
              <w:lastRenderedPageBreak/>
              <w:t>2. B. 2. RAČUN FINANCIRANJA - PREMA IZVORIMA FINANCIRANJA</w:t>
            </w:r>
            <w:bookmarkEnd w:id="19"/>
          </w:p>
        </w:tc>
      </w:tr>
      <w:tr w:rsidR="004D587E" w14:paraId="69249F81" w14:textId="77777777" w:rsidTr="004D587E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4B9" w14:textId="77777777" w:rsidR="004D587E" w:rsidRDefault="004D587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D16" w14:textId="77777777" w:rsidR="004D587E" w:rsidRDefault="004D587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174" w14:textId="77777777" w:rsidR="004D587E" w:rsidRDefault="004D587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3E85" w14:textId="77777777" w:rsidR="004D587E" w:rsidRDefault="004D587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7D49" w14:textId="77777777" w:rsidR="004D587E" w:rsidRDefault="004D587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4DC" w14:textId="77777777" w:rsidR="004D587E" w:rsidRDefault="004D587E">
            <w:pPr>
              <w:rPr>
                <w:sz w:val="20"/>
                <w:szCs w:val="20"/>
              </w:rPr>
            </w:pPr>
          </w:p>
        </w:tc>
      </w:tr>
      <w:tr w:rsidR="004D587E" w14:paraId="58ACB52F" w14:textId="77777777" w:rsidTr="004D587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1EC" w14:textId="77777777" w:rsidR="004D587E" w:rsidRDefault="004D5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I NAZIV IZVORA FINANCIRANJA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073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430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B61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F31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475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4D587E" w14:paraId="104BEB3D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AD41" w14:textId="77777777" w:rsidR="004D587E" w:rsidRDefault="004D5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68702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61CE3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FD0A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5AE6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4/2*100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0378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4/3*100</w:t>
            </w:r>
          </w:p>
        </w:tc>
      </w:tr>
      <w:tr w:rsidR="004D587E" w14:paraId="6BA604BD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3211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984C6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8E86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886A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D44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4C9E" w14:textId="77777777" w:rsidR="004D587E" w:rsidRDefault="004D5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D587E" w14:paraId="496B3B9D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0C177" w14:textId="77777777" w:rsidR="004D587E" w:rsidRDefault="004D5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SVEUKUPNO PRIMICI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E758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4.237.151,04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F122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A134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51C2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61B4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D587E" w14:paraId="34D85208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CE60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8A2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794.747,47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DEF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6EB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794.747,47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131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D40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158,95</w:t>
            </w:r>
          </w:p>
        </w:tc>
      </w:tr>
      <w:tr w:rsidR="004D587E" w14:paraId="3D88F424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D851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C57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794.747,47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DB8B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996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794.747,47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461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4DD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158,95</w:t>
            </w:r>
          </w:p>
        </w:tc>
      </w:tr>
      <w:tr w:rsidR="004D587E" w14:paraId="384E7F04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B75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7. Prihodi od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44D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5DED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94E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59F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35D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D587E" w14:paraId="3F9FC49B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9A30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7.1. Prihodi od </w:t>
            </w:r>
            <w:proofErr w:type="spellStart"/>
            <w:r>
              <w:rPr>
                <w:color w:val="000000"/>
                <w:sz w:val="20"/>
                <w:szCs w:val="20"/>
              </w:rPr>
              <w:t>nefin.imovine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color w:val="000000"/>
                <w:sz w:val="20"/>
                <w:szCs w:val="20"/>
              </w:rPr>
              <w:t>osig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631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6F12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D9D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E1E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394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D587E" w14:paraId="5A8DDFBE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3EDB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 Namjenski primici od zaduživanja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B83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4.237.151,04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66B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B05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2.494.605,44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E19F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58,87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A16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D587E" w14:paraId="45BF2B05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6D3E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 Namjenski primici od zaduživanja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89B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4.237.151,04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E48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2.494.605,44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02E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2.494.605,44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CE41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969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D587E" w14:paraId="236CD17C" w14:textId="77777777" w:rsidTr="004D587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22B9E" w14:textId="77777777" w:rsidR="004D587E" w:rsidRDefault="004D58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SVEUKUPNO IZDACI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2D34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3.814.803,85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17CE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1.725.142,42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13AE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1.710.999,27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A585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B8B5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99,18</w:t>
            </w:r>
          </w:p>
        </w:tc>
      </w:tr>
      <w:tr w:rsidR="004D587E" w14:paraId="49F3C37D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616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662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B44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0BE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3A5D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FDB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95,08</w:t>
            </w:r>
          </w:p>
        </w:tc>
      </w:tr>
      <w:tr w:rsidR="004D587E" w14:paraId="2E05FBB5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7C5C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91E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99E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472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475.397,75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F48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D24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95,08</w:t>
            </w:r>
          </w:p>
        </w:tc>
      </w:tr>
      <w:tr w:rsidR="004D587E" w14:paraId="4A653E38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0920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735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1.226.995,46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A23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168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3D0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505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D587E" w14:paraId="6556123B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62C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8EF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1.226.995,46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F39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29A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1B92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520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587E" w14:paraId="4E1E16D2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57D2" w14:textId="77777777" w:rsidR="004D587E" w:rsidRDefault="004D58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7. Prihodi od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CD4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2.587.808,39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D2D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1.725.142,42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139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1.710.999,27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481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00A" w14:textId="77777777" w:rsidR="004D587E" w:rsidRDefault="004D5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99,18</w:t>
            </w:r>
          </w:p>
        </w:tc>
      </w:tr>
      <w:tr w:rsidR="004D587E" w14:paraId="09D4C2B0" w14:textId="77777777" w:rsidTr="004D587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500D" w14:textId="77777777" w:rsidR="004D587E" w:rsidRDefault="004D5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7.1. Prihodi od </w:t>
            </w:r>
            <w:proofErr w:type="spellStart"/>
            <w:r>
              <w:rPr>
                <w:color w:val="000000"/>
                <w:sz w:val="20"/>
                <w:szCs w:val="20"/>
              </w:rPr>
              <w:t>nefin.imovine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>
              <w:rPr>
                <w:color w:val="000000"/>
                <w:sz w:val="20"/>
                <w:szCs w:val="20"/>
              </w:rPr>
              <w:t>osig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1F3CB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2.587.808,39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69F9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1.725.142,42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23E9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1.710.999,27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9329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6CDB" w14:textId="77777777" w:rsidR="004D587E" w:rsidRDefault="004D5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99,18</w:t>
            </w:r>
          </w:p>
        </w:tc>
      </w:tr>
    </w:tbl>
    <w:p w14:paraId="0EC69A07" w14:textId="77777777" w:rsidR="004D587E" w:rsidRDefault="004D587E" w:rsidP="005C6B0A">
      <w:pPr>
        <w:pStyle w:val="xl97"/>
      </w:pPr>
    </w:p>
    <w:p w14:paraId="3EFA35E4" w14:textId="77777777" w:rsidR="000465C8" w:rsidRPr="00E80A17" w:rsidRDefault="000465C8" w:rsidP="005C6B0A">
      <w:pPr>
        <w:pStyle w:val="xl97"/>
      </w:pPr>
    </w:p>
    <w:p w14:paraId="1FF2309D" w14:textId="77777777" w:rsidR="00CA5894" w:rsidRDefault="00CA5894" w:rsidP="005C6B0A">
      <w:pPr>
        <w:pStyle w:val="xl97"/>
      </w:pPr>
    </w:p>
    <w:p w14:paraId="293FC723" w14:textId="77777777" w:rsidR="00942F67" w:rsidRDefault="00942F67" w:rsidP="005C6B0A">
      <w:pPr>
        <w:pStyle w:val="xl97"/>
      </w:pPr>
    </w:p>
    <w:p w14:paraId="0EC743DD" w14:textId="77777777" w:rsidR="00942F67" w:rsidRDefault="00942F67" w:rsidP="005C6B0A">
      <w:pPr>
        <w:pStyle w:val="xl97"/>
      </w:pPr>
    </w:p>
    <w:p w14:paraId="4E7DA572" w14:textId="15A47A1D" w:rsidR="007D604D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0" w:name="_Toc100757157"/>
      <w:r>
        <w:rPr>
          <w:rFonts w:ascii="Times New Roman" w:hAnsi="Times New Roman"/>
          <w:sz w:val="24"/>
          <w:szCs w:val="24"/>
        </w:rPr>
        <w:lastRenderedPageBreak/>
        <w:t>POSEBNI DIO PRORAČUNA</w:t>
      </w:r>
      <w:bookmarkEnd w:id="20"/>
    </w:p>
    <w:p w14:paraId="43D02249" w14:textId="77777777" w:rsidR="007C2D97" w:rsidRDefault="007C2D97" w:rsidP="007C2D97">
      <w:pPr>
        <w:pStyle w:val="Title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13377" w:type="dxa"/>
        <w:tblLook w:val="04A0" w:firstRow="1" w:lastRow="0" w:firstColumn="1" w:lastColumn="0" w:noHBand="0" w:noVBand="1"/>
      </w:tblPr>
      <w:tblGrid>
        <w:gridCol w:w="4996"/>
        <w:gridCol w:w="4218"/>
        <w:gridCol w:w="1503"/>
        <w:gridCol w:w="1500"/>
        <w:gridCol w:w="1160"/>
      </w:tblGrid>
      <w:tr w:rsidR="007D604D" w14:paraId="0CCB4312" w14:textId="77777777" w:rsidTr="007D604D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DD9" w14:textId="77777777" w:rsidR="007D604D" w:rsidRPr="00976031" w:rsidRDefault="007D604D" w:rsidP="00976031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21" w:name="_Toc100757158"/>
            <w:r w:rsidRPr="00976031">
              <w:rPr>
                <w:rFonts w:ascii="Times New Roman" w:hAnsi="Times New Roman"/>
                <w:sz w:val="24"/>
                <w:szCs w:val="24"/>
              </w:rPr>
              <w:t>3. A.  ORGANIZACIJSKA KLASIFIKACIJA</w:t>
            </w:r>
            <w:bookmarkEnd w:id="21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95A5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F6E" w14:textId="77777777" w:rsidR="007D604D" w:rsidRDefault="007D60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32F" w14:textId="77777777" w:rsidR="007D604D" w:rsidRDefault="007D604D">
            <w:pPr>
              <w:rPr>
                <w:sz w:val="20"/>
                <w:szCs w:val="20"/>
              </w:rPr>
            </w:pPr>
          </w:p>
        </w:tc>
      </w:tr>
      <w:tr w:rsidR="007D604D" w14:paraId="5E94C1F8" w14:textId="77777777" w:rsidTr="007D604D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9B7" w14:textId="77777777" w:rsidR="007D604D" w:rsidRPr="00976031" w:rsidRDefault="007D604D" w:rsidP="00976031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9D1" w14:textId="77777777" w:rsidR="007D604D" w:rsidRDefault="007D604D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B5F9" w14:textId="77777777" w:rsidR="007D604D" w:rsidRDefault="007D604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380" w14:textId="77777777" w:rsidR="007D604D" w:rsidRDefault="007D60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AA8" w14:textId="77777777" w:rsidR="007D604D" w:rsidRDefault="007D604D">
            <w:pPr>
              <w:rPr>
                <w:sz w:val="20"/>
                <w:szCs w:val="20"/>
              </w:rPr>
            </w:pPr>
          </w:p>
        </w:tc>
      </w:tr>
      <w:tr w:rsidR="007D604D" w14:paraId="4AA5575A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983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I NAZIV RAZDJELA I GLAVE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815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7AA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AC7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7D604D" w14:paraId="737EECE9" w14:textId="77777777" w:rsidTr="007D604D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EBC4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9066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7CDB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DBAB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AD734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3/2*100</w:t>
            </w:r>
          </w:p>
        </w:tc>
      </w:tr>
      <w:tr w:rsidR="007D604D" w14:paraId="440860A6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8CC5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5196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B02D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692A" w14:textId="77777777" w:rsidR="007D604D" w:rsidRDefault="007D6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D604D" w14:paraId="45AD94FD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ABD4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 001   UPRAVNI ODJEL ZA OPĆE POSLOVE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CB098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18.667.234,87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831F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16.501.092,27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162C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88,40</w:t>
            </w:r>
          </w:p>
        </w:tc>
      </w:tr>
      <w:tr w:rsidR="007D604D" w14:paraId="1E37E84F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341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00101 PREDSTAVNIČKO, IZVRŠNA I RADNA TIJELA GRADA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A2E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1.369.455,60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130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1.044.171,55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62F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7D604D" w14:paraId="638BB0E7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35E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00102 UPRAVNI ODJEL ZA OPĆE POSLOVE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0BB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9.471.738,77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8C6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8.186.604,40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84D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86,43</w:t>
            </w:r>
          </w:p>
        </w:tc>
      </w:tr>
      <w:tr w:rsidR="007D604D" w14:paraId="49F005B9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733A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00103 DJEČJI VRTIĆI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B5D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6.382.215,26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777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6.113.008,10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CEA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95,78</w:t>
            </w:r>
          </w:p>
        </w:tc>
      </w:tr>
      <w:tr w:rsidR="007D604D" w14:paraId="181C9C40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672" w14:textId="77777777" w:rsidR="007D604D" w:rsidRDefault="007D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Proračunski korisnik 36305 DJEČJI VRTIĆ BUJE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DE4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3.881.433,63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2CB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3.826.145,10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9666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98,58</w:t>
            </w:r>
          </w:p>
        </w:tc>
      </w:tr>
      <w:tr w:rsidR="007D604D" w14:paraId="2DE6E0D0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AE2" w14:textId="77777777" w:rsidR="007D604D" w:rsidRDefault="007D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Proračunski korisnik 38663 TALIJANSKI DJEČJI VRTIĆ MRVICA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C74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2.500.781,63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B81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2.286.863,00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A3C7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91,45</w:t>
            </w:r>
          </w:p>
        </w:tc>
      </w:tr>
      <w:tr w:rsidR="007D604D" w14:paraId="29A31962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509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00104 PUČKO OTVORENO UČILIŠTE BUJE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9F6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1.443.825,24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84FC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1.157.308,22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704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80,16</w:t>
            </w:r>
          </w:p>
        </w:tc>
      </w:tr>
      <w:tr w:rsidR="007D604D" w14:paraId="332E5C7C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191C6" w14:textId="77777777" w:rsidR="007D604D" w:rsidRDefault="007D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Proračunski korisnik 48200 PUČKO OTVORENO UČILIŠTE BUJE - UNIVERSITA` POPOLARE APERTA DI BUIE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C94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1.443.825,24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926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1.157.308,22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96A" w14:textId="77777777" w:rsidR="007D604D" w:rsidRDefault="007D6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80,16</w:t>
            </w:r>
          </w:p>
        </w:tc>
      </w:tr>
      <w:tr w:rsidR="007D604D" w14:paraId="455C7A6E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C4A3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 002   UPRAVNI ODJEL ZA KOMUNALNE DJELATNOSTI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4E8C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15.779.851,99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2694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15.910.105,22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CDD1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100,83</w:t>
            </w:r>
          </w:p>
        </w:tc>
      </w:tr>
      <w:tr w:rsidR="007D604D" w14:paraId="14A6C452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ADF3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00201 UPRAVNI ODJEL ZA KOMUNALNE DJELATNOSTI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A8B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15.779.851,99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90DD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15.910.105,22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B3B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100,83</w:t>
            </w:r>
          </w:p>
        </w:tc>
      </w:tr>
      <w:tr w:rsidR="007D604D" w14:paraId="2C157AD5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481E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 003   UPRAVNI ODJEL ZA PROSTORNO UREĐENJE I UPRAVLJANJE GRADSKOM IMOVINOM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87EE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6.248.657,72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97EA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5.690.244,91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DFC6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91,06</w:t>
            </w:r>
          </w:p>
        </w:tc>
      </w:tr>
      <w:tr w:rsidR="007D604D" w14:paraId="5E55A2C9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174B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Glava 00301 UPRAVNI ODJEL ZA PROSTORNO UREĐENJE I UPRAVLJANJE GRADSKOM IMOVINOM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0E4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6.248.657,72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9BC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5.690.244,91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FE5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91,06</w:t>
            </w:r>
          </w:p>
        </w:tc>
      </w:tr>
      <w:tr w:rsidR="007D604D" w14:paraId="6EF4CE7C" w14:textId="77777777" w:rsidTr="007D604D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D6C2" w14:textId="77777777" w:rsidR="007D604D" w:rsidRDefault="007D6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RASHODI / IZDACI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8CDF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40.695.744,58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09ED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38.101.442,40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8472" w14:textId="77777777" w:rsidR="007D604D" w:rsidRDefault="007D6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93,63</w:t>
            </w:r>
          </w:p>
        </w:tc>
      </w:tr>
    </w:tbl>
    <w:p w14:paraId="7F26DA9D" w14:textId="4570BCDE" w:rsidR="00E77FAA" w:rsidRDefault="00E77FAA" w:rsidP="00E77FAA">
      <w:pPr>
        <w:pStyle w:val="Title1"/>
        <w:numPr>
          <w:ilvl w:val="0"/>
          <w:numId w:val="0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14:paraId="110A6818" w14:textId="57481338" w:rsidR="005204EE" w:rsidRDefault="005204EE" w:rsidP="00E77FAA">
      <w:pPr>
        <w:pStyle w:val="Title1"/>
        <w:numPr>
          <w:ilvl w:val="0"/>
          <w:numId w:val="0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14:paraId="2CB29DF2" w14:textId="25D8BF9E" w:rsidR="005204EE" w:rsidRDefault="005204EE" w:rsidP="008677B2">
      <w:pPr>
        <w:pStyle w:val="Title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5186" w:type="pct"/>
        <w:tblLayout w:type="fixed"/>
        <w:tblLook w:val="04A0" w:firstRow="1" w:lastRow="0" w:firstColumn="1" w:lastColumn="0" w:noHBand="0" w:noVBand="1"/>
      </w:tblPr>
      <w:tblGrid>
        <w:gridCol w:w="993"/>
        <w:gridCol w:w="8628"/>
        <w:gridCol w:w="8"/>
        <w:gridCol w:w="1408"/>
        <w:gridCol w:w="8"/>
        <w:gridCol w:w="1430"/>
        <w:gridCol w:w="208"/>
        <w:gridCol w:w="853"/>
        <w:gridCol w:w="137"/>
      </w:tblGrid>
      <w:tr w:rsidR="001C09C1" w:rsidRPr="00F37423" w14:paraId="1C8293B8" w14:textId="77777777" w:rsidTr="005204EE">
        <w:trPr>
          <w:gridAfter w:val="1"/>
          <w:wAfter w:w="50" w:type="pct"/>
          <w:trHeight w:val="255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D8E" w14:textId="77777777" w:rsidR="00093EE6" w:rsidRDefault="00093EE6" w:rsidP="00976031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</w:p>
          <w:p w14:paraId="021D2E40" w14:textId="77B6C16D" w:rsidR="00F37423" w:rsidRPr="00976031" w:rsidRDefault="00F37423" w:rsidP="00976031">
            <w:pPr>
              <w:pStyle w:val="Subtitle1"/>
              <w:rPr>
                <w:rFonts w:ascii="Times New Roman" w:hAnsi="Times New Roman"/>
                <w:sz w:val="24"/>
                <w:szCs w:val="24"/>
              </w:rPr>
            </w:pPr>
            <w:bookmarkStart w:id="22" w:name="_Toc100757159"/>
            <w:r w:rsidRPr="00976031">
              <w:rPr>
                <w:rFonts w:ascii="Times New Roman" w:hAnsi="Times New Roman"/>
                <w:sz w:val="24"/>
                <w:szCs w:val="24"/>
              </w:rPr>
              <w:lastRenderedPageBreak/>
              <w:t>3. B. PROGRAMSKA KLASIFIKACIJA</w:t>
            </w:r>
            <w:bookmarkEnd w:id="22"/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B2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3F4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6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</w:tr>
      <w:tr w:rsidR="001C09C1" w:rsidRPr="00F37423" w14:paraId="2CA944B7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9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B7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6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3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ED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</w:tr>
      <w:tr w:rsidR="001C09C1" w:rsidRPr="00F37423" w14:paraId="4994AF2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0D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96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E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A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3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</w:tr>
      <w:tr w:rsidR="001C09C1" w:rsidRPr="00F37423" w14:paraId="726261F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0F947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BROJČANA OZNAKA I NAZIV RAZDJELA / GLAVE / IZVORA FINANCIRANJA / PROGRAMA / AKTIVNOSTI I PROJEKTA / EKONOMSKE KLASIFIKACIJE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017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F0B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IZVRŠENJE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06EC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INDEKS</w:t>
            </w:r>
          </w:p>
        </w:tc>
      </w:tr>
      <w:tr w:rsidR="001C09C1" w:rsidRPr="00F37423" w14:paraId="55620711" w14:textId="77777777" w:rsidTr="005204EE">
        <w:trPr>
          <w:gridAfter w:val="1"/>
          <w:wAfter w:w="50" w:type="pct"/>
          <w:trHeight w:val="255"/>
        </w:trPr>
        <w:tc>
          <w:tcPr>
            <w:tcW w:w="352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5904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F9B1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C57A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D2C7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3/2*100</w:t>
            </w:r>
          </w:p>
        </w:tc>
      </w:tr>
      <w:tr w:rsidR="001C09C1" w:rsidRPr="00F37423" w14:paraId="37D1B2B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EADF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42BA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D1FB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600E" w14:textId="77777777" w:rsidR="00F37423" w:rsidRPr="00F37423" w:rsidRDefault="00F37423" w:rsidP="00F3742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09C1" w:rsidRPr="00F37423" w14:paraId="13465CF2" w14:textId="77777777" w:rsidTr="005204EE">
        <w:trPr>
          <w:gridAfter w:val="1"/>
          <w:wAfter w:w="50" w:type="pct"/>
          <w:trHeight w:val="60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976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RAZDJEL 001 UPRAVNI ODJEL ZA OPĆE POSLOVE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44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18.667.234,87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CB0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16.501.092,27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338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88,40</w:t>
            </w:r>
          </w:p>
        </w:tc>
      </w:tr>
      <w:tr w:rsidR="001C09C1" w:rsidRPr="00F37423" w14:paraId="5644B3D2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6B6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GLAVA 00101 PREDSTAVNIČKO, IZVRŠNA I RADNA TIJELA GRADA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57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1.369.455,60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AC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1.044.171,55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D24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1C09C1" w:rsidRPr="00F37423" w14:paraId="4644B35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F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D8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1.284.503,60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7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959.219,55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2A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74,68</w:t>
            </w:r>
          </w:p>
        </w:tc>
      </w:tr>
      <w:tr w:rsidR="001C09C1" w:rsidRPr="00F37423" w14:paraId="28A3E26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E8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9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1.284.503,60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3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959.219,55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CF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74,68</w:t>
            </w:r>
          </w:p>
        </w:tc>
      </w:tr>
      <w:tr w:rsidR="001C09C1" w:rsidRPr="00F37423" w14:paraId="571D09D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6A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95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6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DC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3B61FD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31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ED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E5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B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2750712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4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1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REDOVNA DJELATNOST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5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1.273.221,46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9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1.007.041,97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47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79,09</w:t>
            </w:r>
          </w:p>
        </w:tc>
      </w:tr>
      <w:tr w:rsidR="001C09C1" w:rsidRPr="00F37423" w14:paraId="4F68B34B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08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AFA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34C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279.600,00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20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273.316,98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018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97,75</w:t>
            </w:r>
          </w:p>
        </w:tc>
      </w:tr>
      <w:tr w:rsidR="001C09C1" w:rsidRPr="00F37423" w14:paraId="1F92585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BD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BD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862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273.316,98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71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97,75</w:t>
            </w:r>
          </w:p>
        </w:tc>
      </w:tr>
      <w:tr w:rsidR="001C09C1" w:rsidRPr="00F37423" w14:paraId="099E3E1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EA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36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A8C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273.316,98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B9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97,75</w:t>
            </w:r>
          </w:p>
        </w:tc>
      </w:tr>
      <w:tr w:rsidR="001C09C1" w:rsidRPr="00F37423" w14:paraId="7C1398E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B7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A0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B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C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234.606,87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70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97,75</w:t>
            </w:r>
          </w:p>
        </w:tc>
      </w:tr>
      <w:tr w:rsidR="001C09C1" w:rsidRPr="00F37423" w14:paraId="20C316B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D1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0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7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EB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234.606,87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7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E1CB1A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EC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5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2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39.600,00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7E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38.710,11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8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97,75</w:t>
            </w:r>
          </w:p>
        </w:tc>
      </w:tr>
      <w:tr w:rsidR="001C09C1" w:rsidRPr="00F37423" w14:paraId="5DDB1DE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1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1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0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9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38.710,11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5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E7CB9E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1A2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3584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PRORAČUNSKA ZALIHA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98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04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2D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36C15C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F8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8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BE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F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29CF77C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07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33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C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E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410715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58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C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Izvanredni rashodi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B9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6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6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A5C9E4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8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2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Nepredviđeni rashodi do visine proračunske pričuve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9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B8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EF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244F495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0A1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E6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PROTOKOL, PROMIDŽBA I PROSLAVE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187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C1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49.053,11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13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58,40</w:t>
            </w:r>
          </w:p>
        </w:tc>
      </w:tr>
      <w:tr w:rsidR="001C09C1" w:rsidRPr="00F37423" w14:paraId="25AD1D7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2A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B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E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49.053,11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2A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58,40</w:t>
            </w:r>
          </w:p>
        </w:tc>
      </w:tr>
      <w:tr w:rsidR="001C09C1" w:rsidRPr="00F37423" w14:paraId="5B9D18A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FB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BE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0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49.053,11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E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58,40</w:t>
            </w:r>
          </w:p>
        </w:tc>
      </w:tr>
      <w:tr w:rsidR="001C09C1" w:rsidRPr="00F37423" w14:paraId="5DABF70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3D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A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59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59.500,00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B6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41.530,05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2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69,80</w:t>
            </w:r>
          </w:p>
        </w:tc>
      </w:tr>
      <w:tr w:rsidR="001C09C1" w:rsidRPr="00F37423" w14:paraId="6DFC960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20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2E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3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4A6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37.471,30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4F8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0DDE2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0C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6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C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1B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CA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29F05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1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4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F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73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4.058,75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FF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F9631C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7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7B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55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D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7.523,06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1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30,71</w:t>
            </w:r>
          </w:p>
        </w:tc>
      </w:tr>
      <w:tr w:rsidR="001C09C1" w:rsidRPr="00F37423" w14:paraId="20C2DDA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59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4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08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36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2.108,06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95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444CD4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AA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7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3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7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5.415,00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79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425D2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250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EC9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Aktivnost: REDOVITO FINANCIRANJE POLITIČKIH STRANAKA 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3A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29.849,45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0F3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29.849,45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2242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A47B6E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78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B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29.849,45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92C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29.849,45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3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2BA50B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66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A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29.849,45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0FC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29.849,45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EC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F86BD0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E2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AD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4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29.849,45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31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29.849,45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7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551C5D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E3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BC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D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53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29.849,45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85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155997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FF5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60C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RAD PREDSTAVNIČKOG, IZVRŠNIH I RADNIH TIJELA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CE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438.900,00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5A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414.220,29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5B9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94,38</w:t>
            </w:r>
          </w:p>
        </w:tc>
      </w:tr>
      <w:tr w:rsidR="001C09C1" w:rsidRPr="00F37423" w14:paraId="1E39C6C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65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5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438.900,00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9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414.220,29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BF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94,38</w:t>
            </w:r>
          </w:p>
        </w:tc>
      </w:tr>
      <w:tr w:rsidR="001C09C1" w:rsidRPr="00F37423" w14:paraId="642731D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7A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5B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438.900,00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61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414.220,29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7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94,38</w:t>
            </w:r>
          </w:p>
        </w:tc>
      </w:tr>
      <w:tr w:rsidR="001C09C1" w:rsidRPr="00F37423" w14:paraId="54AD3B5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83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FC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06D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30.400,00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E5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30.386,00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5D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1C09C1" w:rsidRPr="00F37423" w14:paraId="7C79882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6F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DD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9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BA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30.386,00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2C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128030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A8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81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5D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9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8B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91,97</w:t>
            </w:r>
          </w:p>
        </w:tc>
      </w:tr>
      <w:tr w:rsidR="001C09C1" w:rsidRPr="00F37423" w14:paraId="6EEF911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A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1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0D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53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CE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63E9CE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E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7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A0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5F8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6C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0893F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42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C4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B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8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320.834,29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9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94,36</w:t>
            </w:r>
          </w:p>
        </w:tc>
      </w:tr>
      <w:tr w:rsidR="001C09C1" w:rsidRPr="00F37423" w14:paraId="7F55B99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45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B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3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AD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121.458,01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D3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55F2B2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3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D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95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5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188.349,80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61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08EB95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A1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4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C5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37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11.026,48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7C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D51C9AB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BB4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E61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LOKALNI IZBORI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C86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192.607,01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1A6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192.607,01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5B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8BC2C9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13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12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107.655,01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2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107.655,01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4C7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87C590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DF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2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107.655,01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5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107.655,01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B1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818800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D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66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63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6.475,93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B7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6.475,93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FB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DCE292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A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A9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8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8C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6.475,93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57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BA2DDF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2C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1F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B0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10.010,00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42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10.010,00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00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037418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37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2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C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B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10.010,00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E02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783CB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02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E9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918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54.576,83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B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54.576,83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3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83D287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57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61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D1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54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54.576,83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3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C1A6BF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84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CE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11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36.592,25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5E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36.592,25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A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7E114F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0A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A4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0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7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36.592,25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D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6BF53A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CD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96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2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3B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E4DE20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C5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1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D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84.952,00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B7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F8B041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F5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BB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7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E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2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261173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3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8A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DC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4D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9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8E234B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A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D2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46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84.152,00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3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84.152,00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30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25E38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304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D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041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A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84.152,00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B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31FEE6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C06E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BF9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POMOĆI I DONACIJE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88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35.865,00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A07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38.452,50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1E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107,21</w:t>
            </w:r>
          </w:p>
        </w:tc>
      </w:tr>
      <w:tr w:rsidR="001C09C1" w:rsidRPr="00F37423" w14:paraId="30B0D83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C5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D7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35.865,00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E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38.452,50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36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107,21</w:t>
            </w:r>
          </w:p>
        </w:tc>
      </w:tr>
      <w:tr w:rsidR="001C09C1" w:rsidRPr="00F37423" w14:paraId="231CF09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00F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A9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35.865,00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D8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38.452,50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A4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107,21</w:t>
            </w:r>
          </w:p>
        </w:tc>
      </w:tr>
      <w:tr w:rsidR="001C09C1" w:rsidRPr="00F37423" w14:paraId="54D37A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C0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9A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A1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95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3B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7D252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55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71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D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06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E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029DC9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27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25A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3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25.865,00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2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28.452,50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EB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110,00</w:t>
            </w:r>
          </w:p>
        </w:tc>
      </w:tr>
      <w:tr w:rsidR="001C09C1" w:rsidRPr="00F37423" w14:paraId="2F784E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F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A2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00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3A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28.452,50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9B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B5A3B5E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E3C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E74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COVID 19 - MATERIJALNI RASHODI, POMOĆI I DONACIJE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E85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112.400,00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BD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9.542,63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29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8,49</w:t>
            </w:r>
          </w:p>
        </w:tc>
      </w:tr>
      <w:tr w:rsidR="001C09C1" w:rsidRPr="00F37423" w14:paraId="0A94FCB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50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B8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6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9.542,63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A2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8,49</w:t>
            </w:r>
          </w:p>
        </w:tc>
      </w:tr>
      <w:tr w:rsidR="001C09C1" w:rsidRPr="00F37423" w14:paraId="4FD2C1F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7B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8C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28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9.542,63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2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8,49</w:t>
            </w:r>
          </w:p>
        </w:tc>
      </w:tr>
      <w:tr w:rsidR="001C09C1" w:rsidRPr="00F37423" w14:paraId="50AD205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F6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8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2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32.400,00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E8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5.171,86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1A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15,96</w:t>
            </w:r>
          </w:p>
        </w:tc>
      </w:tr>
      <w:tr w:rsidR="001C09C1" w:rsidRPr="00F37423" w14:paraId="0B0E927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45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8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D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3D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5.171,86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C3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CFD7EB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F2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14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B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B4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F5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D12C99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9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D9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C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5D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4.370,77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BA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5,46</w:t>
            </w:r>
          </w:p>
        </w:tc>
      </w:tr>
      <w:tr w:rsidR="001C09C1" w:rsidRPr="00F37423" w14:paraId="18BBF6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2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4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7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CCF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1.505,00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F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D2679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E7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4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26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0D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2.865,77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41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576B931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C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1C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MJESNA SAMOUPRAVA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38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76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24.728,13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F5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35,33</w:t>
            </w:r>
          </w:p>
        </w:tc>
      </w:tr>
      <w:tr w:rsidR="001C09C1" w:rsidRPr="00F37423" w14:paraId="7108E4BA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716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B60B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A7C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E3E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8B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E5DD7A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76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A1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13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0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6CAD4A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4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A8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CD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D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597FE8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E4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62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B2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1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4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795D07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CC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85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F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27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2F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790B92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C8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1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01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4E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B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4C4530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B8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E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5CC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C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2B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C0CF3A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42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06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2C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A3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3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A81D07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A7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88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FB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56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D6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FBF9FB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945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6DF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KAŠTEL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AF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94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8C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0EBBD60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3B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DC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7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60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21AA5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0D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E4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5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BD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A7D337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08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13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DE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53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48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4E0F4F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B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AA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2E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8E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51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D312945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E3F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C5E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KRASICA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2CF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2D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707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74E89E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41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E8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5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F7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87A699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1F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2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C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A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48FE4B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58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32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9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4.608,80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A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0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216,98</w:t>
            </w:r>
          </w:p>
        </w:tc>
      </w:tr>
      <w:tr w:rsidR="001C09C1" w:rsidRPr="00F37423" w14:paraId="0135EB4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56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B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2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69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10.000,05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5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DF895F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2D7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8F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D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5.391,20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1B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DA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F41B87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C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32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40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8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9F1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AEB0C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3E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8BE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KRŠETE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C25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EB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589,33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B2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5,89</w:t>
            </w:r>
          </w:p>
        </w:tc>
      </w:tr>
      <w:tr w:rsidR="001C09C1" w:rsidRPr="00F37423" w14:paraId="4B14219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46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D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E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589,33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0E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5,89</w:t>
            </w:r>
          </w:p>
        </w:tc>
      </w:tr>
      <w:tr w:rsidR="001C09C1" w:rsidRPr="00F37423" w14:paraId="249937D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1C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C7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8D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589,33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D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5,89</w:t>
            </w:r>
          </w:p>
        </w:tc>
      </w:tr>
      <w:tr w:rsidR="001C09C1" w:rsidRPr="00F37423" w14:paraId="7B29C0F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52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D7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DA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9.400,00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A1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1C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0CFC88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45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D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C5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77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C0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2CEF46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23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F7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5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01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589,33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2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98,22</w:t>
            </w:r>
          </w:p>
        </w:tc>
      </w:tr>
      <w:tr w:rsidR="001C09C1" w:rsidRPr="00F37423" w14:paraId="7CBCB4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8E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3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2B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01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589,33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65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7BEA29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893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58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MARUŠIĆI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9B3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E1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4.138,75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DE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41,39</w:t>
            </w:r>
          </w:p>
        </w:tc>
      </w:tr>
      <w:tr w:rsidR="001C09C1" w:rsidRPr="00F37423" w14:paraId="1958A57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47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D3D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54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4.138,75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70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41,39</w:t>
            </w:r>
          </w:p>
        </w:tc>
      </w:tr>
      <w:tr w:rsidR="001C09C1" w:rsidRPr="00F37423" w14:paraId="3DF67A9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8B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B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A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4.138,75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7D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41,39</w:t>
            </w:r>
          </w:p>
        </w:tc>
      </w:tr>
      <w:tr w:rsidR="001C09C1" w:rsidRPr="00F37423" w14:paraId="228F98C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77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DF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96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C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3.138,75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3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34,88</w:t>
            </w:r>
          </w:p>
        </w:tc>
      </w:tr>
      <w:tr w:rsidR="001C09C1" w:rsidRPr="00F37423" w14:paraId="6EA3CAC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B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6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0E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B5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3.138,75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06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F46A58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1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72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90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E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1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DAB07C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F3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C7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63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34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82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04AF3DC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986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FD2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MOMJAN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D6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86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FC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E6E3AF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6B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01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5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E8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6225B55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91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E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7E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9C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FD3C12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15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31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9C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B3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E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F02655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33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6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A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B5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1F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39738D6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754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E0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MJESNI ODBOR TRIBAN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11B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47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B4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3C98D9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A0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8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12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05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12E1B13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B2B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7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D0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B7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8846FC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30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29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1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B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0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B69A17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0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6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8D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18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1D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D38C803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D3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C8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RAD VIJEĆA I PREDSTAVNIKA NACIONALNIH MANJINA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59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1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12.401,45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830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47,27</w:t>
            </w:r>
          </w:p>
        </w:tc>
      </w:tr>
      <w:tr w:rsidR="001C09C1" w:rsidRPr="00F37423" w14:paraId="1828D0DC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E97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53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RAD VIJEĆA TALIJANSKE NACIONALNE MANJINE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48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26.234,14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E5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12.401,45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B9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47,27</w:t>
            </w:r>
          </w:p>
        </w:tc>
      </w:tr>
      <w:tr w:rsidR="001C09C1" w:rsidRPr="00F37423" w14:paraId="3C75E0D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35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0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26.234,14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B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12.401,45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53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47,27</w:t>
            </w:r>
          </w:p>
        </w:tc>
      </w:tr>
      <w:tr w:rsidR="001C09C1" w:rsidRPr="00F37423" w14:paraId="401DD77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CE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955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26.234,14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3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12.401,45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EF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47,27</w:t>
            </w:r>
          </w:p>
        </w:tc>
      </w:tr>
      <w:tr w:rsidR="001C09C1" w:rsidRPr="00F37423" w14:paraId="01DA1F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73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99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8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9.050,00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91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9.047,91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8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1C09C1" w:rsidRPr="00F37423" w14:paraId="4B33153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DA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7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D1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FB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9.047,91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D2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E3129A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14C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D0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1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2D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95B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6C36A0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0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A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95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460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BC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18A132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99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2C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F5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16.418,34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D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2.587,74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9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15,76</w:t>
            </w:r>
          </w:p>
        </w:tc>
      </w:tr>
      <w:tr w:rsidR="001C09C1" w:rsidRPr="00F37423" w14:paraId="19953EA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B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9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D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31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1.061,05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7A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04336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8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DE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FC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9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1.405,97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D0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32B22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34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FA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BD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05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120,72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0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3E68C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E8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37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FE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415,80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C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415,80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EE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E29906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1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2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BFE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5B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415,80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78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29A451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C20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GLAVA 00102 UPRAVNI ODJEL ZA OPĆE POSLOVE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04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9.471.738,77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A0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8.186.604,40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383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86,43</w:t>
            </w:r>
          </w:p>
        </w:tc>
      </w:tr>
      <w:tr w:rsidR="001C09C1" w:rsidRPr="00F37423" w14:paraId="2C3593C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C4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3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7.342.588,85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FD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6.176.956,50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93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84,13</w:t>
            </w:r>
          </w:p>
        </w:tc>
      </w:tr>
      <w:tr w:rsidR="001C09C1" w:rsidRPr="00F37423" w14:paraId="200BBDE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D0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C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7.342.588,85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8E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6.176.956,50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B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84,13</w:t>
            </w:r>
          </w:p>
        </w:tc>
      </w:tr>
      <w:tr w:rsidR="001C09C1" w:rsidRPr="00F37423" w14:paraId="4AC758C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EE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32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234.500,00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AE7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203.856,99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AB5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86,93</w:t>
            </w:r>
          </w:p>
        </w:tc>
      </w:tr>
      <w:tr w:rsidR="001C09C1" w:rsidRPr="00F37423" w14:paraId="4516EFF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23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88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234.500,00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6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203.856,99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0C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86,93</w:t>
            </w:r>
          </w:p>
        </w:tc>
      </w:tr>
      <w:tr w:rsidR="001C09C1" w:rsidRPr="00F37423" w14:paraId="0C60CED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0F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4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138.587,50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FC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138.587,50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E1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D503B3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35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9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138.587,50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4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138.587,50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B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931E64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29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B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1.756.062,42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4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1.667.203,41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3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94,94</w:t>
            </w:r>
          </w:p>
        </w:tc>
      </w:tr>
      <w:tr w:rsidR="001C09C1" w:rsidRPr="00F37423" w14:paraId="1F0069B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7E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3E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1.756.062,42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DC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1.667.203,41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4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94,94</w:t>
            </w:r>
          </w:p>
        </w:tc>
      </w:tr>
      <w:tr w:rsidR="001C09C1" w:rsidRPr="00F37423" w14:paraId="3D44970C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07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BC1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REDOVNA DJELATNOST UPRAVNIH ODJELA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3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5.569.612,42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2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5.113.649,42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E7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91,81</w:t>
            </w:r>
          </w:p>
        </w:tc>
      </w:tr>
      <w:tr w:rsidR="001C09C1" w:rsidRPr="00F37423" w14:paraId="568CED8A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75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26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99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1.484.100,00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9B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1.412.159,96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33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95,15</w:t>
            </w:r>
          </w:p>
        </w:tc>
      </w:tr>
      <w:tr w:rsidR="001C09C1" w:rsidRPr="00F37423" w14:paraId="6CE8730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A4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DA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1.484.100,00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F52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1.412.159,96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6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95,15</w:t>
            </w:r>
          </w:p>
        </w:tc>
      </w:tr>
      <w:tr w:rsidR="001C09C1" w:rsidRPr="00F37423" w14:paraId="70B4BD0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50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A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1.484.100,00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D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1.412.159,96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9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95,15</w:t>
            </w:r>
          </w:p>
        </w:tc>
      </w:tr>
      <w:tr w:rsidR="001C09C1" w:rsidRPr="00F37423" w14:paraId="2773119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2E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2F9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9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C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1.170.290,93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D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95,93</w:t>
            </w:r>
          </w:p>
        </w:tc>
      </w:tr>
      <w:tr w:rsidR="001C09C1" w:rsidRPr="00F37423" w14:paraId="69AB184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C1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D5F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2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C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1.122.630,08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B9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E1A66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78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78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1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D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47.660,85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C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099AAA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22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9A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A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62.800,00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E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54.275,00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C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86,43</w:t>
            </w:r>
          </w:p>
        </w:tc>
      </w:tr>
      <w:tr w:rsidR="001C09C1" w:rsidRPr="00F37423" w14:paraId="542668E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9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C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CA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B0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54.275,00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00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07DBA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DC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63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0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201.300,00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9B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187.594,03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18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93,19</w:t>
            </w:r>
          </w:p>
        </w:tc>
      </w:tr>
      <w:tr w:rsidR="001C09C1" w:rsidRPr="00F37423" w14:paraId="3FAE143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D2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8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DF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4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187.594,03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25F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8998C8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873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A100009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D42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ZAJEDNIČKI MATERIJALNI I FINANCIJSKI RASHODI GRADSKE UPRAVE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91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1.760.370,00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00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1.495.386,97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89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84,95</w:t>
            </w:r>
          </w:p>
        </w:tc>
      </w:tr>
      <w:tr w:rsidR="001C09C1" w:rsidRPr="00F37423" w14:paraId="4C7C9E8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8F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C5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1.756.450,00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3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1.491.466,97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5F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84,91</w:t>
            </w:r>
          </w:p>
        </w:tc>
      </w:tr>
      <w:tr w:rsidR="001C09C1" w:rsidRPr="00F37423" w14:paraId="0127CC1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E8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FA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1.756.450,00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08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1.491.466,97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A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84,91</w:t>
            </w:r>
          </w:p>
        </w:tc>
      </w:tr>
      <w:tr w:rsidR="001C09C1" w:rsidRPr="00F37423" w14:paraId="0EA844D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E7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5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0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198.500,00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4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152.257,80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3E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76,70</w:t>
            </w:r>
          </w:p>
        </w:tc>
      </w:tr>
      <w:tr w:rsidR="001C09C1" w:rsidRPr="00F37423" w14:paraId="387719E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DF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E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6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B4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14.251,44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C1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5ADDAE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78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48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9A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5B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127.681,36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3E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5ED53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0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3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E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74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10.325,00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7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149BEC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F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62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5E0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F0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B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DB6B57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28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0B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5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212.700,00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3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181.029,21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E3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85,11</w:t>
            </w:r>
          </w:p>
        </w:tc>
      </w:tr>
      <w:tr w:rsidR="001C09C1" w:rsidRPr="00F37423" w14:paraId="2ED75BC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2D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5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7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2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69.823,86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8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B5CE7B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C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9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6D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8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94.997,93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81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38DB83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3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3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A3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62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651,99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5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66E1C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2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1F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6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D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13.743,45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E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D1961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31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3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81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07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1.811,98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43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CB2594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47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8A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1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1.039.750,00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4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924.883,70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DD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88,95</w:t>
            </w:r>
          </w:p>
        </w:tc>
      </w:tr>
      <w:tr w:rsidR="001C09C1" w:rsidRPr="00F37423" w14:paraId="7640314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93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5C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0B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DF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181.784,79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F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1E1DCD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D7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15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2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6F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65.028,26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A3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C8044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9C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86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4E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7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238.115,70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2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0CCAEB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5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C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36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D2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12.334,88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F3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A0CB5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A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09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AA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8E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25.020,00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A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24DDB3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64D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1B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A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FB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51.986,58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72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E475D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8F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17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A9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5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144.625,29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0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2CB26F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1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03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5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34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205.988,20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61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8B94C3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8D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C2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09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215.500,00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A3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161.174,44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E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74,79</w:t>
            </w:r>
          </w:p>
        </w:tc>
      </w:tr>
      <w:tr w:rsidR="001C09C1" w:rsidRPr="00F37423" w14:paraId="4EB60D0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1D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5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4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6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101.120,97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30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6C09B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978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1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C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33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12.147,77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5F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A32F6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285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5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Članarine i norme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0B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85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16.526,16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4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355E7D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E6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4B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F1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27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13.587,62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4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16B4A4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D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0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9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E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7.691,92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0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021066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5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16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A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8B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10.100,00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07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552B90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1F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7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08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FC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72.121,82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F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80,14</w:t>
            </w:r>
          </w:p>
        </w:tc>
      </w:tr>
      <w:tr w:rsidR="001C09C1" w:rsidRPr="00F37423" w14:paraId="3E14CAF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08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E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0C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F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61.427,70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BD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80250A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2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39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E5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8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606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17B80F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96A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E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48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0F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711,92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7E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E6E948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B5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0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B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E2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9.982,20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4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F9CB0E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54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5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3.920,00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64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3.920,00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7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BE4053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1A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CF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3.920,00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B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3.920,00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89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82C5FF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F9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05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4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3.920,00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1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3.920,00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0A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E9B1BF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DA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6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A5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5A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3.920,00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D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8AAFC6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BF76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A76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OTPLATA KREDITA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A9E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2.210.142,42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20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2.166.430,04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B5A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98,02</w:t>
            </w:r>
          </w:p>
        </w:tc>
      </w:tr>
      <w:tr w:rsidR="001C09C1" w:rsidRPr="00F37423" w14:paraId="3A22481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D0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3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573.000,00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8F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542.819,08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C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94,73</w:t>
            </w:r>
          </w:p>
        </w:tc>
      </w:tr>
      <w:tr w:rsidR="001C09C1" w:rsidRPr="00F37423" w14:paraId="7BCA714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C0A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9B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573.000,00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A01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542.819,08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A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94,73</w:t>
            </w:r>
          </w:p>
        </w:tc>
      </w:tr>
      <w:tr w:rsidR="001C09C1" w:rsidRPr="00F37423" w14:paraId="353DE2E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55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342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F5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6F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11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67.421,33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E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92,36</w:t>
            </w:r>
          </w:p>
        </w:tc>
      </w:tr>
      <w:tr w:rsidR="001C09C1" w:rsidRPr="00F37423" w14:paraId="7A40E5A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91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4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Kamate za primljene kredite i zajmove od kreditnih i ostalih financijskih institucija u javnom sekto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2A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4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6.752,89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C0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64058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E2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7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Kamate za primljene kredite i zajmove od kreditnih i ostalih financijskih institucija izvan javnog 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A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FE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60.668,44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F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759F92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04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4A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F8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9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475.397,75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1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95,08</w:t>
            </w:r>
          </w:p>
        </w:tc>
      </w:tr>
      <w:tr w:rsidR="001C09C1" w:rsidRPr="00F37423" w14:paraId="32EF6C2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F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5471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A0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DAF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B6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475.397,75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6B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0D14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98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19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1.637.142,42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5E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1.623.610,96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65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99,17</w:t>
            </w:r>
          </w:p>
        </w:tc>
      </w:tr>
      <w:tr w:rsidR="001C09C1" w:rsidRPr="00F37423" w14:paraId="030C696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01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C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1.637.142,42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B5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1.623.610,96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1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99,17</w:t>
            </w:r>
          </w:p>
        </w:tc>
      </w:tr>
      <w:tr w:rsidR="001C09C1" w:rsidRPr="00F37423" w14:paraId="707AF96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E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2E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u </w:t>
            </w:r>
            <w:proofErr w:type="spellStart"/>
            <w:r w:rsidRPr="00F37423">
              <w:rPr>
                <w:b/>
                <w:bCs/>
                <w:sz w:val="20"/>
                <w:szCs w:val="20"/>
              </w:rPr>
              <w:t>javn</w:t>
            </w:r>
            <w:proofErr w:type="spell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0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7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59.088,91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3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98,48</w:t>
            </w:r>
          </w:p>
        </w:tc>
      </w:tr>
      <w:tr w:rsidR="001C09C1" w:rsidRPr="00F37423" w14:paraId="69F66B3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B6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2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E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FF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59.088,91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00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A8C34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5D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68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3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1.577.142,42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0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1.564.522,05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42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99,20</w:t>
            </w:r>
          </w:p>
        </w:tc>
      </w:tr>
      <w:tr w:rsidR="001C09C1" w:rsidRPr="00F37423" w14:paraId="4DD7B79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2D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5443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A2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2B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DF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1.564.522,05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18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ADDE2D6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990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K100001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E56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NABAVA OPREME ZA POTREBE UPRAVNIH ODJELA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99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121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39.672,45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83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34,50</w:t>
            </w:r>
          </w:p>
        </w:tc>
      </w:tr>
      <w:tr w:rsidR="001C09C1" w:rsidRPr="00F37423" w14:paraId="19EBF83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75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F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8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39.672,45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8F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34,50</w:t>
            </w:r>
          </w:p>
        </w:tc>
      </w:tr>
      <w:tr w:rsidR="001C09C1" w:rsidRPr="00F37423" w14:paraId="507AC41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3B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6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463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39.672,45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18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34,50</w:t>
            </w:r>
          </w:p>
        </w:tc>
      </w:tr>
      <w:tr w:rsidR="001C09C1" w:rsidRPr="00F37423" w14:paraId="4A756F9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4C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6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C0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82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39.047,45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F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52,06</w:t>
            </w:r>
          </w:p>
        </w:tc>
      </w:tr>
      <w:tr w:rsidR="001C09C1" w:rsidRPr="00F37423" w14:paraId="49CB183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D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3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4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0F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39.047,45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FD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FE6F0B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8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5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C2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6E5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0D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180A7F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1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9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39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D4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01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1963E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A1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FC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A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2C6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A2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1,56</w:t>
            </w:r>
          </w:p>
        </w:tc>
      </w:tr>
      <w:tr w:rsidR="001C09C1" w:rsidRPr="00F37423" w14:paraId="7A0097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CA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F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6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CE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00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0242CAC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C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4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JAVNE POTREBE U PODRUČJU KULTURE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00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352.320,31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9C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343.820,31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D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97,59</w:t>
            </w:r>
          </w:p>
        </w:tc>
      </w:tr>
      <w:tr w:rsidR="001C09C1" w:rsidRPr="00F37423" w14:paraId="69744BA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7C5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A100020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85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POMOĆI ZA REDOVAN RAD UDRUGA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00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E5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A2B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63928D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0B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C1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26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2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891580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98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F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F2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7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A4A59A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E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B0E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6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B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DE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5A0944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A3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9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75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46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B4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BDDB6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A13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A100024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6A6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KOMEMORATIVNE MANIFESTACIJE NOR-a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17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319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2AB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0A52CE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DF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3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13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8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6D56DB4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3A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1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AC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2D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727019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D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F7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8A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4A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06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75882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06D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4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D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467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AE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254637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E9C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A100104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543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FESTIVAL DELL' ISTROVENETO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57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B47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BE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93,46</w:t>
            </w:r>
          </w:p>
        </w:tc>
      </w:tr>
      <w:tr w:rsidR="001C09C1" w:rsidRPr="00F37423" w14:paraId="63F431D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BF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AA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3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8BB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578820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AF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B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72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E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47E22D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D4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27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AD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61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36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B244DE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5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8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EB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00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3E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C04489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15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28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F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0F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36E513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17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B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3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6D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2DAFD6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7F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2A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B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3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13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9C6142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824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5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FE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F7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2A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6B585A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35A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T100001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14B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Tekući projekt: PROJEKT - BUJSKI STATUT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C0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168.820,31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1AB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168.820,31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C0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377049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18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6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82.632,81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8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82.632,81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6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689594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FE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169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82.632,81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837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82.632,81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3B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EF5E9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B8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60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D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82.632,81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EF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82.632,81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C3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F57EE0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97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63DA" w14:textId="77777777" w:rsidR="00F37423" w:rsidRPr="00F37423" w:rsidRDefault="00F37423" w:rsidP="001C09C1">
            <w:pPr>
              <w:ind w:right="318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7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C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82.632,81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20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CE04AF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70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1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86.187,50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90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86.187,50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B2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D1A508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BC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13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86.187,50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8C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86.187,50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8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58142C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9E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3A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1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86.187,50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BE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86.187,50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3B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DC9156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3D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D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D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1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86.187,50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68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4BF9B1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0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4D6" w14:textId="77777777" w:rsidR="00F37423" w:rsidRPr="00F37423" w:rsidRDefault="00F37423" w:rsidP="001C09C1">
            <w:pPr>
              <w:tabs>
                <w:tab w:val="left" w:pos="8374"/>
              </w:tabs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JAVNE POTREBE U PODRUČJU ŠKOLSTVA, OBRAZOVANJA I MLADIH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93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750.500,00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B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630.760,13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31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84,05</w:t>
            </w:r>
          </w:p>
        </w:tc>
      </w:tr>
      <w:tr w:rsidR="001C09C1" w:rsidRPr="00F37423" w14:paraId="075DF2A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ED6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A100027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EDD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STIPENDIRANJE UČENIKA I STUDENATA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77EB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12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166.600,00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6EC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90,54</w:t>
            </w:r>
          </w:p>
        </w:tc>
      </w:tr>
      <w:tr w:rsidR="001C09C1" w:rsidRPr="00F37423" w14:paraId="4CA5DAC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90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C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03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166.600,00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C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90,54</w:t>
            </w:r>
          </w:p>
        </w:tc>
      </w:tr>
      <w:tr w:rsidR="001C09C1" w:rsidRPr="00F37423" w14:paraId="6CD4928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D8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C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B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166.600,00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54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90,54</w:t>
            </w:r>
          </w:p>
        </w:tc>
      </w:tr>
      <w:tr w:rsidR="001C09C1" w:rsidRPr="00F37423" w14:paraId="1FB77D6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D4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74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F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0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166.600,00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9B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90,54</w:t>
            </w:r>
          </w:p>
        </w:tc>
      </w:tr>
      <w:tr w:rsidR="001C09C1" w:rsidRPr="00F37423" w14:paraId="28BF145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4F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FA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CC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14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166.600,00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D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90FF0E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958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A100028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B41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 OSNOVNIM I SREDNJIM ŠKOLAMA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50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4AB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39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77,78</w:t>
            </w:r>
          </w:p>
        </w:tc>
      </w:tr>
      <w:tr w:rsidR="001C09C1" w:rsidRPr="00F37423" w14:paraId="54D186A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F0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9E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F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8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77,78</w:t>
            </w:r>
          </w:p>
        </w:tc>
      </w:tr>
      <w:tr w:rsidR="001C09C1" w:rsidRPr="00F37423" w14:paraId="732309F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14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8A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80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B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77,78</w:t>
            </w:r>
          </w:p>
        </w:tc>
      </w:tr>
      <w:tr w:rsidR="001C09C1" w:rsidRPr="00F37423" w14:paraId="2FB8851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59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5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7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7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9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77,78</w:t>
            </w:r>
          </w:p>
        </w:tc>
      </w:tr>
      <w:tr w:rsidR="001C09C1" w:rsidRPr="00F37423" w14:paraId="0965F1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FF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5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FB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23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585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153943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35A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A100029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8AB3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DONACIJE UDRUGAMA STUDENATA I MLADIH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76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B49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C2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49461A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51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A0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1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0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95417D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B1A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0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9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B5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D6B7B5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7F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BA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2B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C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D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656E203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5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2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D14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D8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8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E121BFE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71F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725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DODATNA SKRB O ŠKOLSKOJ DJECI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825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8AD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427.660,13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6F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82,24</w:t>
            </w:r>
          </w:p>
        </w:tc>
      </w:tr>
      <w:tr w:rsidR="001C09C1" w:rsidRPr="00F37423" w14:paraId="7048CF0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D17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52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C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427.660,13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3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82,24</w:t>
            </w:r>
          </w:p>
        </w:tc>
      </w:tr>
      <w:tr w:rsidR="001C09C1" w:rsidRPr="00F37423" w14:paraId="678443B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B8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5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1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427.660,13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0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82,24</w:t>
            </w:r>
          </w:p>
        </w:tc>
      </w:tr>
      <w:tr w:rsidR="001C09C1" w:rsidRPr="00F37423" w14:paraId="4EA7E5C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7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6B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4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9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412.460,13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0C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81,84</w:t>
            </w:r>
          </w:p>
        </w:tc>
      </w:tr>
      <w:tr w:rsidR="001C09C1" w:rsidRPr="00F37423" w14:paraId="26272BE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7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B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7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2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412.460,13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7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18E5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AC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54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8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F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15.200,00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0C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1C09C1" w:rsidRPr="00F37423" w14:paraId="0EED8F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48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B7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9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2A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15.200,00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B2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182E64A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6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12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PROGRAM JAVNIH POTREBA U SPORTU I REKREACIJI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11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2F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2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83A6E7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96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075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TEKUĆE DONACIJE SPORTSKOJ ZAJEDNICI GRADA BUJA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68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AE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AA1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ECB9CD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99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D3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24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4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E68F54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1B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F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8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8D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158885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80D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0D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7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F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0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CFC7BE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E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41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2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DD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745.000,00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CC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0E2A78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BE1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2CE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TEKUĆE DONACIJE SPORTSKIM I REKREATIVNIM UDRUGAMA / KLUBOVIMA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C05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667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46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32153B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96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95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6F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1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1D8A4F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51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47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C1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715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6C4577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F8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2F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6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1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0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88175D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08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9B1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1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F6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AA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9131F02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F7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25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PROGRAM JAVNIH POTREBA U OBLASTI ZDRAVSTVA I SOCIJALNE SKRBI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7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1.227.806,04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A2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1.064.833,00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1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86,73</w:t>
            </w:r>
          </w:p>
        </w:tc>
      </w:tr>
      <w:tr w:rsidR="001C09C1" w:rsidRPr="00F37423" w14:paraId="6B926FD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987F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BCE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GRADSKO DRUŠTVO CRVENOG KRIŽA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64C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210.720,00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0F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210.720,00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1E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E19AF1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06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7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210.720,00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F8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210.720,00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1E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C68D5F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60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8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210.720,00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8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210.720,00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A37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E32D18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343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0C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D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210.720,00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7D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210.720,00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D7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57E8AE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E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13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BB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7B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210.720,00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6C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E887495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DED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A100036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C1F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POMOĆI USTANOVAMA IZ OBLASTI SOCIJALNE SKRBI I ZDRAVSTVA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BF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211.160,00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113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209.160,00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5DE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99,05</w:t>
            </w:r>
          </w:p>
        </w:tc>
      </w:tr>
      <w:tr w:rsidR="001C09C1" w:rsidRPr="00F37423" w14:paraId="13BF9DB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76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3C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211.160,00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D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209.160,00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F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99,05</w:t>
            </w:r>
          </w:p>
        </w:tc>
      </w:tr>
      <w:tr w:rsidR="001C09C1" w:rsidRPr="00F37423" w14:paraId="28E6CA7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6D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5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211.160,00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EC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209.160,00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BB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99,05</w:t>
            </w:r>
          </w:p>
        </w:tc>
      </w:tr>
      <w:tr w:rsidR="001C09C1" w:rsidRPr="00F37423" w14:paraId="56137B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51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D5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1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143.160,00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63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141.160,00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48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98,60</w:t>
            </w:r>
          </w:p>
        </w:tc>
      </w:tr>
      <w:tr w:rsidR="001C09C1" w:rsidRPr="00F37423" w14:paraId="4830B1F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E32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46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88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82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141.160,00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E0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107513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6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2E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3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BA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1E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70E99A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15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F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54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F0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01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A4CB0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C8C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C17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SOCIJALNE POTPORE STANOVNIŠTVU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5BF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539.300,00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1F3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385.616,98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62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71,50</w:t>
            </w:r>
          </w:p>
        </w:tc>
      </w:tr>
      <w:tr w:rsidR="001C09C1" w:rsidRPr="00F37423" w14:paraId="3C0A7C0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FDE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35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536.900,00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73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383.216,98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1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71,38</w:t>
            </w:r>
          </w:p>
        </w:tc>
      </w:tr>
      <w:tr w:rsidR="001C09C1" w:rsidRPr="00F37423" w14:paraId="264AEEC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E8D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5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536.900,00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9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383.216,98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8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71,38</w:t>
            </w:r>
          </w:p>
        </w:tc>
      </w:tr>
      <w:tr w:rsidR="001C09C1" w:rsidRPr="00F37423" w14:paraId="060F58D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5B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F2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BC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536.900,00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0D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383.216,98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38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71,38</w:t>
            </w:r>
          </w:p>
        </w:tc>
      </w:tr>
      <w:tr w:rsidR="001C09C1" w:rsidRPr="00F37423" w14:paraId="2D9CC62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E1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C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6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B5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191.204,96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8E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6746AB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6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59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735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59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192.012,02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76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DB5B88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B3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2D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B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8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D61BC8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73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F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A2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8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591D6D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FED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F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9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B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2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7BE45A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D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94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AD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7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68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9F51BE5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5F5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B63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POTPORE UDRUGAMA SOCIJALNE SKRBI I ZDRAVSTVA NA PODRUČJU GRADA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254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478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6E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1736C4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09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E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79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DA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5CDBA9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70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7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DC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4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845A22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C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2C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63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C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7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706663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C9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69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D9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8B0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17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93B85E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B88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A100039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0B6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TEKUĆE DONACIJE UDRUGAMA I KORISNICIMA IZVAN GRADA BUJA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0F2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77.000,00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80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71.818,18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D2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93,27</w:t>
            </w:r>
          </w:p>
        </w:tc>
      </w:tr>
      <w:tr w:rsidR="001C09C1" w:rsidRPr="00F37423" w14:paraId="3C79E45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78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9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280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71.818,18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34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93,27</w:t>
            </w:r>
          </w:p>
        </w:tc>
      </w:tr>
      <w:tr w:rsidR="001C09C1" w:rsidRPr="00F37423" w14:paraId="05C2608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F5A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0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62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71.818,18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4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93,27</w:t>
            </w:r>
          </w:p>
        </w:tc>
      </w:tr>
      <w:tr w:rsidR="001C09C1" w:rsidRPr="00F37423" w14:paraId="15D5E79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59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62D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6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22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71.818,18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9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93,27</w:t>
            </w:r>
          </w:p>
        </w:tc>
      </w:tr>
      <w:tr w:rsidR="001C09C1" w:rsidRPr="00F37423" w14:paraId="0C0A60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E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A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D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00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71.818,18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60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B4C253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D98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A100040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26C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OSTALI SOCIJALNO ZDRAVSTVENI PROGRAMI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4BA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52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101.891,80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11D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97,97</w:t>
            </w:r>
          </w:p>
        </w:tc>
      </w:tr>
      <w:tr w:rsidR="001C09C1" w:rsidRPr="00F37423" w14:paraId="7246F66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E2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C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56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101.891,80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54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97,97</w:t>
            </w:r>
          </w:p>
        </w:tc>
      </w:tr>
      <w:tr w:rsidR="001C09C1" w:rsidRPr="00F37423" w14:paraId="26B04E6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26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63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A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101.891,80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E9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97,97</w:t>
            </w:r>
          </w:p>
        </w:tc>
      </w:tr>
      <w:tr w:rsidR="001C09C1" w:rsidRPr="00F37423" w14:paraId="39935B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67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037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7E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34C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891,18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A7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89,12</w:t>
            </w:r>
          </w:p>
        </w:tc>
      </w:tr>
      <w:tr w:rsidR="001C09C1" w:rsidRPr="00F37423" w14:paraId="6A04B9D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29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6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D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68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891,18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DE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11A4C4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58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22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CB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7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E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6D5FC4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7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2E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2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F6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86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2257F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AD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2F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B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9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C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5B24A0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F8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FC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75A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E0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14.001,11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2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100,01</w:t>
            </w:r>
          </w:p>
        </w:tc>
      </w:tr>
      <w:tr w:rsidR="001C09C1" w:rsidRPr="00F37423" w14:paraId="02ABB40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B4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7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A8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B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14.001,11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EB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032BFF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D8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C4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5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32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3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DD6E1B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4A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4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7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3E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60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DDE976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0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83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E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D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49.999,51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E9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F80833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7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8A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8D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4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49.999,51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DC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F803D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5E3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K100005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7E4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SUFINANCIRANJE IZGRADNJE OPĆE BOLNICE PULA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4FF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70.126,04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00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70.126,04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7B8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9F64EB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86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51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70.126,04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6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70.126,04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D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08E9FF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02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96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70.126,04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9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70.126,04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D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D397FB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AC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2B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9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70.126,04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A2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70.126,04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B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833651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6C6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B2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D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28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70.126,04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6C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622815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79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0F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PROGRAM POTICANJA RAZVOJA POLJOPRIVREDE, PODUZETNIŠTVA I TREĆEG SEKTORA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E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811.500,00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313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273.541,54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4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33,71</w:t>
            </w:r>
          </w:p>
        </w:tc>
      </w:tr>
      <w:tr w:rsidR="001C09C1" w:rsidRPr="00F37423" w14:paraId="7A1B56C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7C8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A100041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2B2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PROGRAM - GRADOVI ULJA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1E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E3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15BC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59D505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C6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3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8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6B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F61595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6B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1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F0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8A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023CFE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1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1F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E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C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F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3FDB8B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1B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38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5E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28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77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F72D32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476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A100042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60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PROGRAM - GRADOVI VINA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F5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0F7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5.722,50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29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98,66</w:t>
            </w:r>
          </w:p>
        </w:tc>
      </w:tr>
      <w:tr w:rsidR="001C09C1" w:rsidRPr="00F37423" w14:paraId="186413A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A0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33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2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5.722,50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2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98,66</w:t>
            </w:r>
          </w:p>
        </w:tc>
      </w:tr>
      <w:tr w:rsidR="001C09C1" w:rsidRPr="00F37423" w14:paraId="08B6C7B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9B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0C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2C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5.722,50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1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98,66</w:t>
            </w:r>
          </w:p>
        </w:tc>
      </w:tr>
      <w:tr w:rsidR="001C09C1" w:rsidRPr="00F37423" w14:paraId="5FAC956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55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FB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68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3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5.722,50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BC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98,66</w:t>
            </w:r>
          </w:p>
        </w:tc>
      </w:tr>
      <w:tr w:rsidR="001C09C1" w:rsidRPr="00F37423" w14:paraId="605AF30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C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07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Članarine i norme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F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78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5.722,50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34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6218CCE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F0C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A100045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88F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POMOĆI I DONACIJE UDRGAMA OD ZNAČAJA ZA RAZVOJ POLJOPRIVREDE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4B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BF5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DC0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6B4F0F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98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5C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0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CC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B05A27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41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62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D0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D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DBEB0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E9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6D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2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16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B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D0624F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E6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8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17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18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E3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AF40AD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8C5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A100046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CE6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POSEBNI PROGRAMI U OBLASTI GOSPODARSTVA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30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727.000,00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DA16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189.119,04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1B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26,01</w:t>
            </w:r>
          </w:p>
        </w:tc>
      </w:tr>
      <w:tr w:rsidR="001C09C1" w:rsidRPr="00F37423" w14:paraId="6176D12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61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61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8C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18.262,05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6D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3,48</w:t>
            </w:r>
          </w:p>
        </w:tc>
      </w:tr>
      <w:tr w:rsidR="001C09C1" w:rsidRPr="00F37423" w14:paraId="17856EA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C6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D5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72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18.262,05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54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3,48</w:t>
            </w:r>
          </w:p>
        </w:tc>
      </w:tr>
      <w:tr w:rsidR="001C09C1" w:rsidRPr="00F37423" w14:paraId="03D8E52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E4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2E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8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14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D9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618BB4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A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C9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Članarine i norme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83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E0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D6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A04636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93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FE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C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1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12.762,05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0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2,45</w:t>
            </w:r>
          </w:p>
        </w:tc>
      </w:tr>
      <w:tr w:rsidR="001C09C1" w:rsidRPr="00F37423" w14:paraId="01DD5E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A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2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FE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ED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12.762,05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29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35A2D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9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E5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F2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3D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FB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DD45B4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4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83C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532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B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B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EB871D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A8E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9D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73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C0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31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9E3C3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1B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56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1F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170.856,99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47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84,79</w:t>
            </w:r>
          </w:p>
        </w:tc>
      </w:tr>
      <w:tr w:rsidR="001C09C1" w:rsidRPr="00F37423" w14:paraId="37D95C0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B3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5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7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170.856,99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3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84,79</w:t>
            </w:r>
          </w:p>
        </w:tc>
      </w:tr>
      <w:tr w:rsidR="001C09C1" w:rsidRPr="00F37423" w14:paraId="0ED4623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D1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00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CE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E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44.750,00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1C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105,29</w:t>
            </w:r>
          </w:p>
        </w:tc>
      </w:tr>
      <w:tr w:rsidR="001C09C1" w:rsidRPr="00F37423" w14:paraId="17E64C6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8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E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2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7D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8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0463B0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1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273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A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FC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42.150,00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F7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9CA90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16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4C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0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06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61.106,99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93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72,75</w:t>
            </w:r>
          </w:p>
        </w:tc>
      </w:tr>
      <w:tr w:rsidR="001C09C1" w:rsidRPr="00F37423" w14:paraId="4D65DFF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20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0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1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ED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59.606,99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0F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E4DDD7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A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71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3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92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3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5E5EA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A3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25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77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4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D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964B50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6B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D6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C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A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F6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2ED21C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86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F2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9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AD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A3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6C397C2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E9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A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08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F6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4A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E3B5E5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AE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28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03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9A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2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1A4919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C5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0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E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DE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06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B30051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0A9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5B8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VALORIZACIJA MOMJANSKOG MUŠKATA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A4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83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E9D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342513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CD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69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59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E8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7EC20C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CC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4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2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0A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29DEA7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26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DD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7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B0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E2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63B9666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69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18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5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B1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1D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E9DD3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AEA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1FF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RAZVOJ CIVILNOG DRUŠTVA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7A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512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33.700,00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B5C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747E63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B7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E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33.700,00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7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33.700,00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9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1426F1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7D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5E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33.700,00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52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33.700,00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1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9156B7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CA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3E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20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23.700,00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6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23.700,00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F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2A9663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27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89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3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D6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23.700,00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2C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29282D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061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1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510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2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0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919508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24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B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06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2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28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19E4159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EEA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GLAVA 00103 DJEČJI VRTIĆI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5B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6.382.215,26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E91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6.113.008,10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3C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95,78</w:t>
            </w:r>
          </w:p>
        </w:tc>
      </w:tr>
      <w:tr w:rsidR="001C09C1" w:rsidRPr="00F37423" w14:paraId="74C420A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1F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1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4.695.471,81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A1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4.575.266,98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3D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97,44</w:t>
            </w:r>
          </w:p>
        </w:tc>
      </w:tr>
      <w:tr w:rsidR="001C09C1" w:rsidRPr="00F37423" w14:paraId="49A302C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7B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9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4.695.471,81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2C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4.575.266,98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E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97,44</w:t>
            </w:r>
          </w:p>
        </w:tc>
      </w:tr>
      <w:tr w:rsidR="001C09C1" w:rsidRPr="00F37423" w14:paraId="570C1F5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80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37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34.103,17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1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26.330,17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E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77,21</w:t>
            </w:r>
          </w:p>
        </w:tc>
      </w:tr>
      <w:tr w:rsidR="001C09C1" w:rsidRPr="00F37423" w14:paraId="60EE75F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BC4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C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34.103,17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7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26.330,17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C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77,21</w:t>
            </w:r>
          </w:p>
        </w:tc>
      </w:tr>
      <w:tr w:rsidR="001C09C1" w:rsidRPr="00F37423" w14:paraId="770216F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E1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84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1.138.197,27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4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962.339,34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22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84,55</w:t>
            </w:r>
          </w:p>
        </w:tc>
      </w:tr>
      <w:tr w:rsidR="001C09C1" w:rsidRPr="00F37423" w14:paraId="4CD655C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EF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A7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1.138.197,27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A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962.339,34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53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84,55</w:t>
            </w:r>
          </w:p>
        </w:tc>
      </w:tr>
      <w:tr w:rsidR="001C09C1" w:rsidRPr="00F37423" w14:paraId="7FA9D9F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29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25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475.200,00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7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513.092,91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2A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107,97</w:t>
            </w:r>
          </w:p>
        </w:tc>
      </w:tr>
      <w:tr w:rsidR="001C09C1" w:rsidRPr="00F37423" w14:paraId="579A6C6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42B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DF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475.200,00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C7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513.092,91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D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107,97</w:t>
            </w:r>
          </w:p>
        </w:tc>
      </w:tr>
      <w:tr w:rsidR="001C09C1" w:rsidRPr="00F37423" w14:paraId="434E5FA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99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7B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39.243,01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3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35.978,70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C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91,68</w:t>
            </w:r>
          </w:p>
        </w:tc>
      </w:tr>
      <w:tr w:rsidR="001C09C1" w:rsidRPr="00F37423" w14:paraId="05497FE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B6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BF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39.243,01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8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35.978,70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EA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91,68</w:t>
            </w:r>
          </w:p>
        </w:tc>
      </w:tr>
      <w:tr w:rsidR="001C09C1" w:rsidRPr="00F37423" w14:paraId="01E535F7" w14:textId="77777777" w:rsidTr="005204EE">
        <w:trPr>
          <w:gridAfter w:val="1"/>
          <w:wAfter w:w="50" w:type="pct"/>
          <w:trHeight w:val="39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326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PROR. KORISNIK 36305 DJEČJI VRTIĆ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A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3.881.433,63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17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3.826.145,10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6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98,58</w:t>
            </w:r>
          </w:p>
        </w:tc>
      </w:tr>
      <w:tr w:rsidR="001C09C1" w:rsidRPr="00F37423" w14:paraId="5A30E92D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92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7DB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DJELATNOST DJEČJEG VRTIĆA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1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3.881.433,63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2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3.826.145,10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2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98,58</w:t>
            </w:r>
          </w:p>
        </w:tc>
      </w:tr>
      <w:tr w:rsidR="001C09C1" w:rsidRPr="00F37423" w14:paraId="5E30A1E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559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0B5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5E3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2.954.520,01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85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3.004.484,06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717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101,69</w:t>
            </w:r>
          </w:p>
        </w:tc>
      </w:tr>
      <w:tr w:rsidR="001C09C1" w:rsidRPr="00F37423" w14:paraId="6D69C7C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74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C0C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2.734.520,01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C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2.795.057,66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FE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102,21</w:t>
            </w:r>
          </w:p>
        </w:tc>
      </w:tr>
      <w:tr w:rsidR="001C09C1" w:rsidRPr="00F37423" w14:paraId="0954F79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41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CF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2.734.520,01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FB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2.795.057,66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C2C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102,21</w:t>
            </w:r>
          </w:p>
        </w:tc>
      </w:tr>
      <w:tr w:rsidR="001C09C1" w:rsidRPr="00F37423" w14:paraId="1A7341B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85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9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C5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2.195.193,20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E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2.249.903,43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D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102,49</w:t>
            </w:r>
          </w:p>
        </w:tc>
      </w:tr>
      <w:tr w:rsidR="001C09C1" w:rsidRPr="00F37423" w14:paraId="0A502E9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32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9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DA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38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2.249.903,43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48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34E7B3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F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D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8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150.637,60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4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148.287,60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9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1C09C1" w:rsidRPr="00F37423" w14:paraId="68E0A8C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3E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1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4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4F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148.287,60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F81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2A0E3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3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07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EF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362.206,80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C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371.234,22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DF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102,49</w:t>
            </w:r>
          </w:p>
        </w:tc>
      </w:tr>
      <w:tr w:rsidR="001C09C1" w:rsidRPr="00F37423" w14:paraId="774250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2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3F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67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02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371.234,22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6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B2B9A5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81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17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B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26.482,41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B5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25.632,41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3A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96,79</w:t>
            </w:r>
          </w:p>
        </w:tc>
      </w:tr>
      <w:tr w:rsidR="001C09C1" w:rsidRPr="00F37423" w14:paraId="719C226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4C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3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24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8D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25.632,41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C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3BC99B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50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B7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2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209.426,40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E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95,19</w:t>
            </w:r>
          </w:p>
        </w:tc>
      </w:tr>
      <w:tr w:rsidR="001C09C1" w:rsidRPr="00F37423" w14:paraId="317789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2E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1F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6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209.426,40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0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95,19</w:t>
            </w:r>
          </w:p>
        </w:tc>
      </w:tr>
      <w:tr w:rsidR="001C09C1" w:rsidRPr="00F37423" w14:paraId="49FB4DD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6A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EB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F4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188.841,20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8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179.765,19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E3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95,19</w:t>
            </w:r>
          </w:p>
        </w:tc>
      </w:tr>
      <w:tr w:rsidR="001C09C1" w:rsidRPr="00F37423" w14:paraId="377F7DD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16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22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38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0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179.765,19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6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4D9E83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14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E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6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31.158,80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0B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29.661,21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3C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95,19</w:t>
            </w:r>
          </w:p>
        </w:tc>
      </w:tr>
      <w:tr w:rsidR="001C09C1" w:rsidRPr="00F37423" w14:paraId="331F2D5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AE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8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AD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EF3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29.661,21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30A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E81605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137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59D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MATERIJALNI RASHODI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EA3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600.213,62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1B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503.992,88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16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83,97</w:t>
            </w:r>
          </w:p>
        </w:tc>
      </w:tr>
      <w:tr w:rsidR="001C09C1" w:rsidRPr="00F37423" w14:paraId="705C373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53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2C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194.193,49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1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179.261,49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3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92,31</w:t>
            </w:r>
          </w:p>
        </w:tc>
      </w:tr>
      <w:tr w:rsidR="001C09C1" w:rsidRPr="00F37423" w14:paraId="1A195C6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DE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5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194.193,49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15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179.261,49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91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92,31</w:t>
            </w:r>
          </w:p>
        </w:tc>
      </w:tr>
      <w:tr w:rsidR="001C09C1" w:rsidRPr="00F37423" w14:paraId="69101C6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51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4E2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4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E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160.068,00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E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91,47</w:t>
            </w:r>
          </w:p>
        </w:tc>
      </w:tr>
      <w:tr w:rsidR="001C09C1" w:rsidRPr="00F37423" w14:paraId="1B97C71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92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5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C1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C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160.068,00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71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D92BE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DF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F3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7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19.193,49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1D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19.193,49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3B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E505A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A0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D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4A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AE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19.193,49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0EE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6AB971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964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5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4A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72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1,04</w:t>
            </w:r>
          </w:p>
        </w:tc>
      </w:tr>
      <w:tr w:rsidR="001C09C1" w:rsidRPr="00F37423" w14:paraId="50DADF8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5D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42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A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9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1,04</w:t>
            </w:r>
          </w:p>
        </w:tc>
      </w:tr>
      <w:tr w:rsidR="001C09C1" w:rsidRPr="00F37423" w14:paraId="3D11236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DB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C9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7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3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98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1,04</w:t>
            </w:r>
          </w:p>
        </w:tc>
      </w:tr>
      <w:tr w:rsidR="001C09C1" w:rsidRPr="00F37423" w14:paraId="2C8DCB0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A7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5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9B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1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6A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7679D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ED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D5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390.700,13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32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312.498,39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89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79,98</w:t>
            </w:r>
          </w:p>
        </w:tc>
      </w:tr>
      <w:tr w:rsidR="001C09C1" w:rsidRPr="00F37423" w14:paraId="275DCBB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8F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2F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390.700,13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2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312.498,39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1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79,98</w:t>
            </w:r>
          </w:p>
        </w:tc>
      </w:tr>
      <w:tr w:rsidR="001C09C1" w:rsidRPr="00F37423" w14:paraId="31F49C7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27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7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E7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AC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1.692,50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87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21,84</w:t>
            </w:r>
          </w:p>
        </w:tc>
      </w:tr>
      <w:tr w:rsidR="001C09C1" w:rsidRPr="00F37423" w14:paraId="31CA641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F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7B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8B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C91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E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8C4C98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77E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56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4F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F9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8D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4D611A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A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E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78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57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4F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41411A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B3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1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2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214.271,39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AD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178.857,99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05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83,47</w:t>
            </w:r>
          </w:p>
        </w:tc>
      </w:tr>
      <w:tr w:rsidR="001C09C1" w:rsidRPr="00F37423" w14:paraId="74F5DE1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8D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710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9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CE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35.308,53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55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AF3D6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B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EF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9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36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82,01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3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F92CDA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B1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38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4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E6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107.373,69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9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B31A2D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FA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7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9F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BB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29.340,26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4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1C9B9E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A9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E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7B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96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BD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E6E66E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8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3E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68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CE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6.753,50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2F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C2716C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650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3C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E5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162.078,74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4A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127.183,22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7B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78,47</w:t>
            </w:r>
          </w:p>
        </w:tc>
      </w:tr>
      <w:tr w:rsidR="001C09C1" w:rsidRPr="00F37423" w14:paraId="5DB9DB5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47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F3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0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70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25.457,58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3E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54E220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A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6DE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9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FD5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32.595,27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6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62CBC6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E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3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90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CC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CE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4EA715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D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2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6E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BF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27.817,88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3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ED61D4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F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C7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5D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79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7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B643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3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AE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6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65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18.433,75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EB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943B30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3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F4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12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A61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1.180,00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C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CB88D1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F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5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53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6D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18.086,00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B8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2B7D72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7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5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4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05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612,74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5F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A4EDE4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6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1C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13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FB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4.764,68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1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72,19</w:t>
            </w:r>
          </w:p>
        </w:tc>
      </w:tr>
      <w:tr w:rsidR="001C09C1" w:rsidRPr="00F37423" w14:paraId="3121D89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5F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48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43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6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886,68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A9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D990D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B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D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F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2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45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8463C9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E1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7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F2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AE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2.086,50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4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003B04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9F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8A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6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7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1.791,50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12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D051D8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D8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E7B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8.320,00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A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1C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146,15</w:t>
            </w:r>
          </w:p>
        </w:tc>
      </w:tr>
      <w:tr w:rsidR="001C09C1" w:rsidRPr="00F37423" w14:paraId="7518141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DC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4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8.320,00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DA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9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146,15</w:t>
            </w:r>
          </w:p>
        </w:tc>
      </w:tr>
      <w:tr w:rsidR="001C09C1" w:rsidRPr="00F37423" w14:paraId="6245CD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B1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77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AFD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8.320,00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1B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9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146,15</w:t>
            </w:r>
          </w:p>
        </w:tc>
      </w:tr>
      <w:tr w:rsidR="001C09C1" w:rsidRPr="00F37423" w14:paraId="0A41DA4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F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9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F3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3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12.160,00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22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DCC5F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AD2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CFC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OSTALE AKTIVNOSTI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66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E31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10.118,50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1C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84,32</w:t>
            </w:r>
          </w:p>
        </w:tc>
      </w:tr>
      <w:tr w:rsidR="001C09C1" w:rsidRPr="00F37423" w14:paraId="6E3F616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3D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9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1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8.868,50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DF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73,90</w:t>
            </w:r>
          </w:p>
        </w:tc>
      </w:tr>
      <w:tr w:rsidR="001C09C1" w:rsidRPr="00F37423" w14:paraId="25E6997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CF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3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4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8.868,50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93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73,90</w:t>
            </w:r>
          </w:p>
        </w:tc>
      </w:tr>
      <w:tr w:rsidR="001C09C1" w:rsidRPr="00F37423" w14:paraId="39F3CAB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33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C8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8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B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8.868,50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A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73,90</w:t>
            </w:r>
          </w:p>
        </w:tc>
      </w:tr>
      <w:tr w:rsidR="001C09C1" w:rsidRPr="00F37423" w14:paraId="1DDD856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92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50E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FC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52D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8.868,50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F1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ED8D65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B8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8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8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05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151B6E5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67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8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2C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61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2E0530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20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8A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D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A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B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96768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A4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D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4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59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16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62A8F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5B1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A100088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6D2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RAD S DJECOM U GRUPAMA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3F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56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51.626,62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445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179,26</w:t>
            </w:r>
          </w:p>
        </w:tc>
      </w:tr>
      <w:tr w:rsidR="001C09C1" w:rsidRPr="00F37423" w14:paraId="01C8FE5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DB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56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B6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51.626,62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14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179,26</w:t>
            </w:r>
          </w:p>
        </w:tc>
      </w:tr>
      <w:tr w:rsidR="001C09C1" w:rsidRPr="00F37423" w14:paraId="4C8FC7E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6D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9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D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51.626,62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29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179,26</w:t>
            </w:r>
          </w:p>
        </w:tc>
      </w:tr>
      <w:tr w:rsidR="001C09C1" w:rsidRPr="00F37423" w14:paraId="08FA1F1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CF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11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81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CA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51.626,62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E0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179,26</w:t>
            </w:r>
          </w:p>
        </w:tc>
      </w:tr>
      <w:tr w:rsidR="001C09C1" w:rsidRPr="00F37423" w14:paraId="594EA2E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E1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4C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0D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46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51.626,62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FE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F64644C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392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A100089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7B9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PREHRANA DJECE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4C0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268.000,00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A1E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245.133,12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2B0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91,47</w:t>
            </w:r>
          </w:p>
        </w:tc>
      </w:tr>
      <w:tr w:rsidR="001C09C1" w:rsidRPr="00F37423" w14:paraId="26B39E2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1A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1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5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26.154,00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4D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96,87</w:t>
            </w:r>
          </w:p>
        </w:tc>
      </w:tr>
      <w:tr w:rsidR="001C09C1" w:rsidRPr="00F37423" w14:paraId="39AFF84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02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A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31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26.154,00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B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96,87</w:t>
            </w:r>
          </w:p>
        </w:tc>
      </w:tr>
      <w:tr w:rsidR="001C09C1" w:rsidRPr="00F37423" w14:paraId="3B695EF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16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37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4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E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26.154,00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7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96,87</w:t>
            </w:r>
          </w:p>
        </w:tc>
      </w:tr>
      <w:tr w:rsidR="001C09C1" w:rsidRPr="00F37423" w14:paraId="5290CE4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E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DE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32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4C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26.154,00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77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1F5E73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9EC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7B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D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218.979,12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4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90,86</w:t>
            </w:r>
          </w:p>
        </w:tc>
      </w:tr>
      <w:tr w:rsidR="001C09C1" w:rsidRPr="00F37423" w14:paraId="0AF1372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1D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E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B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218.979,12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1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90,86</w:t>
            </w:r>
          </w:p>
        </w:tc>
      </w:tr>
      <w:tr w:rsidR="001C09C1" w:rsidRPr="00F37423" w14:paraId="393C45A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CF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F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B9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6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218.979,12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82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90,86</w:t>
            </w:r>
          </w:p>
        </w:tc>
      </w:tr>
      <w:tr w:rsidR="001C09C1" w:rsidRPr="00F37423" w14:paraId="4272D6E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49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65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B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4E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218.979,12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8D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8035276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12D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C78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IZLETI I TEMATSKI VEZANA PUTOVANJA DJECE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E9F8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5E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10.789,92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E2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112,40</w:t>
            </w:r>
          </w:p>
        </w:tc>
      </w:tr>
      <w:tr w:rsidR="001C09C1" w:rsidRPr="00F37423" w14:paraId="3E75819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9C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6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0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10.789,92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D9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112,40</w:t>
            </w:r>
          </w:p>
        </w:tc>
      </w:tr>
      <w:tr w:rsidR="001C09C1" w:rsidRPr="00F37423" w14:paraId="4D0334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AB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8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1D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10.789,92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5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112,40</w:t>
            </w:r>
          </w:p>
        </w:tc>
      </w:tr>
      <w:tr w:rsidR="001C09C1" w:rsidRPr="00F37423" w14:paraId="41C8886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F0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F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F7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C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10.789,92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75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112,40</w:t>
            </w:r>
          </w:p>
        </w:tc>
      </w:tr>
      <w:tr w:rsidR="001C09C1" w:rsidRPr="00F37423" w14:paraId="0BBF37E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4A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1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5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66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10.789,92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8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7757FF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5F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K100003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E8C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NABAVA NEFINANCIJSKE IMOVINE - DV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D67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8.300,00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7413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88D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0F2565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265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1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8.300,00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26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4B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85C7B9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6E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4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8.300,00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8FF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D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2DC3B8B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EA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C5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F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69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2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D9C723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8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F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B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26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6B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86B31A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1F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A0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6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BB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FE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816FF5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8B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88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6E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5E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BF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6ABED2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F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6B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A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EA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BC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0ABBA08" w14:textId="77777777" w:rsidTr="005204EE">
        <w:trPr>
          <w:gridAfter w:val="1"/>
          <w:wAfter w:w="50" w:type="pct"/>
          <w:trHeight w:val="39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B6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PROR. KORISNIK 38663 TALIJANSKI DJEČJI VRTIĆ MRVICA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2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2.500.781,63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1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2.286.863,00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88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91,45</w:t>
            </w:r>
          </w:p>
        </w:tc>
      </w:tr>
      <w:tr w:rsidR="001C09C1" w:rsidRPr="00F37423" w14:paraId="6125C457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7C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B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DJELATNOST TALIJANSKOG DJEČJEG VRTIĆA MRVICA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B5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2.500.781,63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1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2.286.863,00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E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91,45</w:t>
            </w:r>
          </w:p>
        </w:tc>
      </w:tr>
      <w:tr w:rsidR="001C09C1" w:rsidRPr="00F37423" w14:paraId="40B0AAD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269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E7F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AD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1.831.835,00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15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1.702.244,18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37D7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92,93</w:t>
            </w:r>
          </w:p>
        </w:tc>
      </w:tr>
      <w:tr w:rsidR="001C09C1" w:rsidRPr="00F37423" w14:paraId="3C3EA7B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FB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5A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1.611.835,00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B0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1.457.477,67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0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90,42</w:t>
            </w:r>
          </w:p>
        </w:tc>
      </w:tr>
      <w:tr w:rsidR="001C09C1" w:rsidRPr="00F37423" w14:paraId="74009C3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18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F4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1.611.835,00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E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1.457.477,67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C3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90,42</w:t>
            </w:r>
          </w:p>
        </w:tc>
      </w:tr>
      <w:tr w:rsidR="001C09C1" w:rsidRPr="00F37423" w14:paraId="0A96CB2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5A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7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9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1.333.098,70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D8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1.218.277,72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7B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91,39</w:t>
            </w:r>
          </w:p>
        </w:tc>
      </w:tr>
      <w:tr w:rsidR="001C09C1" w:rsidRPr="00F37423" w14:paraId="285B783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A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C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F7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A7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1.218.277,72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11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E3D1F2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D8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E1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4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58.775,00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66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51.325,00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66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87,32</w:t>
            </w:r>
          </w:p>
        </w:tc>
      </w:tr>
      <w:tr w:rsidR="001C09C1" w:rsidRPr="00F37423" w14:paraId="604B103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5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D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71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56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51.325,00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6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0196E8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D9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3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4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219.961,30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53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187.874,95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EE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85,41</w:t>
            </w:r>
          </w:p>
        </w:tc>
      </w:tr>
      <w:tr w:rsidR="001C09C1" w:rsidRPr="00F37423" w14:paraId="4F9A4DC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4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5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A5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7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187.874,95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C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C7D7A2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4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E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59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244.766,51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C1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111,26</w:t>
            </w:r>
          </w:p>
        </w:tc>
      </w:tr>
      <w:tr w:rsidR="001C09C1" w:rsidRPr="00F37423" w14:paraId="0040EC1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28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33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220.000,00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6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244.766,51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2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111,26</w:t>
            </w:r>
          </w:p>
        </w:tc>
      </w:tr>
      <w:tr w:rsidR="001C09C1" w:rsidRPr="00F37423" w14:paraId="01CD69C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B6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AA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AC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188.841,20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2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210.100,07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4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111,26</w:t>
            </w:r>
          </w:p>
        </w:tc>
      </w:tr>
      <w:tr w:rsidR="001C09C1" w:rsidRPr="00F37423" w14:paraId="28882E5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6E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6A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F5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4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210.100,07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74F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72B5A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08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A2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A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31.158,80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1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34.666,44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E8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111,26</w:t>
            </w:r>
          </w:p>
        </w:tc>
      </w:tr>
      <w:tr w:rsidR="001C09C1" w:rsidRPr="00F37423" w14:paraId="2E18F14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91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7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72B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FE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34.666,44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7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99029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00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6BB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MATERIJALNI RASHODI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7C9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463.890,40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55C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429.698,68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46E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92,63</w:t>
            </w:r>
          </w:p>
        </w:tc>
      </w:tr>
      <w:tr w:rsidR="001C09C1" w:rsidRPr="00F37423" w14:paraId="6543B54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D4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7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135.923,31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1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131.795,31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9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96,96</w:t>
            </w:r>
          </w:p>
        </w:tc>
      </w:tr>
      <w:tr w:rsidR="001C09C1" w:rsidRPr="00F37423" w14:paraId="35E662A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3E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57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135.923,31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86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131.795,31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F30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96,96</w:t>
            </w:r>
          </w:p>
        </w:tc>
      </w:tr>
      <w:tr w:rsidR="001C09C1" w:rsidRPr="00F37423" w14:paraId="76B8C4A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9E5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11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E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1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122.872,00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3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96,75</w:t>
            </w:r>
          </w:p>
        </w:tc>
      </w:tr>
      <w:tr w:rsidR="001C09C1" w:rsidRPr="00F37423" w14:paraId="49053B2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8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96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3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8B4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122.872,00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1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0A9DF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9D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6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E7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8.923,31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C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8.923,31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4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A8EC42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99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FD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6F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FF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8.923,31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9C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F94429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78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8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5A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0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E57190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64E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DA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FC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82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D95A75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0B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46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6A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103,17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B1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103,17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4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7E5BE8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D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01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0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EC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103,17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BE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13291F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B4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1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290.983,92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4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246.344,49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CF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84,66</w:t>
            </w:r>
          </w:p>
        </w:tc>
      </w:tr>
      <w:tr w:rsidR="001C09C1" w:rsidRPr="00F37423" w14:paraId="7F6161F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9B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7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290.983,92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5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246.344,49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B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84,66</w:t>
            </w:r>
          </w:p>
        </w:tc>
      </w:tr>
      <w:tr w:rsidR="001C09C1" w:rsidRPr="00F37423" w14:paraId="48D1A64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8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2C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7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B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2.793,50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2F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34,92</w:t>
            </w:r>
          </w:p>
        </w:tc>
      </w:tr>
      <w:tr w:rsidR="001C09C1" w:rsidRPr="00F37423" w14:paraId="45EEB96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9D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2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17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E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0B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E75A3C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CB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0E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DC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0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B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1B8167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B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E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A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D6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2.001,00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FE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11BFDD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B4D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5F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9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168.683,93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6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154.870,16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F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91,81</w:t>
            </w:r>
          </w:p>
        </w:tc>
      </w:tr>
      <w:tr w:rsidR="001C09C1" w:rsidRPr="00F37423" w14:paraId="3F9056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D4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E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5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14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48.303,94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11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7946D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3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B7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40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6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4C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2377C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B6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EB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C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A7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102.166,36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D9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E3D577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F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E8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EF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D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860,37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F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F5FF2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EB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4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8A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F6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2.931,99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A2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CAE94B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D5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E5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46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96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607,50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69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488476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46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F1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5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109.999,69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4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85.928,77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6C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78,12</w:t>
            </w:r>
          </w:p>
        </w:tc>
      </w:tr>
      <w:tr w:rsidR="001C09C1" w:rsidRPr="00F37423" w14:paraId="061CF70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0A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7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6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92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13.286,85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5D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B4921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74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F8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46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AD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19.401,31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D1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51CA3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B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3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50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50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D8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22373E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C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B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DCC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EE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16.515,61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49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EE8C12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D0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4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C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2B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13.568,75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09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6525E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9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2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1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6D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22.543,50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0B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070FD5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F7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76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0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40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612,75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67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D44C13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9E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BB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F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4.100,00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5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2.751,76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6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67,12</w:t>
            </w:r>
          </w:p>
        </w:tc>
      </w:tr>
      <w:tr w:rsidR="001C09C1" w:rsidRPr="00F37423" w14:paraId="02460EA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62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2D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27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0C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532,01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64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0FF1C0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B5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52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7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3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171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2896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13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8A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B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CD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1.175,83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94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0637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C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9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0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B53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1.043,92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C9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BC28A0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7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6A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E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200,30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D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BA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1C09C1" w:rsidRPr="00F37423" w14:paraId="5342EEF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95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1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A5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76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704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A7AB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3D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8F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A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1F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69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E34D85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74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5B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26.880,00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7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44.240,00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CC2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164,58</w:t>
            </w:r>
          </w:p>
        </w:tc>
      </w:tr>
      <w:tr w:rsidR="001C09C1" w:rsidRPr="00F37423" w14:paraId="6D503AA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C7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70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26.880,00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8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44.240,00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3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164,58</w:t>
            </w:r>
          </w:p>
        </w:tc>
      </w:tr>
      <w:tr w:rsidR="001C09C1" w:rsidRPr="00F37423" w14:paraId="0CF5B95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6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81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F7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24.693,12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E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42.053,12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AD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170,30</w:t>
            </w:r>
          </w:p>
        </w:tc>
      </w:tr>
      <w:tr w:rsidR="001C09C1" w:rsidRPr="00F37423" w14:paraId="50AE9BA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13E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0D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D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CA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30.063,46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50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F047B7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DA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5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2A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24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11.989,66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1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4A927D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F1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4F6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CF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2.186,88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D1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2.186,88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86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1EEE53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12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5A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EE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03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1.736,88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BB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E1936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6C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15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EE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9B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654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4B4FCB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A7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6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0B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7.215,71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A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72,16</w:t>
            </w:r>
          </w:p>
        </w:tc>
      </w:tr>
      <w:tr w:rsidR="001C09C1" w:rsidRPr="00F37423" w14:paraId="34F450D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65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D4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8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7.215,71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11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72,16</w:t>
            </w:r>
          </w:p>
        </w:tc>
      </w:tr>
      <w:tr w:rsidR="001C09C1" w:rsidRPr="00F37423" w14:paraId="6198DCE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62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13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AF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9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7.215,71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E0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72,16</w:t>
            </w:r>
          </w:p>
        </w:tc>
      </w:tr>
      <w:tr w:rsidR="001C09C1" w:rsidRPr="00F37423" w14:paraId="31C199F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6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1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26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E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7.215,71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8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8AC456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600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A100016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F6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OSTALE AKTIVNOSTI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BC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614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4.056,35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F1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57,95</w:t>
            </w:r>
          </w:p>
        </w:tc>
      </w:tr>
      <w:tr w:rsidR="001C09C1" w:rsidRPr="00F37423" w14:paraId="3FAEC3D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15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0F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7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2.806,35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1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40,09</w:t>
            </w:r>
          </w:p>
        </w:tc>
      </w:tr>
      <w:tr w:rsidR="001C09C1" w:rsidRPr="00F37423" w14:paraId="7FF245D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6E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68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2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2.806,35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2C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40,09</w:t>
            </w:r>
          </w:p>
        </w:tc>
      </w:tr>
      <w:tr w:rsidR="001C09C1" w:rsidRPr="00F37423" w14:paraId="5081EC2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0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31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B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B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2.806,35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C7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40,09</w:t>
            </w:r>
          </w:p>
        </w:tc>
      </w:tr>
      <w:tr w:rsidR="001C09C1" w:rsidRPr="00F37423" w14:paraId="5155303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5B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71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01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6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2.806,35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35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BAA1F4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65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4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8D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0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47C5597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75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0BA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8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FF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46570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3ED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C9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8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A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0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608F19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9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9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6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DE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FD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D92612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051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46D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RAD S DJECOM U GRUPAMA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878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5AE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383,96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0CD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4,39</w:t>
            </w:r>
          </w:p>
        </w:tc>
      </w:tr>
      <w:tr w:rsidR="001C09C1" w:rsidRPr="00F37423" w14:paraId="26DCD05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AC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32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38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383,96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F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4,39</w:t>
            </w:r>
          </w:p>
        </w:tc>
      </w:tr>
      <w:tr w:rsidR="001C09C1" w:rsidRPr="00F37423" w14:paraId="0D8FDA4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A4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C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D5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383,96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1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4,39</w:t>
            </w:r>
          </w:p>
        </w:tc>
      </w:tr>
      <w:tr w:rsidR="001C09C1" w:rsidRPr="00F37423" w14:paraId="7A24D5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9A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FA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B5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4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383,96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DF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4,39</w:t>
            </w:r>
          </w:p>
        </w:tc>
      </w:tr>
      <w:tr w:rsidR="001C09C1" w:rsidRPr="00F37423" w14:paraId="6794C62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3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89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C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28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383,96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6E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3B1817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328D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A100092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1DB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PREHRANA DJECE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C1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143.563,22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47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119.134,85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DD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82,98</w:t>
            </w:r>
          </w:p>
        </w:tc>
      </w:tr>
      <w:tr w:rsidR="001C09C1" w:rsidRPr="00F37423" w14:paraId="42E6E39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F2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0C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143.563,22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9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119.134,85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8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82,98</w:t>
            </w:r>
          </w:p>
        </w:tc>
      </w:tr>
      <w:tr w:rsidR="001C09C1" w:rsidRPr="00F37423" w14:paraId="49C034B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0E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14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143.563,22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4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119.134,85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98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82,98</w:t>
            </w:r>
          </w:p>
        </w:tc>
      </w:tr>
      <w:tr w:rsidR="001C09C1" w:rsidRPr="00F37423" w14:paraId="32D4447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80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CC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2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143.563,22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16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119.134,85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F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82,98</w:t>
            </w:r>
          </w:p>
        </w:tc>
      </w:tr>
      <w:tr w:rsidR="001C09C1" w:rsidRPr="00F37423" w14:paraId="6234C89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B3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9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2A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20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119.134,85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64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264FAE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FFE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A100093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5A9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IZLETI I OSTALE AKTIVNOSTI S DJECOM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41D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CF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B9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A71F03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38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2C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B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89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2ADDAE3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0B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1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13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A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73EE64F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2C0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36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87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A1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5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EEEEBE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BB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17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2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5A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7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BE19AA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C73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K100004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76D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NABAVA NEFINANCIJSKE IMOVINE - TDV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61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33.243,01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9E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31.344,98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DFD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94,29</w:t>
            </w:r>
          </w:p>
        </w:tc>
      </w:tr>
      <w:tr w:rsidR="001C09C1" w:rsidRPr="00F37423" w14:paraId="249F36E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19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77B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4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2.581,99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6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64,55</w:t>
            </w:r>
          </w:p>
        </w:tc>
      </w:tr>
      <w:tr w:rsidR="001C09C1" w:rsidRPr="00F37423" w14:paraId="6A86186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36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1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7B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2.581,99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C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64,55</w:t>
            </w:r>
          </w:p>
        </w:tc>
      </w:tr>
      <w:tr w:rsidR="001C09C1" w:rsidRPr="00F37423" w14:paraId="00E3586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55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A8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D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8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2.581,99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7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64,55</w:t>
            </w:r>
          </w:p>
        </w:tc>
      </w:tr>
      <w:tr w:rsidR="001C09C1" w:rsidRPr="00F37423" w14:paraId="02CDC2A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1C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C1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25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3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2.581,99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5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6DF21A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9E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4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29.243,01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A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28.762,99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E4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98,36</w:t>
            </w:r>
          </w:p>
        </w:tc>
      </w:tr>
      <w:tr w:rsidR="001C09C1" w:rsidRPr="00F37423" w14:paraId="517F1BB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4A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FC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29.243,01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1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28.762,99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14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98,36</w:t>
            </w:r>
          </w:p>
        </w:tc>
      </w:tr>
      <w:tr w:rsidR="001C09C1" w:rsidRPr="00F37423" w14:paraId="6E82BF0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8E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4B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FE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19.243,01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F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19.243,01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8E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6BE671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3F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8A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D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8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19.243,01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B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C6AD76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76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0A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5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4D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9.519,98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7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95,20</w:t>
            </w:r>
          </w:p>
        </w:tc>
      </w:tr>
      <w:tr w:rsidR="001C09C1" w:rsidRPr="00F37423" w14:paraId="5D45AC8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C3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6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5D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ED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9.519,98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B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891346D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E0C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GLAVA 00104 PUČKO OTVORENO UČILIŠTE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35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1.443.825,24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17C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1.157.308,22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983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80,16</w:t>
            </w:r>
          </w:p>
        </w:tc>
      </w:tr>
      <w:tr w:rsidR="001C09C1" w:rsidRPr="00F37423" w14:paraId="505124B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28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2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1.084.900,00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892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875.086,86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A5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80,66</w:t>
            </w:r>
          </w:p>
        </w:tc>
      </w:tr>
      <w:tr w:rsidR="001C09C1" w:rsidRPr="00F37423" w14:paraId="26F5BCA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0D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EC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1.084.900,00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A8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875.086,86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8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80,66</w:t>
            </w:r>
          </w:p>
        </w:tc>
      </w:tr>
      <w:tr w:rsidR="001C09C1" w:rsidRPr="00F37423" w14:paraId="4CBC905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7B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2B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60.680,42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E9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20.839,63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A5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34,34</w:t>
            </w:r>
          </w:p>
        </w:tc>
      </w:tr>
      <w:tr w:rsidR="001C09C1" w:rsidRPr="00F37423" w14:paraId="7128171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98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A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60.680,42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D3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20.839,63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6A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34,34</w:t>
            </w:r>
          </w:p>
        </w:tc>
      </w:tr>
      <w:tr w:rsidR="001C09C1" w:rsidRPr="00F37423" w14:paraId="0F15EE7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FF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8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18.706,28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6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6.621,71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32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35,40</w:t>
            </w:r>
          </w:p>
        </w:tc>
      </w:tr>
      <w:tr w:rsidR="001C09C1" w:rsidRPr="00F37423" w14:paraId="4CD0413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89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E0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18.706,28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69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6.621,71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9E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35,40</w:t>
            </w:r>
          </w:p>
        </w:tc>
      </w:tr>
      <w:tr w:rsidR="001C09C1" w:rsidRPr="00F37423" w14:paraId="7B93EA5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B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9C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251.919,94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B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233.296,51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B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92,61</w:t>
            </w:r>
          </w:p>
        </w:tc>
      </w:tr>
      <w:tr w:rsidR="001C09C1" w:rsidRPr="00F37423" w14:paraId="2842B61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29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EA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251.919,94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41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233.296,51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60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92,61</w:t>
            </w:r>
          </w:p>
        </w:tc>
      </w:tr>
      <w:tr w:rsidR="001C09C1" w:rsidRPr="00F37423" w14:paraId="5472C12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29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C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12.518,60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C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6.414,70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82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51,24</w:t>
            </w:r>
          </w:p>
        </w:tc>
      </w:tr>
      <w:tr w:rsidR="001C09C1" w:rsidRPr="00F37423" w14:paraId="0DB09C1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71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6.2. DONACIJE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53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5.068,60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B6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2.068,60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6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40,81</w:t>
            </w:r>
          </w:p>
        </w:tc>
      </w:tr>
      <w:tr w:rsidR="001C09C1" w:rsidRPr="00F37423" w14:paraId="099432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91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ED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7.450,00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AF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4.346,10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14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58,34</w:t>
            </w:r>
          </w:p>
        </w:tc>
      </w:tr>
      <w:tr w:rsidR="001C09C1" w:rsidRPr="00F37423" w14:paraId="6A75E75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AF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66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8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8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99,66</w:t>
            </w:r>
          </w:p>
        </w:tc>
      </w:tr>
      <w:tr w:rsidR="001C09C1" w:rsidRPr="00F37423" w14:paraId="5DE77DB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7E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4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D4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6C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99,66</w:t>
            </w:r>
          </w:p>
        </w:tc>
      </w:tr>
      <w:tr w:rsidR="001C09C1" w:rsidRPr="00F37423" w14:paraId="1965673E" w14:textId="77777777" w:rsidTr="005204EE">
        <w:trPr>
          <w:gridAfter w:val="1"/>
          <w:wAfter w:w="50" w:type="pct"/>
          <w:trHeight w:val="39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1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PROR. KORISNIK 48200 PUČKO OTVORENO UČILIŠTE BUJE - UNIVERSITA` POPOLARE APERTA DI BUIE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2E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1.443.825,24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8E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1.157.308,22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8F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80,16</w:t>
            </w:r>
          </w:p>
        </w:tc>
      </w:tr>
      <w:tr w:rsidR="001C09C1" w:rsidRPr="00F37423" w14:paraId="636FCBCE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6B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35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DJELATNOST PUČKOG OTVORENOG UČILIŠTA BUJE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47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1.443.825,24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9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1.157.308,22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54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80,16</w:t>
            </w:r>
          </w:p>
        </w:tc>
      </w:tr>
      <w:tr w:rsidR="001C09C1" w:rsidRPr="00F37423" w14:paraId="2054A84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905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FAEF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52B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808.324,00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CC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684.287,31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66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84,66</w:t>
            </w:r>
          </w:p>
        </w:tc>
      </w:tr>
      <w:tr w:rsidR="001C09C1" w:rsidRPr="00F37423" w14:paraId="60BE8EC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4D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D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800.324,00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2B3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684.287,31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7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85,50</w:t>
            </w:r>
          </w:p>
        </w:tc>
      </w:tr>
      <w:tr w:rsidR="001C09C1" w:rsidRPr="00F37423" w14:paraId="4930EC6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51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4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800.324,00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63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684.287,31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E2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85,50</w:t>
            </w:r>
          </w:p>
        </w:tc>
      </w:tr>
      <w:tr w:rsidR="001C09C1" w:rsidRPr="00F37423" w14:paraId="1D3FCC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17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2E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1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7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553.379,60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3D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85,80</w:t>
            </w:r>
          </w:p>
        </w:tc>
      </w:tr>
      <w:tr w:rsidR="001C09C1" w:rsidRPr="00F37423" w14:paraId="2E20DA3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0CB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2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8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68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553.379,60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85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AB99EF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81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3B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91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48.874,00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1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A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81,02</w:t>
            </w:r>
          </w:p>
        </w:tc>
      </w:tr>
      <w:tr w:rsidR="001C09C1" w:rsidRPr="00F37423" w14:paraId="7C37A2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A8C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AF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6D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F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39.600,00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142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097A5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20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04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D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106.450,00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6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91.307,71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8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85,78</w:t>
            </w:r>
          </w:p>
        </w:tc>
      </w:tr>
      <w:tr w:rsidR="001C09C1" w:rsidRPr="00F37423" w14:paraId="1FD554D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97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E5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D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38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91.307,71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45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73D8E7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4D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56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0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BF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6ADC54E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E4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2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D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5D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055542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AE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A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E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F6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F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098294A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4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1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0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E1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104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C1FFB7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F0D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D7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MATERIJALNI I FINANCIJSKI RASHODI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CB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179.016,00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BB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112.122,63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83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62,63</w:t>
            </w:r>
          </w:p>
        </w:tc>
      </w:tr>
      <w:tr w:rsidR="001C09C1" w:rsidRPr="00F37423" w14:paraId="2F7E8EE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20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8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158.716,00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4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103.360,14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B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65,12</w:t>
            </w:r>
          </w:p>
        </w:tc>
      </w:tr>
      <w:tr w:rsidR="001C09C1" w:rsidRPr="00F37423" w14:paraId="1E04BC9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5F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C5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158.716,00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F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103.360,14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4C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65,12</w:t>
            </w:r>
          </w:p>
        </w:tc>
      </w:tr>
      <w:tr w:rsidR="001C09C1" w:rsidRPr="00F37423" w14:paraId="7A838B7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8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ED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7D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18.950,00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AE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10.533,80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1B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55,59</w:t>
            </w:r>
          </w:p>
        </w:tc>
      </w:tr>
      <w:tr w:rsidR="001C09C1" w:rsidRPr="00F37423" w14:paraId="2A5A798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38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61F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11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3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2.813,80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CC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CA1BFC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0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2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9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3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4.164,00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C7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21236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B1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7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FB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6A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2.150,00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3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F31EC0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1E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1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FE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9F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1.406,00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8E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EA966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2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D6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7F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50.998,00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0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24.396,64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B7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47,84</w:t>
            </w:r>
          </w:p>
        </w:tc>
      </w:tr>
      <w:tr w:rsidR="001C09C1" w:rsidRPr="00F37423" w14:paraId="4F62A8E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1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1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D5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73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8.087,92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1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C395F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B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45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A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4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12.319,90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0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4CFD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97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DC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1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CB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3.988,82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BE0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CF074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6A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80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B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76.568,00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25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58.786,79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47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76,78</w:t>
            </w:r>
          </w:p>
        </w:tc>
      </w:tr>
      <w:tr w:rsidR="001C09C1" w:rsidRPr="00F37423" w14:paraId="71A2A16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5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88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3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0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10.845,86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99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46B635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5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5F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CC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6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8.977,77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81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B87668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0C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F6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08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1E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13.586,56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D7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9402A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3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31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77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F4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BE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D7C65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29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D2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4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0A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1.522,80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E6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79520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9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8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93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A7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2.675,00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20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D24763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A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5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2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A1B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19.678,80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6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98E474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34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AB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C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12.200,00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A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9.642,91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3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79,04</w:t>
            </w:r>
          </w:p>
        </w:tc>
      </w:tr>
      <w:tr w:rsidR="001C09C1" w:rsidRPr="00F37423" w14:paraId="09C1351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18C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9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25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A0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6.855,41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00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21324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D2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D1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CA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C7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1.600,00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65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1E59DA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8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C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0B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E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1.187,50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52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D637D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33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11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3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3.245,25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59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25,96</w:t>
            </w:r>
          </w:p>
        </w:tc>
      </w:tr>
      <w:tr w:rsidR="001C09C1" w:rsidRPr="00F37423" w14:paraId="08E6026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DF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4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2A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3.245,25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EF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25,96</w:t>
            </w:r>
          </w:p>
        </w:tc>
      </w:tr>
      <w:tr w:rsidR="001C09C1" w:rsidRPr="00F37423" w14:paraId="46E18AB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5C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C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A2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EA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3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1C09C1" w:rsidRPr="00F37423" w14:paraId="33BE06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194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B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C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F4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9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7EEDF5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54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84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8B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B2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781,54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D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28,42</w:t>
            </w:r>
          </w:p>
        </w:tc>
      </w:tr>
      <w:tr w:rsidR="001C09C1" w:rsidRPr="00F37423" w14:paraId="05847F1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9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7D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C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38D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258,54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C6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D80049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B9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A9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90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FB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81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4B032A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4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B0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2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6F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523,00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7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38075F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BB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E2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8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BF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1.333,30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4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16,67</w:t>
            </w:r>
          </w:p>
        </w:tc>
      </w:tr>
      <w:tr w:rsidR="001C09C1" w:rsidRPr="00F37423" w14:paraId="6463B7D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568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07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F0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9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1.083,30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18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485D26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43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985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E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6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11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C32DF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D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5D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CA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F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3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F4E1D3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FE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EA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D8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C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F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81039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5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DE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8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08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93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FE482F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4E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1A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EF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8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264,50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E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44,08</w:t>
            </w:r>
          </w:p>
        </w:tc>
      </w:tr>
      <w:tr w:rsidR="001C09C1" w:rsidRPr="00F37423" w14:paraId="2563F4B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26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F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C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D9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264,50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51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0F926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9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5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A0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4E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09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F88878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CE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2F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1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3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65,91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3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43,94</w:t>
            </w:r>
          </w:p>
        </w:tc>
      </w:tr>
      <w:tr w:rsidR="001C09C1" w:rsidRPr="00F37423" w14:paraId="0637250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1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3432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61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C3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A3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65,91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FB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824B0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B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3433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2E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5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C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67C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B16A5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54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2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6E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2.429,74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6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63,94</w:t>
            </w:r>
          </w:p>
        </w:tc>
      </w:tr>
      <w:tr w:rsidR="001C09C1" w:rsidRPr="00F37423" w14:paraId="1A2DF90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5D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EA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3.800,00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F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2.429,74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14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63,94</w:t>
            </w:r>
          </w:p>
        </w:tc>
      </w:tr>
      <w:tr w:rsidR="001C09C1" w:rsidRPr="00F37423" w14:paraId="7060BFA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D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F3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04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2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2.141,74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69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61,19</w:t>
            </w:r>
          </w:p>
        </w:tc>
      </w:tr>
      <w:tr w:rsidR="001C09C1" w:rsidRPr="00F37423" w14:paraId="1CAF7A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A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3238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3A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63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11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2.141,74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35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BE637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83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7A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48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A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5B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96,00</w:t>
            </w:r>
          </w:p>
        </w:tc>
      </w:tr>
      <w:tr w:rsidR="001C09C1" w:rsidRPr="00F37423" w14:paraId="18DD690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2B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3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46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1F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288,00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1F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DE44A4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2F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91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10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4D0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77,19</w:t>
            </w:r>
          </w:p>
        </w:tc>
      </w:tr>
      <w:tr w:rsidR="001C09C1" w:rsidRPr="00F37423" w14:paraId="18410CF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5A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86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51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34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77,19</w:t>
            </w:r>
          </w:p>
        </w:tc>
      </w:tr>
      <w:tr w:rsidR="001C09C1" w:rsidRPr="00F37423" w14:paraId="2A82EB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56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49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2B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C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09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77,19</w:t>
            </w:r>
          </w:p>
        </w:tc>
      </w:tr>
      <w:tr w:rsidR="001C09C1" w:rsidRPr="00F37423" w14:paraId="6D4501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2E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66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8E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C5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48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6F73A2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36C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D5A5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PROGRAMI U KNJIŽNICI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B01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14.266,28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33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5.682,96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EA1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39,83</w:t>
            </w:r>
          </w:p>
        </w:tc>
      </w:tr>
      <w:tr w:rsidR="001C09C1" w:rsidRPr="00F37423" w14:paraId="630A3DF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24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6E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6.460,00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79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5.038,93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82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78,00</w:t>
            </w:r>
          </w:p>
        </w:tc>
      </w:tr>
      <w:tr w:rsidR="001C09C1" w:rsidRPr="00F37423" w14:paraId="3777F8B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121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CC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6.460,00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2A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5.038,93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BA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78,00</w:t>
            </w:r>
          </w:p>
        </w:tc>
      </w:tr>
      <w:tr w:rsidR="001C09C1" w:rsidRPr="00F37423" w14:paraId="3430FD8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1C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44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B8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2.460,00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3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2.459,01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B4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1C09C1" w:rsidRPr="00F37423" w14:paraId="2D79973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51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08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3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27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2.459,01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4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5CE63D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F1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17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E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CA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2.579,92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91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1C09C1" w:rsidRPr="00F37423" w14:paraId="5126372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A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DF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9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DB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2.579,92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D9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0BA8FC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CB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5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7.806,28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1E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644,03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E8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8,25</w:t>
            </w:r>
          </w:p>
        </w:tc>
      </w:tr>
      <w:tr w:rsidR="001C09C1" w:rsidRPr="00F37423" w14:paraId="778D7A8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10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83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7.806,28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1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644,03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2F2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8,25</w:t>
            </w:r>
          </w:p>
        </w:tc>
      </w:tr>
      <w:tr w:rsidR="001C09C1" w:rsidRPr="00F37423" w14:paraId="22B573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6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29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F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4.706,28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C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2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3D51428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E82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AF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7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25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6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166D9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9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6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B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9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C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37446C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3F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6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2A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FC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5D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39DE1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A8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DF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1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0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644,03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1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32,20</w:t>
            </w:r>
          </w:p>
        </w:tc>
      </w:tr>
      <w:tr w:rsidR="001C09C1" w:rsidRPr="00F37423" w14:paraId="6FFEC9F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7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3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F6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67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269,03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A0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8EC6A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85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B7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2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62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A8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D22EA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F715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0EB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LIKOVNA DJELATNOST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62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5.700,00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9C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2.062,72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4F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36,19</w:t>
            </w:r>
          </w:p>
        </w:tc>
      </w:tr>
      <w:tr w:rsidR="001C09C1" w:rsidRPr="00F37423" w14:paraId="789B4D9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D3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0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E9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562,72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2F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46,89</w:t>
            </w:r>
          </w:p>
        </w:tc>
      </w:tr>
      <w:tr w:rsidR="001C09C1" w:rsidRPr="00F37423" w14:paraId="4100FB5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A4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71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2D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562,72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70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46,89</w:t>
            </w:r>
          </w:p>
        </w:tc>
      </w:tr>
      <w:tr w:rsidR="001C09C1" w:rsidRPr="00F37423" w14:paraId="393350A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B4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07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40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E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9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65D423B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E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BB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6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CB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C9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75BB6C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44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2F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3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11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562,72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7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80,39</w:t>
            </w:r>
          </w:p>
        </w:tc>
      </w:tr>
      <w:tr w:rsidR="001C09C1" w:rsidRPr="00F37423" w14:paraId="4D573EB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4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7A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6B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126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63,00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7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BE06DF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7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FD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F5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1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499,72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3A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288A3F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A2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3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A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9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33DF26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1F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0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44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B3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603D6E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C4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BC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B1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3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2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5A46E3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D0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F6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BC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29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7F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65E465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3F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54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9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F1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1CFA0DC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CA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6.2. DONACIJE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52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F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C6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10D98AC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28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E3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6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D6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4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0E5804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A4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2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28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C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5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44C973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E0A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939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IZLOŽBE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376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17.350,00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81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11.325,77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FA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65,28</w:t>
            </w:r>
          </w:p>
        </w:tc>
      </w:tr>
      <w:tr w:rsidR="001C09C1" w:rsidRPr="00F37423" w14:paraId="6160EB0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14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09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17.350,00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34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11.325,77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4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65,28</w:t>
            </w:r>
          </w:p>
        </w:tc>
      </w:tr>
      <w:tr w:rsidR="001C09C1" w:rsidRPr="00F37423" w14:paraId="5AC2830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68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2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17.350,00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4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11.325,77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3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65,28</w:t>
            </w:r>
          </w:p>
        </w:tc>
      </w:tr>
      <w:tr w:rsidR="001C09C1" w:rsidRPr="00F37423" w14:paraId="17C3B29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B8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00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6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B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76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AD61C1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57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5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0F4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CC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27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8C5A44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B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1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E2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13.050,00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2D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11.024,14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2B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84,48</w:t>
            </w:r>
          </w:p>
        </w:tc>
      </w:tr>
      <w:tr w:rsidR="001C09C1" w:rsidRPr="00F37423" w14:paraId="7F1D07C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62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21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5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6E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2.874,14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1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238BDC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1F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3F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91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D9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8.150,00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17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52832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AA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F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A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A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7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8,62</w:t>
            </w:r>
          </w:p>
        </w:tc>
      </w:tr>
      <w:tr w:rsidR="001C09C1" w:rsidRPr="00F37423" w14:paraId="25927A8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2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23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7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D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F6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EF007A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E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EED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7F7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91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1D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CD2E6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CC9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5E5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GLAZBENO SCENSKA DJELATNOST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A5D9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121.380,42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3A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108.656,37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A4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89,52</w:t>
            </w:r>
          </w:p>
        </w:tc>
      </w:tr>
      <w:tr w:rsidR="001C09C1" w:rsidRPr="00F37423" w14:paraId="5F9DB43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00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B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59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53.777,83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5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88,89</w:t>
            </w:r>
          </w:p>
        </w:tc>
      </w:tr>
      <w:tr w:rsidR="001C09C1" w:rsidRPr="00F37423" w14:paraId="14E8126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82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84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A9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53.777,83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FA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88,89</w:t>
            </w:r>
          </w:p>
        </w:tc>
      </w:tr>
      <w:tr w:rsidR="001C09C1" w:rsidRPr="00F37423" w14:paraId="38430F8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46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4B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0B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6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37.832,23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D6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90,08</w:t>
            </w:r>
          </w:p>
        </w:tc>
      </w:tr>
      <w:tr w:rsidR="001C09C1" w:rsidRPr="00F37423" w14:paraId="56A9B7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7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4B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FD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7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12.762,50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49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AA3BD7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1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B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F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429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7.246,01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616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1E7F68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45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A1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05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F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17.823,72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6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B98259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3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4E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D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F7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8.244,00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BD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86,78</w:t>
            </w:r>
          </w:p>
        </w:tc>
      </w:tr>
      <w:tr w:rsidR="001C09C1" w:rsidRPr="00F37423" w14:paraId="396E0B2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AA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AE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C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74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8.244,00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A3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5E7302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2D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9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550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A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7.701,60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C12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85,57</w:t>
            </w:r>
          </w:p>
        </w:tc>
      </w:tr>
      <w:tr w:rsidR="001C09C1" w:rsidRPr="00F37423" w14:paraId="47DA97F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39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7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8C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71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7.701,60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0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1F71BC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19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1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3.880,42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8C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3C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0,74</w:t>
            </w:r>
          </w:p>
        </w:tc>
      </w:tr>
      <w:tr w:rsidR="001C09C1" w:rsidRPr="00F37423" w14:paraId="49C6C1C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80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13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3.880,42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3B2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8F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0,74</w:t>
            </w:r>
          </w:p>
        </w:tc>
      </w:tr>
      <w:tr w:rsidR="001C09C1" w:rsidRPr="00F37423" w14:paraId="19F4F39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D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53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7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3.880,42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B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8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0,74</w:t>
            </w:r>
          </w:p>
        </w:tc>
      </w:tr>
      <w:tr w:rsidR="001C09C1" w:rsidRPr="00F37423" w14:paraId="389CC65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2E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2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493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D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F7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5138FE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72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B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7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F6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57,00</w:t>
            </w:r>
          </w:p>
        </w:tc>
      </w:tr>
      <w:tr w:rsidR="001C09C1" w:rsidRPr="00F37423" w14:paraId="6990F2D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29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BE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62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D4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57,00</w:t>
            </w:r>
          </w:p>
        </w:tc>
      </w:tr>
      <w:tr w:rsidR="001C09C1" w:rsidRPr="00F37423" w14:paraId="48AC88E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3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7E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1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B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CF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57,00</w:t>
            </w:r>
          </w:p>
        </w:tc>
      </w:tr>
      <w:tr w:rsidR="001C09C1" w:rsidRPr="00F37423" w14:paraId="5D68B46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2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8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F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06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9B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F6C914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62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B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53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6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A19DF5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A3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F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A9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71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25A57A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CF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46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21F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46.357,24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D8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46.357,24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E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0709E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C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25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62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C6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4D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1FE81B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E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A6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A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7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23.080,78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6C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87EFE0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6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4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8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DF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20.276,46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63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29AE6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E0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8F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EA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5.642,76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C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5.642,76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2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444C17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F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D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8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A3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5.642,76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E7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765A97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C13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A100069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F90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PRIGODNE MANIFESTACIJE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7B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29.100,00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5F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7.872,78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B69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27,05</w:t>
            </w:r>
          </w:p>
        </w:tc>
      </w:tr>
      <w:tr w:rsidR="001C09C1" w:rsidRPr="00F37423" w14:paraId="5544349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FA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5C8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30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7.127,78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D5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36,37</w:t>
            </w:r>
          </w:p>
        </w:tc>
      </w:tr>
      <w:tr w:rsidR="001C09C1" w:rsidRPr="00F37423" w14:paraId="5F7C3CA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6C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2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19.600,00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9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7.127,78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B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36,37</w:t>
            </w:r>
          </w:p>
        </w:tc>
      </w:tr>
      <w:tr w:rsidR="001C09C1" w:rsidRPr="00F37423" w14:paraId="749636E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EF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91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2D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B5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6.292,42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E3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39,33</w:t>
            </w:r>
          </w:p>
        </w:tc>
      </w:tr>
      <w:tr w:rsidR="001C09C1" w:rsidRPr="00F37423" w14:paraId="4F27208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FF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F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2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C8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91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5447DE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23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1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8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F9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84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A1F75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9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3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49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DA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1.329,92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65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A274B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E8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2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A7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00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2.100,00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3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D412A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A6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30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D3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B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15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6CFB75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4B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64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8B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EE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72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4A72A5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F7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E0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3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2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835,36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D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27,85</w:t>
            </w:r>
          </w:p>
        </w:tc>
      </w:tr>
      <w:tr w:rsidR="001C09C1" w:rsidRPr="00F37423" w14:paraId="121ED8A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8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FC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0B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01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835,36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7C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27C53C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9D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83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90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60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7,84</w:t>
            </w:r>
          </w:p>
        </w:tc>
      </w:tr>
      <w:tr w:rsidR="001C09C1" w:rsidRPr="00F37423" w14:paraId="7248EFB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68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49D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C3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3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7,84</w:t>
            </w:r>
          </w:p>
        </w:tc>
      </w:tr>
      <w:tr w:rsidR="001C09C1" w:rsidRPr="00F37423" w14:paraId="2C9A764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DF6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FF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6E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0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18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0B91694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0D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44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59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0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889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9E23F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0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82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F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2F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72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E22DDF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E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603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1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7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3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95C12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E5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66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1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B9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1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14,90</w:t>
            </w:r>
          </w:p>
        </w:tc>
      </w:tr>
      <w:tr w:rsidR="001C09C1" w:rsidRPr="00F37423" w14:paraId="63BEB85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64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3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F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0E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745,00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F51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1048F0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F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2C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F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C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08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3504F9B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E08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A100070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923C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RADIONICE I TEČAJEVI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DF1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39.138,10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D5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18.527,11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CB7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47,34</w:t>
            </w:r>
          </w:p>
        </w:tc>
      </w:tr>
      <w:tr w:rsidR="001C09C1" w:rsidRPr="00F37423" w14:paraId="5754C00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4F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D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44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E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701F0AB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8E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56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9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2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3C2D747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EE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1DE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78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6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5AB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082A1D9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D2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41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53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A2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0C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BBA7AA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C1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 VLASTITI PRIHODI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C8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25.300,00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37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15.320,84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10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60,56</w:t>
            </w:r>
          </w:p>
        </w:tc>
      </w:tr>
      <w:tr w:rsidR="001C09C1" w:rsidRPr="00F37423" w14:paraId="388D1AD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32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3.2. VLASTITI PRIHODI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0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25.300,00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5E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15.320,84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DB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60,56</w:t>
            </w:r>
          </w:p>
        </w:tc>
      </w:tr>
      <w:tr w:rsidR="001C09C1" w:rsidRPr="00F37423" w14:paraId="7C97EA1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4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E3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EE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F6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889,55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B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35,58</w:t>
            </w:r>
          </w:p>
        </w:tc>
      </w:tr>
      <w:tr w:rsidR="001C09C1" w:rsidRPr="00F37423" w14:paraId="39A18B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9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3E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50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58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889,55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C68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E11233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89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3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5C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0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13.415,27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0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70,61</w:t>
            </w:r>
          </w:p>
        </w:tc>
      </w:tr>
      <w:tr w:rsidR="001C09C1" w:rsidRPr="00F37423" w14:paraId="69C948E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01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5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3C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ED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3.865,27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6B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5D2448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02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4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7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1F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9.550,00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C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A939F8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80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6A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EB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3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5F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A4EDAA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2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2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F6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AF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6B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CEAA2F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3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DC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DA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3.100,00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5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1.016,02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5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32,77</w:t>
            </w:r>
          </w:p>
        </w:tc>
      </w:tr>
      <w:tr w:rsidR="001C09C1" w:rsidRPr="00F37423" w14:paraId="32EB662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02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1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6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6C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742,89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6F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7C0D67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8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D3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C5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AB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273,13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AC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DCCDE6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63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F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07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2.376,57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F2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21,61</w:t>
            </w:r>
          </w:p>
        </w:tc>
      </w:tr>
      <w:tr w:rsidR="001C09C1" w:rsidRPr="00F37423" w14:paraId="08C711D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67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A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7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2.376,57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2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21,61</w:t>
            </w:r>
          </w:p>
        </w:tc>
      </w:tr>
      <w:tr w:rsidR="001C09C1" w:rsidRPr="00F37423" w14:paraId="551B2EA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A9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63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22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4E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2.376,57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F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21,61</w:t>
            </w:r>
          </w:p>
        </w:tc>
      </w:tr>
      <w:tr w:rsidR="001C09C1" w:rsidRPr="00F37423" w14:paraId="012B5FD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C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06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9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94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2.376,57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E3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718AE4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29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90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838,10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C0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829,70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32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99,00</w:t>
            </w:r>
          </w:p>
        </w:tc>
      </w:tr>
      <w:tr w:rsidR="001C09C1" w:rsidRPr="00F37423" w14:paraId="2EE4DBC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CF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6.2. DONACIJE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20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388,10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0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388,10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8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377297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32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784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AC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388,10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A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388,10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B7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C19E46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2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76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95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8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388,10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11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760A37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EE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5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60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441,60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9D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98,13</w:t>
            </w:r>
          </w:p>
        </w:tc>
      </w:tr>
      <w:tr w:rsidR="001C09C1" w:rsidRPr="00F37423" w14:paraId="56A2F16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C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25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BA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D4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441,60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4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98,13</w:t>
            </w:r>
          </w:p>
        </w:tc>
      </w:tr>
      <w:tr w:rsidR="001C09C1" w:rsidRPr="00F37423" w14:paraId="010395A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7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52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BE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F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441,60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CE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5009B9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D6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A100071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940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MUZEJ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BE1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19.750,00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74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9.606,38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CF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48,64</w:t>
            </w:r>
          </w:p>
        </w:tc>
      </w:tr>
      <w:tr w:rsidR="001C09C1" w:rsidRPr="00F37423" w14:paraId="103EF85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F4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5E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42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9.606,38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67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51,23</w:t>
            </w:r>
          </w:p>
        </w:tc>
      </w:tr>
      <w:tr w:rsidR="001C09C1" w:rsidRPr="00F37423" w14:paraId="472008B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40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D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F5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9.606,38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0C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51,23</w:t>
            </w:r>
          </w:p>
        </w:tc>
      </w:tr>
      <w:tr w:rsidR="001C09C1" w:rsidRPr="00F37423" w14:paraId="5EE1D11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C5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78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F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F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C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E05361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C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80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7B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8E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6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022585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AA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68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45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F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9.606,38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E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53,37</w:t>
            </w:r>
          </w:p>
        </w:tc>
      </w:tr>
      <w:tr w:rsidR="001C09C1" w:rsidRPr="00F37423" w14:paraId="186BDC8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7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0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A8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4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9.606,38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13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10D43A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9C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FAB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F6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BA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5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CEAB9B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454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01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7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86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190496A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72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0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22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7F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351054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6E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18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D7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A1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BD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604694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73C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B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0A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A6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8B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5274C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EE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A100086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894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VALORIZACIJA I PROMOVIRANJE KAŠTELA ROTA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E0C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30.980,44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21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20.980,44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A7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67,72</w:t>
            </w:r>
          </w:p>
        </w:tc>
      </w:tr>
      <w:tr w:rsidR="001C09C1" w:rsidRPr="00F37423" w14:paraId="72984B8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6E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47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29.299,94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02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19.299,94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35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65,87</w:t>
            </w:r>
          </w:p>
        </w:tc>
      </w:tr>
      <w:tr w:rsidR="001C09C1" w:rsidRPr="00F37423" w14:paraId="6F6A9C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D5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9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29.299,94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7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19.299,94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0B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65,87</w:t>
            </w:r>
          </w:p>
        </w:tc>
      </w:tr>
      <w:tr w:rsidR="001C09C1" w:rsidRPr="00F37423" w14:paraId="4C7F273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6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CE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A7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28.299,94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8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19.299,94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3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68,20</w:t>
            </w:r>
          </w:p>
        </w:tc>
      </w:tr>
      <w:tr w:rsidR="001C09C1" w:rsidRPr="00F37423" w14:paraId="734B1C3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F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6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60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3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19.299,94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F6E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0FA7F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B9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D9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6B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2B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E2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95B79E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77B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DE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4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D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18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CC6CC3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A4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7B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3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B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7BE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6034A3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49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83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1.680,50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C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1.680,50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43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3A13CC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F1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6.2. DONACIJE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C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1.680,50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0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1.680,50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68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654C5D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B5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F9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0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1.680,50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7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1.680,50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7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32F545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1C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9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66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E9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1.680,50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26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656DDC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E69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K100002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569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NABAVA NEFINANCIJSKE IMOVINE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F6D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178.820,00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714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176.183,75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265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98,53</w:t>
            </w:r>
          </w:p>
        </w:tc>
      </w:tr>
      <w:tr w:rsidR="001C09C1" w:rsidRPr="00F37423" w14:paraId="2E10299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8D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F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5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697,94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B2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63,45</w:t>
            </w:r>
          </w:p>
        </w:tc>
      </w:tr>
      <w:tr w:rsidR="001C09C1" w:rsidRPr="00F37423" w14:paraId="1CC1F7D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F3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4.7. PRIHODI POSEBNE NAMJENE - PRORAČUNSKI KORISNICI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DC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9A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697,94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D7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63,45</w:t>
            </w:r>
          </w:p>
        </w:tc>
      </w:tr>
      <w:tr w:rsidR="001C09C1" w:rsidRPr="00F37423" w14:paraId="366E466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57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E8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3D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8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697,94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D5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63,45</w:t>
            </w:r>
          </w:p>
        </w:tc>
      </w:tr>
      <w:tr w:rsidR="001C09C1" w:rsidRPr="00F37423" w14:paraId="51D7849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C6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E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4D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74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697,94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B7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4EAA2B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66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15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159.620,00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9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159.620,00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D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C6B838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E4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5.2. POMOĆI - PRORAČUNSKI KORISNICI (GRAD)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D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159.620,00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0D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159.620,00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A9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C7E99D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87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47E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C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14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139.620,00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C9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1C6DC1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D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C2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E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558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52.724,23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7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8919F0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41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0B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CF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B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23.935,20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78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F3D6B6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1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DDB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6E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D0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62.960,57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A6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DF2704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58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DC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8D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5E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A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8F6CA0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C54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5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91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9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55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EA7799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0BB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8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4D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817,00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5F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27,23</w:t>
            </w:r>
          </w:p>
        </w:tc>
      </w:tr>
      <w:tr w:rsidR="001C09C1" w:rsidRPr="00F37423" w14:paraId="2BC5D4D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90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6.3. DONACIJE - PRORAČUNSKI KORISNICI (DIREKTNO)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3D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8E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817,00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52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27,23</w:t>
            </w:r>
          </w:p>
        </w:tc>
      </w:tr>
      <w:tr w:rsidR="001C09C1" w:rsidRPr="00F37423" w14:paraId="644FF63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DD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61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4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0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817,00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08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27,23</w:t>
            </w:r>
          </w:p>
        </w:tc>
      </w:tr>
      <w:tr w:rsidR="001C09C1" w:rsidRPr="00F37423" w14:paraId="229C4C1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0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0E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6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67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817,00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FA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091C9F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27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4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2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33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99,66</w:t>
            </w:r>
          </w:p>
        </w:tc>
      </w:tr>
      <w:tr w:rsidR="001C09C1" w:rsidRPr="00F37423" w14:paraId="171F178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66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E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15.100,00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5D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15.048,81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9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99,66</w:t>
            </w:r>
          </w:p>
        </w:tc>
      </w:tr>
      <w:tr w:rsidR="001C09C1" w:rsidRPr="00F37423" w14:paraId="5AE3B1C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FB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D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EA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AA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2E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48,81</w:t>
            </w:r>
          </w:p>
        </w:tc>
      </w:tr>
      <w:tr w:rsidR="001C09C1" w:rsidRPr="00F37423" w14:paraId="513A79F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5A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BDF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C1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2E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48,81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6B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00AD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727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2A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9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4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7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B14C53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C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4241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D3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B0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3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BD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24B3EB4" w14:textId="77777777" w:rsidTr="005204EE">
        <w:trPr>
          <w:gridAfter w:val="1"/>
          <w:wAfter w:w="50" w:type="pct"/>
          <w:trHeight w:val="60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E8B7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RAZDJEL 002 UPRAVNI ODJEL ZA KOMUNALNE DJELATNOSTI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84B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15.779.851,99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DE7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15.910.105,22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321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100,83</w:t>
            </w:r>
          </w:p>
        </w:tc>
      </w:tr>
      <w:tr w:rsidR="001C09C1" w:rsidRPr="00F37423" w14:paraId="40077AEE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53C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GLAVA 00201 UPRAVNI ODJEL ZA KOMUNALNE DJELATNOSTI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27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15.779.851,99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F9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15.910.105,22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32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100,83</w:t>
            </w:r>
          </w:p>
        </w:tc>
      </w:tr>
      <w:tr w:rsidR="001C09C1" w:rsidRPr="00F37423" w14:paraId="6BD07F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D07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3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2.309.290,79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4D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2.047.491,30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35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88,66</w:t>
            </w:r>
          </w:p>
        </w:tc>
      </w:tr>
      <w:tr w:rsidR="001C09C1" w:rsidRPr="00F37423" w14:paraId="3BF5224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DA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9B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2.309.290,79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FB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2.047.491,30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B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88,66</w:t>
            </w:r>
          </w:p>
        </w:tc>
      </w:tr>
      <w:tr w:rsidR="001C09C1" w:rsidRPr="00F37423" w14:paraId="20B8E62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30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5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10.173.715,31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7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10.706.515,11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92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105,24</w:t>
            </w:r>
          </w:p>
        </w:tc>
      </w:tr>
      <w:tr w:rsidR="001C09C1" w:rsidRPr="00F37423" w14:paraId="5536ACA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7D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73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5.181.631,85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1F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5.117.383,93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2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98,76</w:t>
            </w:r>
          </w:p>
        </w:tc>
      </w:tr>
      <w:tr w:rsidR="001C09C1" w:rsidRPr="00F37423" w14:paraId="4D57F26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E0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21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3.063.493,46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53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3.693.424,71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F4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120,56</w:t>
            </w:r>
          </w:p>
        </w:tc>
      </w:tr>
      <w:tr w:rsidR="001C09C1" w:rsidRPr="00F37423" w14:paraId="646F988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8BB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4.3. PRIHODI POSEBNE NAMJENE - BORAVIŠNE PRISTOJBE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D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161.481,25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22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161.481,25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6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FBD94E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E4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4.4. PRIHODI POSEBNE NAMJENE - SPOMENIČKA RENTA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0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112.733,75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FC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120.865,00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CF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107,21</w:t>
            </w:r>
          </w:p>
        </w:tc>
      </w:tr>
      <w:tr w:rsidR="001C09C1" w:rsidRPr="00F37423" w14:paraId="23CDF45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D2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C07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760.000,00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CF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739.335,60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DF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97,28</w:t>
            </w:r>
          </w:p>
        </w:tc>
      </w:tr>
      <w:tr w:rsidR="001C09C1" w:rsidRPr="00F37423" w14:paraId="5C987E1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BA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4.6. PRIHODI POSEBNE NAMJENE - OSTALI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62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894.375,00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D6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874.024,62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D4B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97,72</w:t>
            </w:r>
          </w:p>
        </w:tc>
      </w:tr>
      <w:tr w:rsidR="001C09C1" w:rsidRPr="00F37423" w14:paraId="0EA9936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E0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F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67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1C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76B7A9C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17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6.1.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0E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E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E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3F0AFBE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AD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EF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2.433.372,50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FB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2.102.980,61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21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86,42</w:t>
            </w:r>
          </w:p>
        </w:tc>
      </w:tr>
      <w:tr w:rsidR="001C09C1" w:rsidRPr="00F37423" w14:paraId="0829740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C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1F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2.433.372,50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44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2.102.980,61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8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86,42</w:t>
            </w:r>
          </w:p>
        </w:tc>
      </w:tr>
      <w:tr w:rsidR="001C09C1" w:rsidRPr="00F37423" w14:paraId="682DD9E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60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8. NAMJENSKI PRIMICI OD ZADUŽIVANJA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AD7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B1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58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2A1AD8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8C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8.1. NAMJENSKI PRIMICI OD ZADUŽIVANJA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53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F3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7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46E7669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63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8A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REDOVNA DJELATNOST UPRAVNIH ODJELA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376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1.047.925,00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E2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695.582,21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12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66,38</w:t>
            </w:r>
          </w:p>
        </w:tc>
      </w:tr>
      <w:tr w:rsidR="001C09C1" w:rsidRPr="00F37423" w14:paraId="0A06E806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55E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AB01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CB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847.925,00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9E1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695.582,21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725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82,03</w:t>
            </w:r>
          </w:p>
        </w:tc>
      </w:tr>
      <w:tr w:rsidR="001C09C1" w:rsidRPr="00F37423" w14:paraId="4BA28B8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54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9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847.925,00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12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695.582,21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90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82,03</w:t>
            </w:r>
          </w:p>
        </w:tc>
      </w:tr>
      <w:tr w:rsidR="001C09C1" w:rsidRPr="00F37423" w14:paraId="553C480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70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A1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847.925,00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20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695.582,21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E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82,03</w:t>
            </w:r>
          </w:p>
        </w:tc>
      </w:tr>
      <w:tr w:rsidR="001C09C1" w:rsidRPr="00F37423" w14:paraId="3B87E24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C2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22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89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A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578.040,49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5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81,99</w:t>
            </w:r>
          </w:p>
        </w:tc>
      </w:tr>
      <w:tr w:rsidR="001C09C1" w:rsidRPr="00F37423" w14:paraId="40A2796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DE6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3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3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C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544.967,30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B4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12B79B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7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8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3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D9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33.073,19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72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DFAB5F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28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0B2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3A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9A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22.165,00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C19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83,33</w:t>
            </w:r>
          </w:p>
        </w:tc>
      </w:tr>
      <w:tr w:rsidR="001C09C1" w:rsidRPr="00F37423" w14:paraId="28C5B72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51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D7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3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6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22.165,00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3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79373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1A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57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7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116.325,00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E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95.376,72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02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81,99</w:t>
            </w:r>
          </w:p>
        </w:tc>
      </w:tr>
      <w:tr w:rsidR="001C09C1" w:rsidRPr="00F37423" w14:paraId="6FDDDE5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D0B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C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4B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B8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95.376,72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B2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CEF430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862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K200013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31D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DOKAPITALIZACIJA KOMUNALNOG PODUZEĆA I KAPITALNE POMOĆI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4E1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29B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AEB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E8A60C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07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94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2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23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21142AC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5E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0E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3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F58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4AB866A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6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86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CB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6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ED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13F8E05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E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65F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Kapitalne pomoći kreditnim i ostalim financijskim institucijama te trgovačkim društvima u javnom </w:t>
            </w:r>
            <w:proofErr w:type="spellStart"/>
            <w:r w:rsidRPr="00F37423">
              <w:rPr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83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54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D8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0058B8A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AE7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BF3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C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8.028.932,17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9B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7.790.520,23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33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97,03</w:t>
            </w:r>
          </w:p>
        </w:tc>
      </w:tr>
      <w:tr w:rsidR="001C09C1" w:rsidRPr="00F37423" w14:paraId="2F256E2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0B5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08A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JAVNA RASVJETA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D9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602.731,25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123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618.903,46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FFA6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102,68</w:t>
            </w:r>
          </w:p>
        </w:tc>
      </w:tr>
      <w:tr w:rsidR="001C09C1" w:rsidRPr="00F37423" w14:paraId="7DC3EF3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F6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E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602.731,25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F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618.903,46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F3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102,68</w:t>
            </w:r>
          </w:p>
        </w:tc>
      </w:tr>
      <w:tr w:rsidR="001C09C1" w:rsidRPr="00F37423" w14:paraId="064B4AE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CE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B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490.000,00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7D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506.172,21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B9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103,30</w:t>
            </w:r>
          </w:p>
        </w:tc>
      </w:tr>
      <w:tr w:rsidR="001C09C1" w:rsidRPr="00F37423" w14:paraId="27CFB49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1E6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42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E7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9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330.373,46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D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94,39</w:t>
            </w:r>
          </w:p>
        </w:tc>
      </w:tr>
      <w:tr w:rsidR="001C09C1" w:rsidRPr="00F37423" w14:paraId="548083B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D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84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8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B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330.373,46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11A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E09D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3B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50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A4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44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175.798,75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D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140,64</w:t>
            </w:r>
          </w:p>
        </w:tc>
      </w:tr>
      <w:tr w:rsidR="001C09C1" w:rsidRPr="00F37423" w14:paraId="2466038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1A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CB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2C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90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175.798,75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E9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201392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A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2B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2F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CD0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5D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20D55D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D6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9F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5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4A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61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BA1F00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3A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4.3. PRIHODI POSEBNE NAMJENE - BORAVIŠNE PRISTOJBE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C86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112.731,25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68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112.731,25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3C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1B84DE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3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23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10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112.731,25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7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112.731,25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B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9CE663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E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0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5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00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112.731,25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285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156DC2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48E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B248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NERAZVRSTANE CESTE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42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1.863.250,00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0C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1.845.301,02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97B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99,04</w:t>
            </w:r>
          </w:p>
        </w:tc>
      </w:tr>
      <w:tr w:rsidR="001C09C1" w:rsidRPr="00F37423" w14:paraId="2489D69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93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6D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1.863.250,00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A1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1.845.301,02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62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99,04</w:t>
            </w:r>
          </w:p>
        </w:tc>
      </w:tr>
      <w:tr w:rsidR="001C09C1" w:rsidRPr="00F37423" w14:paraId="2794E79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5E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AE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1.103.250,00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B8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1.105.965,42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34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100,25</w:t>
            </w:r>
          </w:p>
        </w:tc>
      </w:tr>
      <w:tr w:rsidR="001C09C1" w:rsidRPr="00F37423" w14:paraId="1834D12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30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11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F7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1.103.250,00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2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1.105.965,42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D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100,25</w:t>
            </w:r>
          </w:p>
        </w:tc>
      </w:tr>
      <w:tr w:rsidR="001C09C1" w:rsidRPr="00F37423" w14:paraId="307C761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D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79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4A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27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1.084.715,42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2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68AD35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3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0F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D8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60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21.250,00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C7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B70161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05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4.5. PRIHODI POSEBNE NAMJENE - POLJOPRIVREDNO ZEMLJIŠTE RH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CC1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760.000,00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1C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739.335,60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19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97,28</w:t>
            </w:r>
          </w:p>
        </w:tc>
      </w:tr>
      <w:tr w:rsidR="001C09C1" w:rsidRPr="00F37423" w14:paraId="4963CAD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26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C2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6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F2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739.335,60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6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97,28</w:t>
            </w:r>
          </w:p>
        </w:tc>
      </w:tr>
      <w:tr w:rsidR="001C09C1" w:rsidRPr="00F37423" w14:paraId="569B8FB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CF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B8D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4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1A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569.235,60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03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2FABBF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76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A9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7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4E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170.100,00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B9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30E820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0C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A04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ČISTOĆA JAVNIH POVRŠINA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34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684.375,00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D79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701.281,81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852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102,47</w:t>
            </w:r>
          </w:p>
        </w:tc>
      </w:tr>
      <w:tr w:rsidR="001C09C1" w:rsidRPr="00F37423" w14:paraId="45FB344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A3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801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684.375,00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2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701.281,81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BC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102,47</w:t>
            </w:r>
          </w:p>
        </w:tc>
      </w:tr>
      <w:tr w:rsidR="001C09C1" w:rsidRPr="00F37423" w14:paraId="0E67BE1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393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B3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684.375,00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C0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701.281,81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D67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102,47</w:t>
            </w:r>
          </w:p>
        </w:tc>
      </w:tr>
      <w:tr w:rsidR="001C09C1" w:rsidRPr="00F37423" w14:paraId="5984B5F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16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DD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82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684.375,00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64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643.473,04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C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94,02</w:t>
            </w:r>
          </w:p>
        </w:tc>
      </w:tr>
      <w:tr w:rsidR="001C09C1" w:rsidRPr="00F37423" w14:paraId="7A065AC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FC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83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B46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F4D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170.676,75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CE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13F9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A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88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2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19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77.952,54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6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4EC3C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3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BB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C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C1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4.375,00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CF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3F82ED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8A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07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8F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D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390.468,75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5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C23F77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E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C0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89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F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57.808,77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3D4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2F983E9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FAF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C1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78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6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57.808,77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0E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732678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FE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A78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ODRŽAVANJE GRAĐEVINA JAVNE ODVODNJE OBORINSKIH VODA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F9B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243.000,00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2E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276.352,46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62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113,73</w:t>
            </w:r>
          </w:p>
        </w:tc>
      </w:tr>
      <w:tr w:rsidR="001C09C1" w:rsidRPr="00F37423" w14:paraId="0D8DD12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D1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50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CB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276.352,46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1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113,73</w:t>
            </w:r>
          </w:p>
        </w:tc>
      </w:tr>
      <w:tr w:rsidR="001C09C1" w:rsidRPr="00F37423" w14:paraId="3614EB7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F5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C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243.000,00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B2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276.352,46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FF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113,73</w:t>
            </w:r>
          </w:p>
        </w:tc>
      </w:tr>
      <w:tr w:rsidR="001C09C1" w:rsidRPr="00F37423" w14:paraId="1357EA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72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45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5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243.000,00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5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276.352,46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0A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113,73</w:t>
            </w:r>
          </w:p>
        </w:tc>
      </w:tr>
      <w:tr w:rsidR="001C09C1" w:rsidRPr="00F37423" w14:paraId="7DC01AA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4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75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57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2B4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276.352,46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E0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7F968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7C2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A200009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29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JAVNE ZELENE POVRŠINE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A5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1.800.056,85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E7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1.733.517,54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6E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96,30</w:t>
            </w:r>
          </w:p>
        </w:tc>
      </w:tr>
      <w:tr w:rsidR="001C09C1" w:rsidRPr="00F37423" w14:paraId="62CD2E4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34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2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1.800.056,85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C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1.733.517,54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DC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96,30</w:t>
            </w:r>
          </w:p>
        </w:tc>
      </w:tr>
      <w:tr w:rsidR="001C09C1" w:rsidRPr="00F37423" w14:paraId="4AAA99F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B3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53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1.750.056,85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E1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1.676.323,79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0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95,79</w:t>
            </w:r>
          </w:p>
        </w:tc>
      </w:tr>
      <w:tr w:rsidR="001C09C1" w:rsidRPr="00F37423" w14:paraId="6628BDC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B9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73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50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1.750.056,85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8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1.676.323,79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E37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95,79</w:t>
            </w:r>
          </w:p>
        </w:tc>
      </w:tr>
      <w:tr w:rsidR="001C09C1" w:rsidRPr="00F37423" w14:paraId="3BB1CBE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64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31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9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FF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121.560,03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754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2EE35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63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BD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F4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28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1.554.763,76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81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74CCCD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21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4.4. PRIHODI POSEBNE NAMJENE - SPOMENIČKA RENTA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D0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78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57.193,75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9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114,39</w:t>
            </w:r>
          </w:p>
        </w:tc>
      </w:tr>
      <w:tr w:rsidR="001C09C1" w:rsidRPr="00F37423" w14:paraId="2EC7418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68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B9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7E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98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57.193,75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38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114,39</w:t>
            </w:r>
          </w:p>
        </w:tc>
      </w:tr>
      <w:tr w:rsidR="001C09C1" w:rsidRPr="00F37423" w14:paraId="77D5812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06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53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EB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998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57.193,75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0E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C25BEF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B4A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A200010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36B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18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747.268,75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435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733.587,50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7C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98,17</w:t>
            </w:r>
          </w:p>
        </w:tc>
      </w:tr>
      <w:tr w:rsidR="001C09C1" w:rsidRPr="00F37423" w14:paraId="3C9C00C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29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3C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701.768,75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03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688.087,50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F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98,05</w:t>
            </w:r>
          </w:p>
        </w:tc>
      </w:tr>
      <w:tr w:rsidR="001C09C1" w:rsidRPr="00F37423" w14:paraId="1A73B04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0E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7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701.768,75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22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688.087,50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B0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98,05</w:t>
            </w:r>
          </w:p>
        </w:tc>
      </w:tr>
      <w:tr w:rsidR="001C09C1" w:rsidRPr="00F37423" w14:paraId="26D0255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70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B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7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701.768,75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D0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688.087,50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E2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98,05</w:t>
            </w:r>
          </w:p>
        </w:tc>
      </w:tr>
      <w:tr w:rsidR="001C09C1" w:rsidRPr="00F37423" w14:paraId="3F2F3F2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66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0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4D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DA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688.087,50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7E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B37A36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D5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6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28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3B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73CA9E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2B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B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C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E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336A5C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EC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3F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6E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40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91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3A7A7B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1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53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39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D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56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08451F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D02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A200052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67D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JAVNE PROMETNE POVRŠINE NA KOJIMA NIJE DOPUŠTEN PROMET MOTORNIM VOZILIMA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B71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48.750,00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BD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48.750,00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630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474F50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810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6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A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48.750,00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3B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D35C88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75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4.3. PRIHODI POSEBNE NAMJENE - BORAVIŠNE PRISTOJBE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82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48.750,00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AF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48.750,00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16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A3D43E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FF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CA9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D4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48.750,00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48.750,00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AA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6B7799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AA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55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0A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95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48.750,00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EF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4436A8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E6C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A200053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1D9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GRAĐEVINE, UREĐAJI I PREDMETI JAVNE NAMJENE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F36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1.951.500,32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7C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1.745.438,13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4D5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89,44</w:t>
            </w:r>
          </w:p>
        </w:tc>
      </w:tr>
      <w:tr w:rsidR="001C09C1" w:rsidRPr="00F37423" w14:paraId="66F2347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6D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93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434.897,82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8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377.453,22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6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86,79</w:t>
            </w:r>
          </w:p>
        </w:tc>
      </w:tr>
      <w:tr w:rsidR="001C09C1" w:rsidRPr="00F37423" w14:paraId="2B25BE3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30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8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434.897,82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0A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377.453,22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C8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86,79</w:t>
            </w:r>
          </w:p>
        </w:tc>
      </w:tr>
      <w:tr w:rsidR="001C09C1" w:rsidRPr="00F37423" w14:paraId="4A947BE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31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6C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7D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158.193,75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B4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156.610,60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A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99,00</w:t>
            </w:r>
          </w:p>
        </w:tc>
      </w:tr>
      <w:tr w:rsidR="001C09C1" w:rsidRPr="00F37423" w14:paraId="3966244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E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C9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41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E2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148.416,85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38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156FA6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3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3225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9C5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8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3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8.193,75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6F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337C04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4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59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3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276.704,07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7B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220.842,62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E7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79,81</w:t>
            </w:r>
          </w:p>
        </w:tc>
      </w:tr>
      <w:tr w:rsidR="001C09C1" w:rsidRPr="00F37423" w14:paraId="4C5EBCD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4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8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C1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CB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95.609,83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B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42E4EB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58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6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6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D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113.716,90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6E2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89AA88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08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2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205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65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11.515,89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84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4D3643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EB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1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335.665,00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AC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284.827,61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1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84,85</w:t>
            </w:r>
          </w:p>
        </w:tc>
      </w:tr>
      <w:tr w:rsidR="001C09C1" w:rsidRPr="00F37423" w14:paraId="51CD45C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A34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31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128.556,25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B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82.575,74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1D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64,23</w:t>
            </w:r>
          </w:p>
        </w:tc>
      </w:tr>
      <w:tr w:rsidR="001C09C1" w:rsidRPr="00F37423" w14:paraId="1CCA27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45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CB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07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128.556,25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15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82.575,74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4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64,23</w:t>
            </w:r>
          </w:p>
        </w:tc>
      </w:tr>
      <w:tr w:rsidR="001C09C1" w:rsidRPr="00F37423" w14:paraId="3012B2D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F2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60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69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06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21.333,75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A5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45CC97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C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46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C0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AC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61.241,99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CD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96194F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81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4.4. PRIHODI POSEBNE NAMJENE - SPOMENIČKA RENTA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83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62.733,75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E9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63.671,25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80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101,49</w:t>
            </w:r>
          </w:p>
        </w:tc>
      </w:tr>
      <w:tr w:rsidR="001C09C1" w:rsidRPr="00F37423" w14:paraId="2F491C6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A6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97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21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62.733,75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E4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63.671,25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2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101,49</w:t>
            </w:r>
          </w:p>
        </w:tc>
      </w:tr>
      <w:tr w:rsidR="001C09C1" w:rsidRPr="00F37423" w14:paraId="6B47A7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E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3D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C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0C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63.671,25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57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B65F9C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1B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4.6. PRIHODI POSEBNE NAMJENE - OSTALI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B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144.375,00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05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138.580,62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B0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95,99</w:t>
            </w:r>
          </w:p>
        </w:tc>
      </w:tr>
      <w:tr w:rsidR="001C09C1" w:rsidRPr="00F37423" w14:paraId="005B879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1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7E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F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144.375,00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32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138.580,62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8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95,99</w:t>
            </w:r>
          </w:p>
        </w:tc>
      </w:tr>
      <w:tr w:rsidR="001C09C1" w:rsidRPr="00F37423" w14:paraId="0CC9C26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2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4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87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6F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FF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410FE5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E10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DF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0A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1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64.924,70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E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CE4C3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6A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2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22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06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72.780,92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0F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45711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A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A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90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EF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11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08A43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B5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11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1.180.937,50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DF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1.083.157,30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F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91,72</w:t>
            </w:r>
          </w:p>
        </w:tc>
      </w:tr>
      <w:tr w:rsidR="001C09C1" w:rsidRPr="00F37423" w14:paraId="3C2B6F8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D49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2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1.180.937,50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36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1.083.157,30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4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91,72</w:t>
            </w:r>
          </w:p>
        </w:tc>
      </w:tr>
      <w:tr w:rsidR="001C09C1" w:rsidRPr="00F37423" w14:paraId="4B6082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5D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2B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6F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18B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398.478,90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2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90,56</w:t>
            </w:r>
          </w:p>
        </w:tc>
      </w:tr>
      <w:tr w:rsidR="001C09C1" w:rsidRPr="00F37423" w14:paraId="01DBE39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35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3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76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B2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398.478,90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64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0CAC8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D2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FE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8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94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BD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FD749F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4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CD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17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72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D4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FF539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24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7D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2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735.937,50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D0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679.678,40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2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92,36</w:t>
            </w:r>
          </w:p>
        </w:tc>
      </w:tr>
      <w:tr w:rsidR="001C09C1" w:rsidRPr="00F37423" w14:paraId="2C0AC10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2A7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42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AC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73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679.678,40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4B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3A371E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961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K200020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B4F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ŽUPANIJSKI CENTAR ZA GOSPODARENJE OTPADOM - KAŠTIJUN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10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C4D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D0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1C09C1" w:rsidRPr="00F37423" w14:paraId="56968A1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5C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A9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7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87.388,31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951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99,30</w:t>
            </w:r>
          </w:p>
        </w:tc>
      </w:tr>
      <w:tr w:rsidR="001C09C1" w:rsidRPr="00F37423" w14:paraId="6A9C6E9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D2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7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0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87.388,31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3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99,30</w:t>
            </w:r>
          </w:p>
        </w:tc>
      </w:tr>
      <w:tr w:rsidR="001C09C1" w:rsidRPr="00F37423" w14:paraId="3D05CBB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D6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E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C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DA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87.388,31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B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1C09C1" w:rsidRPr="00F37423" w14:paraId="38CC22F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E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EC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Dionice i udjeli u glavnici trgovačkih društava u javnom sektoru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1F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B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87.388,31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F5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F6C4E97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36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C6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GRADNJA KOMUNALNE INFRASTRUKTURE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07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4.931.926,85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BD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5.719.502,91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17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115,97</w:t>
            </w:r>
          </w:p>
        </w:tc>
      </w:tr>
      <w:tr w:rsidR="001C09C1" w:rsidRPr="00F37423" w14:paraId="6970CB7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B5B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K200023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3CE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ZAMJENA JAVNE RASVJETE LED RASVJETOM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E9F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1.185.646,41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961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1.253.253,91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712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105,70</w:t>
            </w:r>
          </w:p>
        </w:tc>
      </w:tr>
      <w:tr w:rsidR="001C09C1" w:rsidRPr="00F37423" w14:paraId="2EB3AFA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20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D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0D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07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E0791B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B8D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1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5.400,00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16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23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3538C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F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B90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EC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E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E75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4F74A1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E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6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E23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08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5.400,00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DA8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5603EC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21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33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316.773,02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1F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384.380,52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C1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121,34</w:t>
            </w:r>
          </w:p>
        </w:tc>
      </w:tr>
      <w:tr w:rsidR="001C09C1" w:rsidRPr="00F37423" w14:paraId="3CE3BA0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3A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D3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316.773,02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F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384.380,52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3B6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121,34</w:t>
            </w:r>
          </w:p>
        </w:tc>
      </w:tr>
      <w:tr w:rsidR="001C09C1" w:rsidRPr="00F37423" w14:paraId="0CCF99F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0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A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E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316.773,02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F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384.380,52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0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121,34</w:t>
            </w:r>
          </w:p>
        </w:tc>
      </w:tr>
      <w:tr w:rsidR="001C09C1" w:rsidRPr="00F37423" w14:paraId="4892F9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A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88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7E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35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384.380,52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15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81D473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9E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8. NAMJENSKI PRIMICI OD ZADUŽIVANJA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2D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9F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0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703B02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50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8.1. NAMJENSKI PRIMICI OD ZADUŽIVANJA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5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EA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B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8C90C0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28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D8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A2A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863.473,39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36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26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5792DB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64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A3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A3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E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863.473,39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E3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984C25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A5F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K200027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BB2F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NERAZVRSTANE CESTE - UREĐENI DIJELOVI GRAĐEVINSKOG PODRUČJA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FE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612.500,00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D4A6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FE3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81,63</w:t>
            </w:r>
          </w:p>
        </w:tc>
      </w:tr>
      <w:tr w:rsidR="001C09C1" w:rsidRPr="00F37423" w14:paraId="40A1849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56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A0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0D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667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81,63</w:t>
            </w:r>
          </w:p>
        </w:tc>
      </w:tr>
      <w:tr w:rsidR="001C09C1" w:rsidRPr="00F37423" w14:paraId="7E43E14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F4F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C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612.500,00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C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E06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81,63</w:t>
            </w:r>
          </w:p>
        </w:tc>
      </w:tr>
      <w:tr w:rsidR="001C09C1" w:rsidRPr="00F37423" w14:paraId="1879355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02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C9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5F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C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5A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58821E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7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42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5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464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9A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9F9CD2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76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D9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40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C22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A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D8CC15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FC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22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F4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60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52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14E191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2FA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K200028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FBB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JAVNA PARKIRALIŠTA - UREĐENI DIJELOVI GRAĐEVINSKOG PODRUČJA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0B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125.962,50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12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125.962,50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A1F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18AA53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BD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37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125.962,50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41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125.962,50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14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C5D973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94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8D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125.962,50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2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125.962,50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AC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B6C684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D7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90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C1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125.962,50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C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125.962,50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3C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2B4D7E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D8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7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91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45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125.962,50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5D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039EA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FCE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K200029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2DF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JAVNE ZELENE POVRŠINE - UREĐENI DIJELOVI GRAĐEVINSKOG PODRUČJA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78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FF0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C57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6EC5519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10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7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B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F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5FE6BE3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CE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1E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47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7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415172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619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4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25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C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6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1BA649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D2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E5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1E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67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F8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A753E07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F97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K200030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A8B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JAVNA RASVJETA - UREĐENI DIJELOVI GRAĐEVINSKOG PODRUČJA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2D1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359.388,40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50F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423.049,15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52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117,71</w:t>
            </w:r>
          </w:p>
        </w:tc>
      </w:tr>
      <w:tr w:rsidR="001C09C1" w:rsidRPr="00F37423" w14:paraId="7A79C24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1B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F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359.388,40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3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423.049,15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CB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117,71</w:t>
            </w:r>
          </w:p>
        </w:tc>
      </w:tr>
      <w:tr w:rsidR="001C09C1" w:rsidRPr="00F37423" w14:paraId="666D050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70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7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359.388,40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45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423.049,15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6C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117,71</w:t>
            </w:r>
          </w:p>
        </w:tc>
      </w:tr>
      <w:tr w:rsidR="001C09C1" w:rsidRPr="00F37423" w14:paraId="3A56C44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62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87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17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359.388,40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47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423.049,15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3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117,71</w:t>
            </w:r>
          </w:p>
        </w:tc>
      </w:tr>
      <w:tr w:rsidR="001C09C1" w:rsidRPr="00F37423" w14:paraId="4F41197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6B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40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B4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BD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423.049,15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14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E94249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E0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K200032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666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PLANSKA DOKUMENTACIJA I OSTALO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08E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165.937,50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BE2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165.937,50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44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88827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99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2F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165.937,50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1D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165.937,50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75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0DD16D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5B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8D1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80.625,00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17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80.625,00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EF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6046C6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3C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68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5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80.625,00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59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80.625,00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92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7D1AC5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BF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C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E2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CB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80.625,00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85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EEA47B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7D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8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85.312,50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DE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85.312,50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5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C196DB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4C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41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5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85.312,50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8B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85.312,50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8B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573EB7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44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5E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B0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59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85.312,50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52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04F8E6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D56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lastRenderedPageBreak/>
              <w:t>K200033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C24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NERAZVRSTANE CESTE - REKONSTRUKCIJA POSTOJEĆIH GRAĐEVINA KOMUNALNE INFRASTRUKTURE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08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1.479.992,04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371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2.187.744,30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6950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147,82</w:t>
            </w:r>
          </w:p>
        </w:tc>
      </w:tr>
      <w:tr w:rsidR="001C09C1" w:rsidRPr="00F37423" w14:paraId="365AACD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D2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D6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1.351.057,04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9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2.058.809,30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6C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152,39</w:t>
            </w:r>
          </w:p>
        </w:tc>
      </w:tr>
      <w:tr w:rsidR="001C09C1" w:rsidRPr="00F37423" w14:paraId="37B9D71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75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F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1.351.057,04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5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2.058.809,30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B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152,39</w:t>
            </w:r>
          </w:p>
        </w:tc>
      </w:tr>
      <w:tr w:rsidR="001C09C1" w:rsidRPr="00F37423" w14:paraId="68C565E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B4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12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87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1.351.057,04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88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2.058.809,30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F8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152,39</w:t>
            </w:r>
          </w:p>
        </w:tc>
      </w:tr>
      <w:tr w:rsidR="001C09C1" w:rsidRPr="00F37423" w14:paraId="4A7E367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10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2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BE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8D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2.058.809,30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A9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071609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EC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C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128.935,00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86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128.935,00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3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BE9CFE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74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4B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128.935,00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70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128.935,00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A9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7558A5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BF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89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D3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128.935,00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C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128.935,00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1B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DF3BCA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38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E0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10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37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128.935,00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53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5C27F44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1EB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K200034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3A9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GRAĐEVINE I UREĐAJI JAVNE NAMJENE - REKONSTRUKCIJA POSTOJEĆIH GRAĐEVINA KOMUNALNE INFRASTRUKTURE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F8A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917.500,00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7FF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1.063.555,55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7B1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115,92</w:t>
            </w:r>
          </w:p>
        </w:tc>
      </w:tr>
      <w:tr w:rsidR="001C09C1" w:rsidRPr="00F37423" w14:paraId="633FCA6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4D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69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127.500,00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6E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115.910,74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46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90,91</w:t>
            </w:r>
          </w:p>
        </w:tc>
      </w:tr>
      <w:tr w:rsidR="001C09C1" w:rsidRPr="00F37423" w14:paraId="1FDD446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39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7D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127.500,00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6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115.910,74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7B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90,91</w:t>
            </w:r>
          </w:p>
        </w:tc>
      </w:tr>
      <w:tr w:rsidR="001C09C1" w:rsidRPr="00F37423" w14:paraId="6840CB6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19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72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D5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127.500,00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9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115.910,74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B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90,91</w:t>
            </w:r>
          </w:p>
        </w:tc>
      </w:tr>
      <w:tr w:rsidR="001C09C1" w:rsidRPr="00F37423" w14:paraId="39567A2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C06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FC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9F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74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28.410,94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B9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DC610B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25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8DD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0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57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87.499,80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D0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877F1D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02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D0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2B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D7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02D2394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C9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6.1. DONACIJE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A2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F6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01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1C09C1" w:rsidRPr="00F37423" w14:paraId="7265AD7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F5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9C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A8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5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0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52BFBA7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D7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2D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3B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A0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189.644,81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89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371F58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83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332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790.000,00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9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758.000,00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A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95,95</w:t>
            </w:r>
          </w:p>
        </w:tc>
      </w:tr>
      <w:tr w:rsidR="001C09C1" w:rsidRPr="00F37423" w14:paraId="7F0554E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17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2F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790.000,00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CE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758.000,00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D1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95,95</w:t>
            </w:r>
          </w:p>
        </w:tc>
      </w:tr>
      <w:tr w:rsidR="001C09C1" w:rsidRPr="00F37423" w14:paraId="2F7232D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2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2F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B3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217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758.000,00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9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95,95</w:t>
            </w:r>
          </w:p>
        </w:tc>
      </w:tr>
      <w:tr w:rsidR="001C09C1" w:rsidRPr="00F37423" w14:paraId="1794A24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5E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D8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81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9E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758.000,00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2F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7005F47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2D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1E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FINANCIRANJE PROTUPOŽARNE I CIVILNE ZAŠTITE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07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1.771.067,97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9A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1.704.499,87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C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96,24</w:t>
            </w:r>
          </w:p>
        </w:tc>
      </w:tr>
      <w:tr w:rsidR="001C09C1" w:rsidRPr="00F37423" w14:paraId="6420B49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FCF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A200011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3ED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POMOĆI, DONACIJE I OSTALI RASHODI ZA REDOVAN RAD SLUŽBI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61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1.771.067,97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74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1.704.499,87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C7D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96,24</w:t>
            </w:r>
          </w:p>
        </w:tc>
      </w:tr>
      <w:tr w:rsidR="001C09C1" w:rsidRPr="00F37423" w14:paraId="2D0D49F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07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F7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1.021.067,97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E3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969.055,87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07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94,91</w:t>
            </w:r>
          </w:p>
        </w:tc>
      </w:tr>
      <w:tr w:rsidR="001C09C1" w:rsidRPr="00F37423" w14:paraId="0FA7E25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03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81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1.021.067,97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1A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969.055,87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13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94,91</w:t>
            </w:r>
          </w:p>
        </w:tc>
      </w:tr>
      <w:tr w:rsidR="001C09C1" w:rsidRPr="00F37423" w14:paraId="2D5C618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C9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74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0C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12.450,00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8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12.450,00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EA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EDB806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0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0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A6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52E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12.450,00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EE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AB0126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E5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0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DA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5.125,00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A8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5.125,00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BB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7119E2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2A1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0A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289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20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5.125,00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68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9E37C7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09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DE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C3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3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637.987,90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4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98,15</w:t>
            </w:r>
          </w:p>
        </w:tc>
      </w:tr>
      <w:tr w:rsidR="001C09C1" w:rsidRPr="00F37423" w14:paraId="39C12B6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F0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64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FD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8D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637.987,90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11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7D383A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E56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29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AD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353.492,97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D2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313.492,97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28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88,68</w:t>
            </w:r>
          </w:p>
        </w:tc>
      </w:tr>
      <w:tr w:rsidR="001C09C1" w:rsidRPr="00F37423" w14:paraId="2A88703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0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DD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97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CB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313.492,97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DE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B84F10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EF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59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91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735.444,00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BA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98,06</w:t>
            </w:r>
          </w:p>
        </w:tc>
      </w:tr>
      <w:tr w:rsidR="001C09C1" w:rsidRPr="00F37423" w14:paraId="4E20E82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A33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4.6. PRIHODI POSEBNE NAMJENE - OSTALI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C8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2F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735.444,00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E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98,06</w:t>
            </w:r>
          </w:p>
        </w:tc>
      </w:tr>
      <w:tr w:rsidR="001C09C1" w:rsidRPr="00F37423" w14:paraId="41DD2D6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76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23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D5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4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735.444,00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7B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98,06</w:t>
            </w:r>
          </w:p>
        </w:tc>
      </w:tr>
      <w:tr w:rsidR="001C09C1" w:rsidRPr="00F37423" w14:paraId="438B602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AD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3661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95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C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87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735.444,00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0C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5043BD0" w14:textId="77777777" w:rsidTr="005204EE">
        <w:trPr>
          <w:gridAfter w:val="1"/>
          <w:wAfter w:w="50" w:type="pct"/>
          <w:trHeight w:val="600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299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RAZDJEL 003 UPRAVNI ODJEL ZA PROSTORNO UREĐENJE I UPRAVLJANJE GRADSKOM IMOVINOM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942C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6.248.657,72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73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5.690.244,91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6F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91,06</w:t>
            </w:r>
          </w:p>
        </w:tc>
      </w:tr>
      <w:tr w:rsidR="001C09C1" w:rsidRPr="00F37423" w14:paraId="2851FD7F" w14:textId="77777777" w:rsidTr="005204EE">
        <w:trPr>
          <w:gridAfter w:val="1"/>
          <w:wAfter w:w="50" w:type="pct"/>
          <w:trHeight w:val="495"/>
        </w:trPr>
        <w:tc>
          <w:tcPr>
            <w:tcW w:w="3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5C1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GLAVA 00301 UPRAVNI ODJEL ZA PROSTORNO UREĐENJE I UPRAVLJANJE GRADSKOM IMOVINOM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9F0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6.248.657,72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6C3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5.690.244,91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BFB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91,06</w:t>
            </w:r>
          </w:p>
        </w:tc>
      </w:tr>
      <w:tr w:rsidR="001C09C1" w:rsidRPr="00F37423" w14:paraId="2CD5247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56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F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1.060.096,69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5CC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946.791,22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7D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89,31</w:t>
            </w:r>
          </w:p>
        </w:tc>
      </w:tr>
      <w:tr w:rsidR="001C09C1" w:rsidRPr="00F37423" w14:paraId="1A87B77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18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0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1.060.096,69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64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946.791,22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04E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89,31</w:t>
            </w:r>
          </w:p>
        </w:tc>
      </w:tr>
      <w:tr w:rsidR="001C09C1" w:rsidRPr="00F37423" w14:paraId="77634E3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38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E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534.900,00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DB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461.040,25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A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86,19</w:t>
            </w:r>
          </w:p>
        </w:tc>
      </w:tr>
      <w:tr w:rsidR="001C09C1" w:rsidRPr="00F37423" w14:paraId="4F39BA5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22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FC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195.025,00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9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145.715,25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6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74,72</w:t>
            </w:r>
          </w:p>
        </w:tc>
      </w:tr>
      <w:tr w:rsidR="001C09C1" w:rsidRPr="00F37423" w14:paraId="352743A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8D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C4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270.875,00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1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267.525,00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79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98,76</w:t>
            </w:r>
          </w:p>
        </w:tc>
      </w:tr>
      <w:tr w:rsidR="001C09C1" w:rsidRPr="00F37423" w14:paraId="18F50F7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4D2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4.6. PRIHODI POSEBNE NAMJENE - OSTALI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2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65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47.800,00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B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69,28</w:t>
            </w:r>
          </w:p>
        </w:tc>
      </w:tr>
      <w:tr w:rsidR="001C09C1" w:rsidRPr="00F37423" w14:paraId="3AD5748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585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09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1.957.386,17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FD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2.002.084,94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8C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102,28</w:t>
            </w:r>
          </w:p>
        </w:tc>
      </w:tr>
      <w:tr w:rsidR="001C09C1" w:rsidRPr="00F37423" w14:paraId="24B0EFB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FE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B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1.957.386,17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33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2.002.084,94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75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102,28</w:t>
            </w:r>
          </w:p>
        </w:tc>
      </w:tr>
      <w:tr w:rsidR="001C09C1" w:rsidRPr="00F37423" w14:paraId="0C78DB5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28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98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2.696.274,86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94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2.280.328,50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060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84,57</w:t>
            </w:r>
          </w:p>
        </w:tc>
      </w:tr>
      <w:tr w:rsidR="001C09C1" w:rsidRPr="00F37423" w14:paraId="0FA4E22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7B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F6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2.696.274,86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26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2.280.328,50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29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84,57</w:t>
            </w:r>
          </w:p>
        </w:tc>
      </w:tr>
      <w:tr w:rsidR="001C09C1" w:rsidRPr="00F37423" w14:paraId="0F98990F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14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57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REDOVNA DJELATNOST UPRAVNIH ODJELA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0C3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761.925,00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4E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698.791,03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95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91,71</w:t>
            </w:r>
          </w:p>
        </w:tc>
      </w:tr>
      <w:tr w:rsidR="001C09C1" w:rsidRPr="00F37423" w14:paraId="617F75C2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957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A300001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A95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RASHODI ZA ZAPOSLENE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1D3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761.925,00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39FC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698.791,03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51D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91,71</w:t>
            </w:r>
          </w:p>
        </w:tc>
      </w:tr>
      <w:tr w:rsidR="001C09C1" w:rsidRPr="00F37423" w14:paraId="414482E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19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6B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761.925,00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25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698.791,03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19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91,71</w:t>
            </w:r>
          </w:p>
        </w:tc>
      </w:tr>
      <w:tr w:rsidR="001C09C1" w:rsidRPr="00F37423" w14:paraId="6F72323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AA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8F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761.925,00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20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698.791,03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5A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91,71</w:t>
            </w:r>
          </w:p>
        </w:tc>
      </w:tr>
      <w:tr w:rsidR="001C09C1" w:rsidRPr="00F37423" w14:paraId="025AEF1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ED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835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9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6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576.134,45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7E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92,18</w:t>
            </w:r>
          </w:p>
        </w:tc>
      </w:tr>
      <w:tr w:rsidR="001C09C1" w:rsidRPr="00F37423" w14:paraId="3EA09A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7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8A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47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8D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569.294,14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18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954413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0C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3C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70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E9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6.840,31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37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D06D27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39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89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FA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33.800,00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A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28.120,00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32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83,20</w:t>
            </w:r>
          </w:p>
        </w:tc>
      </w:tr>
      <w:tr w:rsidR="001C09C1" w:rsidRPr="00F37423" w14:paraId="37BB327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95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BC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AD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41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28.120,00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C1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A64420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37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63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EA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103.125,00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07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94.536,58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3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91,67</w:t>
            </w:r>
          </w:p>
        </w:tc>
      </w:tr>
      <w:tr w:rsidR="001C09C1" w:rsidRPr="00F37423" w14:paraId="541480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2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250C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2A9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FD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94.536,58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4C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8A65E85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92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66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GRADNJA KAPITALNIH OBJEKATA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B45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4.176.700,78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3E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3.838.656,05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82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91,91</w:t>
            </w:r>
          </w:p>
        </w:tc>
      </w:tr>
      <w:tr w:rsidR="001C09C1" w:rsidRPr="00F37423" w14:paraId="4C3DB29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F7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K300002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F66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REKONSTRUKCIJA KAŠTELA ROTA MOMJAN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88F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525.000,00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B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512.503,63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785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97,62</w:t>
            </w:r>
          </w:p>
        </w:tc>
      </w:tr>
      <w:tr w:rsidR="001C09C1" w:rsidRPr="00F37423" w14:paraId="14FE2FC7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CF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7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F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474.101,63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FF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118,53</w:t>
            </w:r>
          </w:p>
        </w:tc>
      </w:tr>
      <w:tr w:rsidR="001C09C1" w:rsidRPr="00F37423" w14:paraId="48B6B0C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83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02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B6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474.101,63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DF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118,53</w:t>
            </w:r>
          </w:p>
        </w:tc>
      </w:tr>
      <w:tr w:rsidR="001C09C1" w:rsidRPr="00F37423" w14:paraId="1B69D67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50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3D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0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22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474.101,63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D8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118,53</w:t>
            </w:r>
          </w:p>
        </w:tc>
      </w:tr>
      <w:tr w:rsidR="001C09C1" w:rsidRPr="00F37423" w14:paraId="59A1E4F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CE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A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04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E5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474.101,63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5D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DFCF0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18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2D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3FC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38.402,00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DDD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30,72</w:t>
            </w:r>
          </w:p>
        </w:tc>
      </w:tr>
      <w:tr w:rsidR="001C09C1" w:rsidRPr="00F37423" w14:paraId="4E2BB51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F4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78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125.000,00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C6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38.402,00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2D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30,72</w:t>
            </w:r>
          </w:p>
        </w:tc>
      </w:tr>
      <w:tr w:rsidR="001C09C1" w:rsidRPr="00F37423" w14:paraId="280C66F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92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32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9B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91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38.402,00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68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30,72</w:t>
            </w:r>
          </w:p>
        </w:tc>
      </w:tr>
      <w:tr w:rsidR="001C09C1" w:rsidRPr="00F37423" w14:paraId="74C6671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3C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4214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69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9B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61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38.402,00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3B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838B7D1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424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K300006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94A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OTKUP I ZAMJENA NEKRETNINA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4E7A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589.390,02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6D0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493.544,02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4EF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83,74</w:t>
            </w:r>
          </w:p>
        </w:tc>
      </w:tr>
      <w:tr w:rsidR="001C09C1" w:rsidRPr="00F37423" w14:paraId="178A350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57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58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8.022,94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43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8.022,94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52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658AF9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21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FA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8.022,94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C6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8.022,94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F61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EB4828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26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BD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85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8.022,94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63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8.022,94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3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146C74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59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60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D1F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490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8.022,94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91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6B2264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B5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8C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06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47.800,00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F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69,28</w:t>
            </w:r>
          </w:p>
        </w:tc>
      </w:tr>
      <w:tr w:rsidR="001C09C1" w:rsidRPr="00F37423" w14:paraId="1C1B520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67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4.6. PRIHODI POSEBNE NAMJENE - OSTALI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5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F8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47.800,00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7B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69,28</w:t>
            </w:r>
          </w:p>
        </w:tc>
      </w:tr>
      <w:tr w:rsidR="001C09C1" w:rsidRPr="00F37423" w14:paraId="493F6E7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330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FB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52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9F3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47.800,00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0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69,28</w:t>
            </w:r>
          </w:p>
        </w:tc>
      </w:tr>
      <w:tr w:rsidR="001C09C1" w:rsidRPr="00F37423" w14:paraId="6A78998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F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49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8E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B2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47.800,00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80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990A0E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59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22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512.367,08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EE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437.721,08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9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85,43</w:t>
            </w:r>
          </w:p>
        </w:tc>
      </w:tr>
      <w:tr w:rsidR="001C09C1" w:rsidRPr="00F37423" w14:paraId="68C0304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AB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B5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512.367,08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74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437.721,08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B5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85,43</w:t>
            </w:r>
          </w:p>
        </w:tc>
      </w:tr>
      <w:tr w:rsidR="001C09C1" w:rsidRPr="00F37423" w14:paraId="2CFD8FA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69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35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B6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155.114,56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8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155.114,56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99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8228E8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8B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3831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06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A3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B1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155.114,56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8D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59885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9E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1E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31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357.252,52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3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282.606,52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A4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79,11</w:t>
            </w:r>
          </w:p>
        </w:tc>
      </w:tr>
      <w:tr w:rsidR="001C09C1" w:rsidRPr="00F37423" w14:paraId="2E5F061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2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4111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B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9D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4D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282.606,52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73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2862097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986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K300011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80DB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ENERGETSKA OBNOVA DJEČJEG VRTIĆA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1A1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1.890.835,26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F04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1.890.835,26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393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CF8FCE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55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98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1.275.021,73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E6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1.275.021,73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2A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C449AB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54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28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1.275.021,73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6A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1.275.021,73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A1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180966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4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47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FF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1.275.021,73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BAD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1.275.021,73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8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E5A1BD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FF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8A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488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49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1.275.021,73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7E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0D5837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30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3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615.813,53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99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615.813,53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F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22C116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BE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2A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615.813,53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D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615.813,53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98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7EF31C9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52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B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AF9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615.813,53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0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615.813,53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82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E271AB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75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6F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C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74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615.813,53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D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BD0550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95C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K300021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CF1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SANACIJA SPOMENIKA PALIM BORCIMA U PLOVANIJI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F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77B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F28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71572A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10D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4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F3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D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0BD309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DF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A18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C0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3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49F00A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AD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D2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45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37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A4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6E35D41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6F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19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E6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34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2C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ECDC5D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F76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K300028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193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DOGRADNJA ZGRADE DJEČJEG VRTIĆA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056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88.000,50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701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88.000,50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99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81D412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5A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80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2ED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939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BBC959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69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45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66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88.000,50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FB1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94E56A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76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F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FF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E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87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B6DCF5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86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0B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83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0A5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36.500,00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7F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F32B79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91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25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05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51.500,50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C6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51.500,50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94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EB4F38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D8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E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FCA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22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51.500,50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93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893AA50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A63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K300031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3E7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KUĆA ISTARSKIH KAŠTELA U MOMJANU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DED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503.475,00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60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333.264,40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AE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66,19</w:t>
            </w:r>
          </w:p>
        </w:tc>
      </w:tr>
      <w:tr w:rsidR="001C09C1" w:rsidRPr="00F37423" w14:paraId="726DBEB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AD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E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3.475,00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61F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3.475,00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9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EF29FB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4D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88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3.475,00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9B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3.475,00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73F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2ED0F07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F1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A9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54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3.475,00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8E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3.475,00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B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7149722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362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9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C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25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3.475,00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3C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54A7E0D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66D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2F9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77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329.789,40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AA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65,96</w:t>
            </w:r>
          </w:p>
        </w:tc>
      </w:tr>
      <w:tr w:rsidR="001C09C1" w:rsidRPr="00F37423" w14:paraId="1441643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98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42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76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329.789,40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88F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65,96</w:t>
            </w:r>
          </w:p>
        </w:tc>
      </w:tr>
      <w:tr w:rsidR="001C09C1" w:rsidRPr="00F37423" w14:paraId="1040E5C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8C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9F4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F6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32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329.789,40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5F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65,96</w:t>
            </w:r>
          </w:p>
        </w:tc>
      </w:tr>
      <w:tr w:rsidR="001C09C1" w:rsidRPr="00F37423" w14:paraId="0C72122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7F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lastRenderedPageBreak/>
              <w:t>3632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020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083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04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329.789,40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4B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9ED6F25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95E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K300032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9291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REKONSTRUKCIJA ZGRADE STAROG VATROGASNOG DOMA / STARI DIGITRON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1CD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E661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470.508,24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F95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88,78</w:t>
            </w:r>
          </w:p>
        </w:tc>
      </w:tr>
      <w:tr w:rsidR="001C09C1" w:rsidRPr="00F37423" w14:paraId="7B929F23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D7E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D4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34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470.508,24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AA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88,78</w:t>
            </w:r>
          </w:p>
        </w:tc>
      </w:tr>
      <w:tr w:rsidR="001C09C1" w:rsidRPr="00F37423" w14:paraId="4B7AC3E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3F1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2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530.000,00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82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470.508,24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67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88,78</w:t>
            </w:r>
          </w:p>
        </w:tc>
      </w:tr>
      <w:tr w:rsidR="001C09C1" w:rsidRPr="00F37423" w14:paraId="2D902157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CC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22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7E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79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470.508,24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8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88,78</w:t>
            </w:r>
          </w:p>
        </w:tc>
      </w:tr>
      <w:tr w:rsidR="001C09C1" w:rsidRPr="00F37423" w14:paraId="6625C7B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0E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865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BB9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F0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470.508,24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62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FF85B94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81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3003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72B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PROSTORNO UREĐENJE I PROJEKTI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2DA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937.518,75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D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900.391,25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5F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96,04</w:t>
            </w:r>
          </w:p>
        </w:tc>
      </w:tr>
      <w:tr w:rsidR="001C09C1" w:rsidRPr="00F37423" w14:paraId="74FE1FAC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0C1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K300007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9C1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IZRADA PROSTORNO PLANSKE DOKUMENTACIJE I OSTALIH PROJEKATA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D2E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725.275,00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E83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688.147,50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7589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94,88</w:t>
            </w:r>
          </w:p>
        </w:tc>
      </w:tr>
      <w:tr w:rsidR="001C09C1" w:rsidRPr="00F37423" w14:paraId="5F766F1A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7B4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5B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22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161.222,50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54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94,84</w:t>
            </w:r>
          </w:p>
        </w:tc>
      </w:tr>
      <w:tr w:rsidR="001C09C1" w:rsidRPr="00F37423" w14:paraId="11F1064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AA2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22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B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161.222,50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0E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94,84</w:t>
            </w:r>
          </w:p>
        </w:tc>
      </w:tr>
      <w:tr w:rsidR="001C09C1" w:rsidRPr="00F37423" w14:paraId="3B1EB4C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F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D7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C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FF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91.222,50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3D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96,02</w:t>
            </w:r>
          </w:p>
        </w:tc>
      </w:tr>
      <w:tr w:rsidR="001C09C1" w:rsidRPr="00F37423" w14:paraId="4AE33DA6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5D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92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1B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E8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91.222,50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0D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B2A7B1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F41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6E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1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1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44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7959607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C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3295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31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50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92F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76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3BD42B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BC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5B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1B2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0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F8F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3B8B058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E9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11C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23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F2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8E2C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6D90D3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F5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5EE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362.425,00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47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359.075,00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28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99,08</w:t>
            </w:r>
          </w:p>
        </w:tc>
      </w:tr>
      <w:tr w:rsidR="001C09C1" w:rsidRPr="00F37423" w14:paraId="7C270230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71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E1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91.550,00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E46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91.550,00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BF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E554F7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08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79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7C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91.550,00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E6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91.550,00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F7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02A0D46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0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1E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D21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C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91.550,00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43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9CD50C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2A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4.2. PRIHODI POSEBNE NAMJENE - KOMUNALNI DOPRINOS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E5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270.875,00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F6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267.525,00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78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98,76</w:t>
            </w:r>
          </w:p>
        </w:tc>
      </w:tr>
      <w:tr w:rsidR="001C09C1" w:rsidRPr="00F37423" w14:paraId="611A8F0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72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1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F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270.875,00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AE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267.525,00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EB8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98,76</w:t>
            </w:r>
          </w:p>
        </w:tc>
      </w:tr>
      <w:tr w:rsidR="001C09C1" w:rsidRPr="00F37423" w14:paraId="0531810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2E0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42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D4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F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267.525,00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CA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E605AF9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115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B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192.850,00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29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167.850,00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AB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87,04</w:t>
            </w:r>
          </w:p>
        </w:tc>
      </w:tr>
      <w:tr w:rsidR="001C09C1" w:rsidRPr="00F37423" w14:paraId="0D27220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50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DD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192.850,00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12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167.850,00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56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87,04</w:t>
            </w:r>
          </w:p>
        </w:tc>
      </w:tr>
      <w:tr w:rsidR="001C09C1" w:rsidRPr="00F37423" w14:paraId="3D17D091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D50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6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E4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192.850,00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353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167.850,00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E9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87,04</w:t>
            </w:r>
          </w:p>
        </w:tc>
      </w:tr>
      <w:tr w:rsidR="001C09C1" w:rsidRPr="00F37423" w14:paraId="4D08446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2B8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17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8E3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53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167.850,00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F2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17E025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67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K300017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670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IZRADA GIS SUSTAVA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7C7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212.243,75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9DD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212.243,75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3F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819F01B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EF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A7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DD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27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05D988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CD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469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FB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B4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1EF358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EB5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44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6A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E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46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A6D220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D1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13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0D9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22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80.000,00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36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2F6DAF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2956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F3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132.243,75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1E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132.243,75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3E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4CA3F1C8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3B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7.1. PRIHODI OD NEFIN.IMOVINE I NADOKNADE ŠTETA OD OSIG.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BE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132.243,75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595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132.243,75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9E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6E4895B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5C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1F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96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124.810,00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2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124.810,00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96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6F258E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F9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4227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9A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5ED2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3B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124.810,00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79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0A9D0C0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B8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8B9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A4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7.433,75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2C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7.433,75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D1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9879E0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F6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4262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D2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BC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8C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7.433,75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2FE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4983CDE" w14:textId="77777777" w:rsidTr="00093EE6">
        <w:trPr>
          <w:gridAfter w:val="1"/>
          <w:wAfter w:w="50" w:type="pct"/>
          <w:trHeight w:val="39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B0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3004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B7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Program: EU I OSTALI PROJEKTI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A6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372.513,19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66A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252.406,58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2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67,76</w:t>
            </w:r>
          </w:p>
        </w:tc>
      </w:tr>
      <w:tr w:rsidR="001C09C1" w:rsidRPr="00F37423" w14:paraId="294B84A6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FC2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A300065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F08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LAG - LOKALNA AKCIJSKA GRUPA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903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67E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94D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92,59</w:t>
            </w:r>
          </w:p>
        </w:tc>
      </w:tr>
      <w:tr w:rsidR="001C09C1" w:rsidRPr="00F37423" w14:paraId="4CC12C8E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2E7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68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D5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BE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92,59</w:t>
            </w:r>
          </w:p>
        </w:tc>
      </w:tr>
      <w:tr w:rsidR="001C09C1" w:rsidRPr="00F37423" w14:paraId="29E2856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54B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2B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27.000,00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E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C0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92,59</w:t>
            </w:r>
          </w:p>
        </w:tc>
      </w:tr>
      <w:tr w:rsidR="001C09C1" w:rsidRPr="00F37423" w14:paraId="352CF59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01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81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76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E7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C9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C1" w:rsidRPr="00F37423" w14:paraId="4E56988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4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E8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EA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E00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2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70F61E3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C4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2E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9A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F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C2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08007D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42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3EE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Članarine i norme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5E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2CE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C4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68D07D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ABF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A300068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DC3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LAGUR - LOKALNA AKCIJSKA GRUPA U RIBARSTVU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7695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F4B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1E2D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70,00</w:t>
            </w:r>
          </w:p>
        </w:tc>
      </w:tr>
      <w:tr w:rsidR="001C09C1" w:rsidRPr="00F37423" w14:paraId="686521F4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8A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FA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E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3C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70,00</w:t>
            </w:r>
          </w:p>
        </w:tc>
      </w:tr>
      <w:tr w:rsidR="001C09C1" w:rsidRPr="00F37423" w14:paraId="3517550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8FA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918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09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63A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70,00</w:t>
            </w:r>
          </w:p>
        </w:tc>
      </w:tr>
      <w:tr w:rsidR="001C09C1" w:rsidRPr="00F37423" w14:paraId="2AF250EC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90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984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01F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07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C1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70,00</w:t>
            </w:r>
          </w:p>
        </w:tc>
      </w:tr>
      <w:tr w:rsidR="001C09C1" w:rsidRPr="00F37423" w14:paraId="2A5908A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62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3294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68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Članarine i norme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A6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5C6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67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C2CE729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D313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A300072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42A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PROJEKT - TOURISM4ALL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47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212.364,44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E2BB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146.567,58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EDD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69,02</w:t>
            </w:r>
          </w:p>
        </w:tc>
      </w:tr>
      <w:tr w:rsidR="001C09C1" w:rsidRPr="00F37423" w14:paraId="064E946F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2B9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C6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F6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23.606,00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EF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39,34</w:t>
            </w:r>
          </w:p>
        </w:tc>
      </w:tr>
      <w:tr w:rsidR="001C09C1" w:rsidRPr="00F37423" w14:paraId="7DC7C91D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C9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5E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B1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23.606,00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0E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39,34</w:t>
            </w:r>
          </w:p>
        </w:tc>
      </w:tr>
      <w:tr w:rsidR="001C09C1" w:rsidRPr="00F37423" w14:paraId="2B33048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44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23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B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51.500,00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D9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19.711,00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C8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38,27</w:t>
            </w:r>
          </w:p>
        </w:tc>
      </w:tr>
      <w:tr w:rsidR="001C09C1" w:rsidRPr="00F37423" w14:paraId="5A80D1AD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E1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8D7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170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DA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19.711,00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2F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5027F8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CC0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E9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08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8.500,00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FF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3.895,00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3C4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45,82</w:t>
            </w:r>
          </w:p>
        </w:tc>
      </w:tr>
      <w:tr w:rsidR="001C09C1" w:rsidRPr="00F37423" w14:paraId="0D979ACF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6B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3132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2BA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C4C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853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3.895,00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46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E155ED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FCF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lastRenderedPageBreak/>
              <w:t>Izvor 5.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C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152.364,44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ECE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122.961,58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23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80,70</w:t>
            </w:r>
          </w:p>
        </w:tc>
      </w:tr>
      <w:tr w:rsidR="001C09C1" w:rsidRPr="00F37423" w14:paraId="4729B19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0AC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5.1. POMOĆI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E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152.364,44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427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122.961,58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30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80,70</w:t>
            </w:r>
          </w:p>
        </w:tc>
      </w:tr>
      <w:tr w:rsidR="001C09C1" w:rsidRPr="00F37423" w14:paraId="35E2A4B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2D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18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D9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28.310,64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8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22.445,28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84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79,28</w:t>
            </w:r>
          </w:p>
        </w:tc>
      </w:tr>
      <w:tr w:rsidR="001C09C1" w:rsidRPr="00F37423" w14:paraId="058A0E22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3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3211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A86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F9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A78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22.445,28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EA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5CB6283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0D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10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B2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120.375,13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6B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96.837,63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000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80,45</w:t>
            </w:r>
          </w:p>
        </w:tc>
      </w:tr>
      <w:tr w:rsidR="001C09C1" w:rsidRPr="00F37423" w14:paraId="222D17F9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2E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A4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6A6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94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45.000,00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A6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1EE686F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8C9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3236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BE1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DCE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439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375,13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72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4CFD2F5A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2E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27B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0FD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764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51.462,50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FB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2B8B4AC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664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3DF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2F0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3.678,67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AC3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3.678,67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10C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DFB41B8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02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3293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DDF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814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8AE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3.678,67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4A5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6B6D5C4F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F706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A300074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9072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TURISTIČKO BRENDIRANJE MOMJANŠTINE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5B8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15.875,00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2188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15.875,00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24B0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586BCE15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3E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7E8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15.875,00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FD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15.875,00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4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15D89A6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EA5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2D1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15.875,00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B5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15.875,00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B13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5755931E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5AA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4D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E6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15.875,00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0F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15.875,00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00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41ABD915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04D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3237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AC0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B1B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F40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15.875,00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F4A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78F0F53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D43D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A300075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31A8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Aktivnost: OBILJEŽAVANJE 40. OBLJETNICE OSNIVANJA KIPARSKE ŠKOLE "KORNARIJA"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B97E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7.273,75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113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7.273,75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4F09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268161E2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2C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F8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7.273,75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52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7.273,75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0FD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17F5CC0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8E0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1.1. OPĆI PRIHODI I PRIMICI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80C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7.273,75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2B4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7.273,75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DBA9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100,00</w:t>
            </w:r>
          </w:p>
        </w:tc>
      </w:tr>
      <w:tr w:rsidR="001C09C1" w:rsidRPr="00F37423" w14:paraId="390F4A70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02E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AEB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38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7.273,75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A28A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7.273,75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6DF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C09C1" w:rsidRPr="00F37423" w14:paraId="11C8219B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CE3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3233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DE8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507" w14:textId="77777777" w:rsidR="00F37423" w:rsidRPr="00F37423" w:rsidRDefault="00F37423" w:rsidP="00F37423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58D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7.273,75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24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</w:p>
        </w:tc>
      </w:tr>
      <w:tr w:rsidR="001C09C1" w:rsidRPr="00F37423" w14:paraId="3AE969A8" w14:textId="77777777" w:rsidTr="00093EE6">
        <w:trPr>
          <w:gridAfter w:val="1"/>
          <w:wAfter w:w="50" w:type="pct"/>
          <w:trHeight w:val="255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F98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K300030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3937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Kapitalni projekt: ODVOJENO PRIKUPLJANJE OTPADA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EC6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9179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50.690,25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977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50,69</w:t>
            </w:r>
          </w:p>
        </w:tc>
      </w:tr>
      <w:tr w:rsidR="001C09C1" w:rsidRPr="00F37423" w14:paraId="7E40E07C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244E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8C0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B02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50.690,25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A7B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50,69</w:t>
            </w:r>
          </w:p>
        </w:tc>
      </w:tr>
      <w:tr w:rsidR="001C09C1" w:rsidRPr="00F37423" w14:paraId="0B94CCC1" w14:textId="77777777" w:rsidTr="005204EE">
        <w:trPr>
          <w:gridAfter w:val="1"/>
          <w:wAfter w:w="50" w:type="pct"/>
          <w:trHeight w:val="300"/>
        </w:trPr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0E8" w14:textId="77777777" w:rsidR="00F37423" w:rsidRPr="00F37423" w:rsidRDefault="00F37423" w:rsidP="00F3742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Izvor 4.1. PRIHODI POSEBNE NAMJENE - KOMUNALNA NAKNADA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17F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E56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50.690,25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3FA" w14:textId="77777777" w:rsidR="00F37423" w:rsidRPr="00F37423" w:rsidRDefault="00F37423" w:rsidP="00F37423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 w:rsidRPr="00F37423">
              <w:rPr>
                <w:b/>
                <w:bCs/>
                <w:color w:val="333333"/>
                <w:sz w:val="20"/>
                <w:szCs w:val="20"/>
              </w:rPr>
              <w:t>50,69</w:t>
            </w:r>
          </w:p>
        </w:tc>
      </w:tr>
      <w:tr w:rsidR="001C09C1" w:rsidRPr="00F37423" w14:paraId="597D4434" w14:textId="77777777" w:rsidTr="00093EE6">
        <w:trPr>
          <w:gridAfter w:val="1"/>
          <w:wAfter w:w="50" w:type="pct"/>
          <w:trHeight w:val="30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00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B571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E46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E52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50.690,25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A727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50,69</w:t>
            </w:r>
          </w:p>
        </w:tc>
      </w:tr>
      <w:tr w:rsidR="001C09C1" w:rsidRPr="00F37423" w14:paraId="0CFFBE79" w14:textId="77777777" w:rsidTr="00093EE6">
        <w:trPr>
          <w:gridAfter w:val="1"/>
          <w:wAfter w:w="50" w:type="pct"/>
          <w:trHeight w:val="31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7235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3632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3A4" w14:textId="77777777" w:rsidR="00F37423" w:rsidRPr="00F37423" w:rsidRDefault="00F37423" w:rsidP="00F37423">
            <w:pPr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3E987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9431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50.690,25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1432" w14:textId="77777777" w:rsidR="00F37423" w:rsidRPr="00F37423" w:rsidRDefault="00F37423" w:rsidP="00F37423">
            <w:pPr>
              <w:jc w:val="right"/>
              <w:rPr>
                <w:sz w:val="20"/>
                <w:szCs w:val="20"/>
              </w:rPr>
            </w:pPr>
            <w:r w:rsidRPr="00F37423">
              <w:rPr>
                <w:sz w:val="20"/>
                <w:szCs w:val="20"/>
              </w:rPr>
              <w:t> </w:t>
            </w:r>
          </w:p>
        </w:tc>
      </w:tr>
      <w:tr w:rsidR="001C09C1" w:rsidRPr="00F37423" w14:paraId="7DFE56E4" w14:textId="77777777" w:rsidTr="005204EE">
        <w:trPr>
          <w:trHeight w:val="600"/>
        </w:trPr>
        <w:tc>
          <w:tcPr>
            <w:tcW w:w="3521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AE88C" w14:textId="77777777" w:rsidR="00F37423" w:rsidRPr="00F37423" w:rsidRDefault="00F37423" w:rsidP="00F37423">
            <w:pPr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UKUPNO RASHODI I IZDATCI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0C5D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40.695.744,58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2CE4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38.101.442,40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1041" w14:textId="77777777" w:rsidR="00F37423" w:rsidRPr="00F37423" w:rsidRDefault="00F37423" w:rsidP="00F37423">
            <w:pPr>
              <w:jc w:val="right"/>
              <w:rPr>
                <w:b/>
                <w:bCs/>
                <w:sz w:val="20"/>
                <w:szCs w:val="20"/>
              </w:rPr>
            </w:pPr>
            <w:r w:rsidRPr="00F37423">
              <w:rPr>
                <w:b/>
                <w:bCs/>
                <w:sz w:val="20"/>
                <w:szCs w:val="20"/>
              </w:rPr>
              <w:t>93,63</w:t>
            </w:r>
          </w:p>
        </w:tc>
      </w:tr>
    </w:tbl>
    <w:p w14:paraId="4B5E9EC2" w14:textId="77777777" w:rsidR="0039277D" w:rsidRDefault="0039277D" w:rsidP="007C2D97">
      <w:pPr>
        <w:ind w:left="502"/>
        <w:rPr>
          <w:b/>
          <w:sz w:val="22"/>
          <w:szCs w:val="22"/>
        </w:rPr>
      </w:pPr>
    </w:p>
    <w:p w14:paraId="3062F4EB" w14:textId="7F1E603A" w:rsidR="007C2D97" w:rsidRPr="00E80A17" w:rsidRDefault="007C2D97" w:rsidP="007C2D97">
      <w:pPr>
        <w:ind w:left="502"/>
        <w:rPr>
          <w:b/>
          <w:sz w:val="22"/>
          <w:szCs w:val="22"/>
        </w:rPr>
        <w:sectPr w:rsidR="007C2D97" w:rsidRPr="00E80A17" w:rsidSect="005C6B0A">
          <w:pgSz w:w="16838" w:h="11906" w:orient="landscape"/>
          <w:pgMar w:top="1418" w:right="2237" w:bottom="1418" w:left="1418" w:header="709" w:footer="709" w:gutter="0"/>
          <w:cols w:space="708"/>
          <w:docGrid w:linePitch="360"/>
        </w:sectPr>
      </w:pPr>
    </w:p>
    <w:p w14:paraId="34EF7569" w14:textId="49A5C562" w:rsidR="00A2660D" w:rsidRPr="00F22C87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3" w:name="_Toc100757160"/>
      <w:r w:rsidRPr="00F22C87">
        <w:rPr>
          <w:rFonts w:ascii="Times New Roman" w:hAnsi="Times New Roman"/>
          <w:sz w:val="24"/>
          <w:szCs w:val="24"/>
        </w:rPr>
        <w:lastRenderedPageBreak/>
        <w:t>IZVJEŠTAJ O ZADUŽIVANJU NA DOMAĆEM I STRANOM TRŽIŠTU NOVCA I KAPITALA</w:t>
      </w:r>
      <w:bookmarkEnd w:id="23"/>
    </w:p>
    <w:p w14:paraId="61781FAC" w14:textId="77777777" w:rsidR="00A2660D" w:rsidRPr="00E80A17" w:rsidRDefault="00A2660D" w:rsidP="00A2660D">
      <w:pPr>
        <w:rPr>
          <w:b/>
        </w:rPr>
      </w:pPr>
    </w:p>
    <w:p w14:paraId="58640437" w14:textId="5DDCA3D0" w:rsidR="002A5394" w:rsidRPr="00E80A17" w:rsidRDefault="002A5394" w:rsidP="002A5394">
      <w:r w:rsidRPr="00E80A17">
        <w:t xml:space="preserve">Zaduživanje jedinica lokalne i područne (regionalne) samouprave, kao i izdavanje jamstava i suglasnosti pravnim osobama u većinskom izravnom ili neizravnom vlasništvu jedinice lokalne i područne (regionalne) samouprave i ustanovama čiji je ona osnivač, </w:t>
      </w:r>
      <w:r w:rsidR="00291366">
        <w:t xml:space="preserve">u 2021. godini bilo je </w:t>
      </w:r>
      <w:r w:rsidRPr="00E80A17">
        <w:t>regulirano Zakonom o proračunu („Narodne novine“ broj 87/08, 136/12 i 15/15) i Pravilnikom o postupku zaduživanja te davanju jamstava i suglasnosti jedinica lokalne i područne (regionalne) samouprave („Narodne novine“ broj 55/09 i 139/10).</w:t>
      </w:r>
      <w:r w:rsidR="00DC0D8A">
        <w:t xml:space="preserve"> </w:t>
      </w:r>
    </w:p>
    <w:p w14:paraId="4FC2E60B" w14:textId="3A9BBB02" w:rsidR="002A5394" w:rsidRPr="00E80A17" w:rsidRDefault="00291366" w:rsidP="002A5394">
      <w:r>
        <w:t>Na temelju navedenih propisa j</w:t>
      </w:r>
      <w:r w:rsidR="002A5394" w:rsidRPr="00E80A17">
        <w:t>edinica lokalne i područne (regionalne) samouprave mo</w:t>
      </w:r>
      <w:r>
        <w:t>gla</w:t>
      </w:r>
      <w:r w:rsidR="002A5394" w:rsidRPr="00E80A17">
        <w:t xml:space="preserve"> se </w:t>
      </w:r>
      <w:r w:rsidR="007C3E55">
        <w:t xml:space="preserve">dugoročno </w:t>
      </w:r>
      <w:r w:rsidR="002A5394" w:rsidRPr="00E80A17">
        <w:t xml:space="preserve">zadužiti za investiciju koja se financira iz njezina proračuna, ali </w:t>
      </w:r>
      <w:r>
        <w:t xml:space="preserve">je </w:t>
      </w:r>
      <w:r w:rsidR="002A5394" w:rsidRPr="00E80A17">
        <w:t>godišnje obvez</w:t>
      </w:r>
      <w:r>
        <w:t>a</w:t>
      </w:r>
      <w:r w:rsidR="002A5394" w:rsidRPr="00E80A17">
        <w:t xml:space="preserve"> mo</w:t>
      </w:r>
      <w:r>
        <w:t>gla</w:t>
      </w:r>
      <w:r w:rsidR="002A5394" w:rsidRPr="00E80A17">
        <w:t xml:space="preserve"> iznositi najviše do 20% ostvarenih prihoda u godini koja prethodi godini u kojoj se zadužuje. Pod ostvarenim prihodima smatra</w:t>
      </w:r>
      <w:r>
        <w:t>ni su</w:t>
      </w:r>
      <w:r w:rsidR="002A5394" w:rsidRPr="00E80A17">
        <w:t xml:space="preserve"> prihodi umanjeni za prihode od domaćih i stranih pomoći i donacija, prihod</w:t>
      </w:r>
      <w:r w:rsidR="00E414BE">
        <w:t>i</w:t>
      </w:r>
      <w:r w:rsidR="002A5394" w:rsidRPr="00E80A17">
        <w:t xml:space="preserve"> iz posebnih ugovora te prihod</w:t>
      </w:r>
      <w:r w:rsidR="00E414BE">
        <w:t>i</w:t>
      </w:r>
      <w:r w:rsidR="002A5394" w:rsidRPr="00E80A17">
        <w:t xml:space="preserve"> ostvaren</w:t>
      </w:r>
      <w:r w:rsidR="00E414BE">
        <w:t>i</w:t>
      </w:r>
      <w:r w:rsidR="002A5394" w:rsidRPr="00E80A17">
        <w:t xml:space="preserve"> s osnove dodatnih udjela u porezu na dohodak.</w:t>
      </w:r>
    </w:p>
    <w:p w14:paraId="03000D3D" w14:textId="700563B4" w:rsidR="002A5394" w:rsidRPr="00E80A17" w:rsidRDefault="00C023A1" w:rsidP="002A5394">
      <w:r>
        <w:t xml:space="preserve">Važeći </w:t>
      </w:r>
      <w:r w:rsidR="002A5394" w:rsidRPr="00E80A17">
        <w:t xml:space="preserve">Zakon o proračunu </w:t>
      </w:r>
      <w:r w:rsidR="00F830F9">
        <w:t xml:space="preserve">propisivao </w:t>
      </w:r>
      <w:r w:rsidR="002A5394" w:rsidRPr="00E80A17">
        <w:t>je da se navedena fiskalna ograničenja ne odnose na projekte koji se sufinanciraju iz pretpristupnih programa i fondova Europske unije i na projekte iz područja unapređenja energetske učinkovitosti u kojima sudjeluju jedinice lokalne i područne (regionalne) samouprave.</w:t>
      </w:r>
    </w:p>
    <w:p w14:paraId="44FC4629" w14:textId="42A664C4" w:rsidR="002A5394" w:rsidRPr="00E80A17" w:rsidRDefault="002A5394" w:rsidP="002A5394">
      <w:r w:rsidRPr="00E80A17">
        <w:t>Ukupno fiskalno ograničenje kontrolir</w:t>
      </w:r>
      <w:r w:rsidR="00C023A1">
        <w:t>a</w:t>
      </w:r>
      <w:r w:rsidR="00F830F9">
        <w:t>lo</w:t>
      </w:r>
      <w:r w:rsidRPr="00E80A17">
        <w:t xml:space="preserve"> se na razini središnje države primjenom mehanizma propisanog člankom 87. Zakona o proračunu kojim se definira da se jedinica lokalne i područne (regionalne) samouprave može dugoročno zadužiti samo za investiciju koja se financira iz njezina proračuna uz suglasnost Vlade, a na prijedlog ministra financija.</w:t>
      </w:r>
    </w:p>
    <w:p w14:paraId="1D1C71C2" w14:textId="4FCF55E6" w:rsidR="002A5394" w:rsidRDefault="00C023A1" w:rsidP="002A5394">
      <w:r>
        <w:t>Izmjenama i dopunama p</w:t>
      </w:r>
      <w:r w:rsidR="002A5394">
        <w:t>lan</w:t>
      </w:r>
      <w:r>
        <w:t>a</w:t>
      </w:r>
      <w:r w:rsidR="002A5394">
        <w:t xml:space="preserve"> proračuna Grada Buja – Buie za 20</w:t>
      </w:r>
      <w:r w:rsidR="009200ED">
        <w:t>2</w:t>
      </w:r>
      <w:r w:rsidR="00FC6A1E">
        <w:t>1</w:t>
      </w:r>
      <w:r w:rsidR="002A5394">
        <w:t>. godinu planiran</w:t>
      </w:r>
      <w:r>
        <w:t>o je</w:t>
      </w:r>
      <w:r w:rsidR="002A5394">
        <w:t xml:space="preserve"> </w:t>
      </w:r>
      <w:r w:rsidR="009860BD">
        <w:t>nov</w:t>
      </w:r>
      <w:r>
        <w:t>o</w:t>
      </w:r>
      <w:r w:rsidR="009860BD">
        <w:t xml:space="preserve"> </w:t>
      </w:r>
      <w:r w:rsidR="002A5394">
        <w:t>dugoročn</w:t>
      </w:r>
      <w:r w:rsidR="00D27D67">
        <w:t>o</w:t>
      </w:r>
      <w:r w:rsidR="002A5394">
        <w:t xml:space="preserve"> kreditn</w:t>
      </w:r>
      <w:r w:rsidR="00D27D67">
        <w:t>o</w:t>
      </w:r>
      <w:r w:rsidR="002A5394">
        <w:t xml:space="preserve"> zaduženj</w:t>
      </w:r>
      <w:r w:rsidR="00D27D67">
        <w:t>e</w:t>
      </w:r>
      <w:r>
        <w:t xml:space="preserve"> u ukupnom iznosu od 2.514.605,44 kuna</w:t>
      </w:r>
      <w:r w:rsidR="009860BD">
        <w:t>.</w:t>
      </w:r>
      <w:r w:rsidR="00FC6A1E">
        <w:t xml:space="preserve"> </w:t>
      </w:r>
      <w:r>
        <w:t>P</w:t>
      </w:r>
      <w:r w:rsidR="009860BD">
        <w:t xml:space="preserve">red </w:t>
      </w:r>
      <w:r w:rsidR="000A143A">
        <w:t xml:space="preserve">sam </w:t>
      </w:r>
      <w:r w:rsidR="009860BD">
        <w:t xml:space="preserve">kraj </w:t>
      </w:r>
      <w:r>
        <w:t>2020. godine</w:t>
      </w:r>
      <w:r w:rsidR="009860BD">
        <w:t xml:space="preserve"> </w:t>
      </w:r>
      <w:r w:rsidR="004932AB">
        <w:t>dobivene</w:t>
      </w:r>
      <w:r w:rsidR="009860BD">
        <w:t xml:space="preserve"> su </w:t>
      </w:r>
      <w:r w:rsidR="00FC6A1E">
        <w:t>Suglasnosti za zaduženje</w:t>
      </w:r>
      <w:r w:rsidR="000A5241">
        <w:t xml:space="preserve"> Ministarstva financija</w:t>
      </w:r>
      <w:r w:rsidR="000A143A">
        <w:t xml:space="preserve">, a početkom </w:t>
      </w:r>
      <w:r>
        <w:t xml:space="preserve">2021. </w:t>
      </w:r>
      <w:r w:rsidR="000A143A">
        <w:t xml:space="preserve"> godine</w:t>
      </w:r>
      <w:r w:rsidR="00FC6A1E">
        <w:t xml:space="preserve"> skl</w:t>
      </w:r>
      <w:r w:rsidR="009860BD">
        <w:t>opljeni</w:t>
      </w:r>
      <w:r w:rsidR="004E7B06">
        <w:t xml:space="preserve"> su</w:t>
      </w:r>
      <w:r w:rsidR="00FC6A1E">
        <w:t xml:space="preserve"> Ugovor</w:t>
      </w:r>
      <w:r w:rsidR="009860BD">
        <w:t>i</w:t>
      </w:r>
      <w:r w:rsidR="00FC6A1E">
        <w:t xml:space="preserve"> o kredit</w:t>
      </w:r>
      <w:r w:rsidR="009860BD">
        <w:t xml:space="preserve">u </w:t>
      </w:r>
      <w:r w:rsidR="00FC6A1E">
        <w:t xml:space="preserve">za financiranje projekta Zamjene postojeće javne rasvjete </w:t>
      </w:r>
      <w:r w:rsidR="004E7B06">
        <w:t>LED</w:t>
      </w:r>
      <w:r w:rsidR="00FC6A1E">
        <w:t xml:space="preserve"> rasvjetom</w:t>
      </w:r>
      <w:r w:rsidR="00D27D67">
        <w:t>.</w:t>
      </w:r>
      <w:r w:rsidR="00FC6A1E">
        <w:t xml:space="preserve"> </w:t>
      </w:r>
      <w:r w:rsidR="00D27D67">
        <w:t>Radi toga je</w:t>
      </w:r>
      <w:r w:rsidR="000A143A">
        <w:t xml:space="preserve"> </w:t>
      </w:r>
      <w:r w:rsidR="00F3361F">
        <w:t xml:space="preserve">realizacija dijela projekta planiranog </w:t>
      </w:r>
      <w:r w:rsidR="00D27D67">
        <w:t xml:space="preserve">i započetog </w:t>
      </w:r>
      <w:r w:rsidR="00F3361F">
        <w:t xml:space="preserve">u prethodnoj godini, uslijedila u </w:t>
      </w:r>
      <w:r w:rsidR="000A143A">
        <w:t xml:space="preserve">prvom polugodištu </w:t>
      </w:r>
      <w:r w:rsidR="004E7B06">
        <w:t>2021.</w:t>
      </w:r>
      <w:r w:rsidR="009860BD">
        <w:t xml:space="preserve"> godin</w:t>
      </w:r>
      <w:r w:rsidR="000A143A">
        <w:t>e</w:t>
      </w:r>
      <w:r w:rsidR="00F3361F">
        <w:t xml:space="preserve">. </w:t>
      </w:r>
    </w:p>
    <w:p w14:paraId="6744D14D" w14:textId="77777777" w:rsidR="000B0512" w:rsidRDefault="000B0512" w:rsidP="002A5394"/>
    <w:p w14:paraId="561E6F28" w14:textId="77777777" w:rsidR="009075FA" w:rsidRPr="0033296A" w:rsidRDefault="009075FA" w:rsidP="009075FA">
      <w:pPr>
        <w:rPr>
          <w:b/>
          <w:bCs/>
        </w:rPr>
      </w:pPr>
      <w:r w:rsidRPr="0033296A">
        <w:rPr>
          <w:b/>
          <w:bCs/>
        </w:rPr>
        <w:t>Dugoročni krediti</w:t>
      </w:r>
    </w:p>
    <w:p w14:paraId="689B38DB" w14:textId="77777777" w:rsidR="009075FA" w:rsidRPr="0033296A" w:rsidRDefault="009075FA" w:rsidP="009075FA"/>
    <w:p w14:paraId="25E115E8" w14:textId="33575498" w:rsidR="009075FA" w:rsidRPr="0033296A" w:rsidRDefault="009075FA" w:rsidP="009075FA">
      <w:r w:rsidRPr="0033296A">
        <w:t xml:space="preserve">Grad Buje – Buie je na temelju Odluke </w:t>
      </w:r>
      <w:r w:rsidR="000A5241">
        <w:t xml:space="preserve">Gradskog vijeća </w:t>
      </w:r>
      <w:r w:rsidRPr="0033296A">
        <w:t xml:space="preserve">o kreditnom zaduženju (klasa: 403-01/19-01/03, </w:t>
      </w:r>
      <w:proofErr w:type="spellStart"/>
      <w:r w:rsidRPr="0033296A">
        <w:t>ur.broj</w:t>
      </w:r>
      <w:proofErr w:type="spellEnd"/>
      <w:r w:rsidRPr="0033296A">
        <w:t xml:space="preserve">: 2105/01-02/01-19-16 od 22.07.2019.) i Suglasnosti za zaduženje Ministarstva financija (klasa: 403-02/19-01/127, </w:t>
      </w:r>
      <w:proofErr w:type="spellStart"/>
      <w:r w:rsidRPr="0033296A">
        <w:t>ur.broj</w:t>
      </w:r>
      <w:proofErr w:type="spellEnd"/>
      <w:r w:rsidRPr="0033296A">
        <w:t xml:space="preserve">: 513-05-06-19-2 od 26. kolovoza 2019.) sklopio dana 18.09.2019. godine Ugovor o kreditu s Istarskom kreditnom bankom Umag d.d. (broj 900500278-8) za sufinanciranje projekata </w:t>
      </w:r>
      <w:r w:rsidR="004E7B06">
        <w:t>e</w:t>
      </w:r>
      <w:r w:rsidRPr="0033296A">
        <w:t xml:space="preserve">nergetske obnove zgrade Gradske uprave i zgrade u kojoj je smješten Centar za inkluziju. Ugovoreni iznos kredita </w:t>
      </w:r>
      <w:r w:rsidR="004E7B06">
        <w:t>je</w:t>
      </w:r>
      <w:r w:rsidRPr="0033296A">
        <w:t xml:space="preserve"> 4.089.561,00 kuna, s rokom vraćanja 10 godina od dana prijenosa u otplatu i uključenim počekom od 12 mjeseci. Ugovorena kamatna stopa iznosi 1,20%, a način vraćanja u 36 jednakih tromjesečnih rata. Ugovoreno je sukcesivno korištenje sredstava kredita u razdoblju do 12 mjeseci od sklapanja ugovora.</w:t>
      </w:r>
      <w:r w:rsidR="00432F36">
        <w:t xml:space="preserve"> Ukupno iskorišteni iznos kredita je 2.875.550,84 kuna</w:t>
      </w:r>
      <w:r w:rsidR="00E12C7A">
        <w:t>, a</w:t>
      </w:r>
      <w:r w:rsidR="00DB4664">
        <w:t xml:space="preserve"> k</w:t>
      </w:r>
      <w:r w:rsidR="00E12C7A" w:rsidRPr="0033296A">
        <w:t>redit je prenesen u otplatu  31.03.2020. godine.</w:t>
      </w:r>
      <w:r w:rsidR="00432F36">
        <w:t xml:space="preserve"> </w:t>
      </w:r>
      <w:r w:rsidR="005A581A">
        <w:t xml:space="preserve">Po realizaciji refundacije dijela rashoda odnosno doznačenih </w:t>
      </w:r>
      <w:r w:rsidR="00E12C7A" w:rsidRPr="0033296A">
        <w:t xml:space="preserve">sredstava pomoći </w:t>
      </w:r>
      <w:r w:rsidR="000A5241">
        <w:t xml:space="preserve">od </w:t>
      </w:r>
      <w:r w:rsidR="000A5241" w:rsidRPr="0033296A">
        <w:t>Ministarstva regionalnog razvoja i fondova Europske unije</w:t>
      </w:r>
      <w:r w:rsidR="000A5241">
        <w:t xml:space="preserve"> </w:t>
      </w:r>
      <w:r w:rsidR="00E12C7A">
        <w:t>t</w:t>
      </w:r>
      <w:r w:rsidR="00E12C7A" w:rsidRPr="0033296A">
        <w:t>emeljem Odluke o sufinanciranju provedbe EU projekta, u skladu s odredbama ugovora</w:t>
      </w:r>
      <w:r w:rsidR="00E12C7A">
        <w:t>,</w:t>
      </w:r>
      <w:r w:rsidR="00E12C7A" w:rsidRPr="0033296A">
        <w:t xml:space="preserve"> izvršen je </w:t>
      </w:r>
      <w:r w:rsidR="00E12C7A">
        <w:t xml:space="preserve">prijevremeni </w:t>
      </w:r>
      <w:r w:rsidR="00E12C7A" w:rsidRPr="0033296A">
        <w:t>povrat kredita u iznosu od 1.226.995,46 kuna</w:t>
      </w:r>
      <w:r w:rsidR="00E12C7A">
        <w:t>.</w:t>
      </w:r>
      <w:r w:rsidR="00E12C7A" w:rsidRPr="0033296A">
        <w:t xml:space="preserve"> </w:t>
      </w:r>
      <w:r w:rsidRPr="0033296A">
        <w:t>Na dan 01.01.202</w:t>
      </w:r>
      <w:r w:rsidR="00432F36">
        <w:t>1</w:t>
      </w:r>
      <w:r w:rsidRPr="0033296A">
        <w:t xml:space="preserve">. godine </w:t>
      </w:r>
      <w:r w:rsidR="00432F36">
        <w:t>stanje</w:t>
      </w:r>
      <w:r w:rsidRPr="0033296A">
        <w:t xml:space="preserve"> kredita bi</w:t>
      </w:r>
      <w:r w:rsidR="00432F36">
        <w:t>l</w:t>
      </w:r>
      <w:r w:rsidRPr="0033296A">
        <w:t xml:space="preserve">o je </w:t>
      </w:r>
      <w:r w:rsidR="00E12C7A">
        <w:t>1.648.555,38</w:t>
      </w:r>
      <w:r w:rsidRPr="0033296A">
        <w:t xml:space="preserve"> kuna. U 202</w:t>
      </w:r>
      <w:r w:rsidR="00E12C7A">
        <w:t>1</w:t>
      </w:r>
      <w:r w:rsidRPr="0033296A">
        <w:t>. godin</w:t>
      </w:r>
      <w:r w:rsidR="00A93087">
        <w:t>i</w:t>
      </w:r>
      <w:r w:rsidRPr="0033296A">
        <w:t xml:space="preserve"> </w:t>
      </w:r>
      <w:r w:rsidR="00E12C7A">
        <w:t>otplaćen</w:t>
      </w:r>
      <w:r w:rsidR="0083056F">
        <w:t>a su</w:t>
      </w:r>
      <w:r w:rsidR="00A93087">
        <w:t xml:space="preserve"> tri </w:t>
      </w:r>
      <w:r w:rsidR="00E12C7A">
        <w:t>anuitet</w:t>
      </w:r>
      <w:r w:rsidR="0083056F">
        <w:t>a</w:t>
      </w:r>
      <w:r w:rsidR="004E7B06">
        <w:t xml:space="preserve"> te</w:t>
      </w:r>
      <w:r w:rsidR="00E12C7A">
        <w:t xml:space="preserve"> </w:t>
      </w:r>
      <w:r w:rsidRPr="0033296A">
        <w:t xml:space="preserve">je saldo </w:t>
      </w:r>
      <w:r w:rsidR="00A93087">
        <w:t xml:space="preserve">glavnice </w:t>
      </w:r>
      <w:r w:rsidRPr="0033296A">
        <w:t xml:space="preserve">kredita na dan </w:t>
      </w:r>
      <w:r w:rsidR="00A93087">
        <w:t>31.12.2021.</w:t>
      </w:r>
      <w:r w:rsidRPr="0033296A">
        <w:t xml:space="preserve"> godin</w:t>
      </w:r>
      <w:r w:rsidR="00E12C7A">
        <w:t>e</w:t>
      </w:r>
      <w:r w:rsidRPr="0033296A">
        <w:t xml:space="preserve"> </w:t>
      </w:r>
      <w:r w:rsidR="00E12C7A">
        <w:t>1.</w:t>
      </w:r>
      <w:r w:rsidR="00A93087">
        <w:t>511.175,75</w:t>
      </w:r>
      <w:r w:rsidRPr="0033296A">
        <w:t xml:space="preserve"> kuna. Dinamika otplate kreditne obveze po godinama prikazana je u sljedećoj tablici.</w:t>
      </w:r>
    </w:p>
    <w:p w14:paraId="471231C8" w14:textId="77777777" w:rsidR="009075FA" w:rsidRPr="0033296A" w:rsidRDefault="009075FA" w:rsidP="009075FA"/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1420"/>
        <w:gridCol w:w="1500"/>
        <w:gridCol w:w="1420"/>
        <w:gridCol w:w="1420"/>
      </w:tblGrid>
      <w:tr w:rsidR="009075FA" w:rsidRPr="0033296A" w14:paraId="21ED5EAE" w14:textId="77777777" w:rsidTr="00516C62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0F5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GODIŠNJI OTPLATNI PLAN </w:t>
            </w:r>
          </w:p>
        </w:tc>
      </w:tr>
      <w:tr w:rsidR="009075FA" w:rsidRPr="0033296A" w14:paraId="3D299053" w14:textId="77777777" w:rsidTr="00516C62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B1D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ISTARSKA KREDITNA BANKA UMAG D.D. - dugoročni kredit broj 900500278-8</w:t>
            </w:r>
          </w:p>
        </w:tc>
      </w:tr>
      <w:tr w:rsidR="009075FA" w:rsidRPr="0033296A" w14:paraId="3A0A08A9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35B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6C7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FB7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6C7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C15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</w:tr>
      <w:tr w:rsidR="009075FA" w:rsidRPr="0033296A" w14:paraId="4520D045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CBA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38A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20C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A0C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995" w14:textId="77777777" w:rsidR="009075FA" w:rsidRPr="0033296A" w:rsidRDefault="009075FA" w:rsidP="00516C62">
            <w:pPr>
              <w:rPr>
                <w:sz w:val="20"/>
                <w:szCs w:val="20"/>
              </w:rPr>
            </w:pPr>
          </w:p>
        </w:tc>
      </w:tr>
      <w:tr w:rsidR="009075FA" w:rsidRPr="0033296A" w14:paraId="035E1D0F" w14:textId="77777777" w:rsidTr="00516C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2CA6D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godina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C6588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glavnica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FD325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kamate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409E1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BFBF8" w14:textId="77777777" w:rsidR="009075FA" w:rsidRPr="0033296A" w:rsidRDefault="009075FA" w:rsidP="00516C62">
            <w:pPr>
              <w:jc w:val="center"/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stanje kredita</w:t>
            </w:r>
          </w:p>
        </w:tc>
      </w:tr>
      <w:tr w:rsidR="009075FA" w:rsidRPr="0033296A" w14:paraId="0FE804A3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242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573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70F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21.388,94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512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21.388,94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F9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1.648.555,38 </w:t>
            </w:r>
          </w:p>
        </w:tc>
      </w:tr>
      <w:tr w:rsidR="009075FA" w:rsidRPr="0033296A" w14:paraId="7BB1A9DA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E3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B8C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137.379,63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0F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19.366,98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4D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156.746,61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223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1.511.175,75 </w:t>
            </w:r>
          </w:p>
        </w:tc>
      </w:tr>
      <w:tr w:rsidR="009075FA" w:rsidRPr="0033296A" w14:paraId="5FDCDF76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1B09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87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74D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17.304,55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446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200.477,39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2A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1.328.002,91 </w:t>
            </w:r>
          </w:p>
        </w:tc>
      </w:tr>
      <w:tr w:rsidR="009075FA" w:rsidRPr="0033296A" w14:paraId="2F9EC53B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A4CF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51A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05C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15.106,50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21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198.279,34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51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1.144.830,07 </w:t>
            </w:r>
          </w:p>
        </w:tc>
      </w:tr>
      <w:tr w:rsidR="009075FA" w:rsidRPr="0033296A" w14:paraId="2F329D00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0A9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77E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F9A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12.910,79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7731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196.083,63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A06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961.657,23 </w:t>
            </w:r>
          </w:p>
        </w:tc>
      </w:tr>
      <w:tr w:rsidR="009075FA" w:rsidRPr="0033296A" w14:paraId="5D93A062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427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D2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01D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10.710,27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A1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193.883,11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CE7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778.484,39 </w:t>
            </w:r>
          </w:p>
        </w:tc>
      </w:tr>
      <w:tr w:rsidR="009075FA" w:rsidRPr="0033296A" w14:paraId="4D759EFB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0F9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D1D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543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8.512,24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27A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191.685,08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4F7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595.311,55 </w:t>
            </w:r>
          </w:p>
        </w:tc>
      </w:tr>
      <w:tr w:rsidR="009075FA" w:rsidRPr="0033296A" w14:paraId="4AF13B3A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89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CF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7BF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6.314,19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7BF1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189.487,03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96D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412.138,71 </w:t>
            </w:r>
          </w:p>
        </w:tc>
      </w:tr>
      <w:tr w:rsidR="009075FA" w:rsidRPr="0033296A" w14:paraId="1E9C023C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57E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8F3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244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4.118,42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92F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187.291,26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227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228.965,87 </w:t>
            </w:r>
          </w:p>
        </w:tc>
      </w:tr>
      <w:tr w:rsidR="009075FA" w:rsidRPr="0033296A" w14:paraId="40FB2F4F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76E2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A0E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183.172,84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1E4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1.918,01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366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185.090,85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30B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45.793,03 </w:t>
            </w:r>
          </w:p>
        </w:tc>
      </w:tr>
      <w:tr w:rsidR="009075FA" w:rsidRPr="0033296A" w14:paraId="0EF172ED" w14:textId="77777777" w:rsidTr="00516C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A05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2030.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73B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45.793,03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E3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   135,50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369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45.928,53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0A64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                -   </w:t>
            </w:r>
          </w:p>
        </w:tc>
      </w:tr>
      <w:tr w:rsidR="009075FA" w:rsidRPr="0033296A" w14:paraId="5DB80981" w14:textId="77777777" w:rsidTr="00516C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A458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sveukupno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B14A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1.648.555,38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3E3E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     117.786,39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D2F9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 xml:space="preserve">    1.766.341,77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7D70" w14:textId="77777777" w:rsidR="009075FA" w:rsidRPr="0033296A" w:rsidRDefault="009075FA" w:rsidP="00516C62">
            <w:pPr>
              <w:rPr>
                <w:sz w:val="16"/>
                <w:szCs w:val="16"/>
              </w:rPr>
            </w:pPr>
            <w:r w:rsidRPr="0033296A">
              <w:rPr>
                <w:sz w:val="16"/>
                <w:szCs w:val="16"/>
              </w:rPr>
              <w:t> </w:t>
            </w:r>
          </w:p>
        </w:tc>
      </w:tr>
    </w:tbl>
    <w:p w14:paraId="78516F34" w14:textId="77777777" w:rsidR="009075FA" w:rsidRPr="0033296A" w:rsidRDefault="009075FA" w:rsidP="009075FA"/>
    <w:p w14:paraId="672419D2" w14:textId="77777777" w:rsidR="009075FA" w:rsidRPr="0033296A" w:rsidRDefault="009075FA" w:rsidP="009075FA"/>
    <w:p w14:paraId="6EFF77E9" w14:textId="30727122" w:rsidR="009075FA" w:rsidRDefault="009075FA" w:rsidP="009075FA">
      <w:r w:rsidRPr="0033296A">
        <w:t xml:space="preserve">Grad Buje – Buie je na temelju Odluke </w:t>
      </w:r>
      <w:r w:rsidR="000A5241">
        <w:t xml:space="preserve">Gradskog vijeća </w:t>
      </w:r>
      <w:r w:rsidRPr="0033296A">
        <w:t xml:space="preserve">o kreditnom zaduženju (klasa: 403-01/20-01/01, </w:t>
      </w:r>
      <w:proofErr w:type="spellStart"/>
      <w:r w:rsidRPr="0033296A">
        <w:t>ur.broj</w:t>
      </w:r>
      <w:proofErr w:type="spellEnd"/>
      <w:r w:rsidRPr="0033296A">
        <w:t xml:space="preserve">: 2105/01-02/01-20-3 od 12.02.2020.) i Suglasnosti za zaduženje Ministarstva financija (klasa: 403-02/20-01/34, </w:t>
      </w:r>
      <w:proofErr w:type="spellStart"/>
      <w:r w:rsidRPr="0033296A">
        <w:t>ur.broj</w:t>
      </w:r>
      <w:proofErr w:type="spellEnd"/>
      <w:r w:rsidRPr="0033296A">
        <w:t xml:space="preserve">: 513-05-06-20-2 od 2. travnja 2020.) sklopio dana 04.05.2020 godine Ugovor o kreditu s Istarskom kreditnom bankom Umag d.d. (broj 9005002846) za sufinanciranje projekta Energetske obnove zgrade dječjeg vrtića. Ugovoreni iznos kredita je 2.696.730,00 kuna, s rokom vraćanja 10 godina od dana prijenosa u otplatu i uključenim počekom od 12 mjeseci. Ugovorena kamatna stopa iznosi 1,20% u prvih 36 mjeseci nakon prijenosa u otplatu, a nakon toga u visini prinosa na trezorske zapise MF RH s dospijećem 364 dana uvećano za 1,30 p.p. Način vraćanja kredita je u 36 jednakih tromjesečnih rata. Ugovoreno je sukcesivno korištenje sredstava kredita u razdoblju do 12 mjeseci od sklapanja ugovora. </w:t>
      </w:r>
      <w:r w:rsidR="005A581A">
        <w:t>K</w:t>
      </w:r>
      <w:r w:rsidRPr="0033296A">
        <w:t>redit</w:t>
      </w:r>
      <w:r w:rsidR="005A581A">
        <w:t>n</w:t>
      </w:r>
      <w:r w:rsidRPr="0033296A">
        <w:t>a</w:t>
      </w:r>
      <w:r w:rsidR="005A581A">
        <w:t xml:space="preserve"> sredstva su</w:t>
      </w:r>
      <w:r w:rsidRPr="0033296A">
        <w:t xml:space="preserve"> u potpunosti iskorištena</w:t>
      </w:r>
      <w:r w:rsidR="00DB4664">
        <w:t>, a kredit je prenesen u otplatu 31.10.2020. godine. S</w:t>
      </w:r>
      <w:r w:rsidRPr="0033296A">
        <w:t xml:space="preserve">tanje kredita na dan </w:t>
      </w:r>
      <w:r w:rsidR="00027216">
        <w:t>01.01.2021</w:t>
      </w:r>
      <w:r w:rsidRPr="0033296A">
        <w:t xml:space="preserve">. godine </w:t>
      </w:r>
      <w:r w:rsidR="005A581A">
        <w:t xml:space="preserve">iznosilo </w:t>
      </w:r>
      <w:r w:rsidR="00DB4664">
        <w:t xml:space="preserve">je </w:t>
      </w:r>
      <w:r w:rsidRPr="0033296A">
        <w:t xml:space="preserve">2.696.730,00 kuna. </w:t>
      </w:r>
      <w:r w:rsidR="00DB4664">
        <w:t xml:space="preserve">Otplata prvog anuiteta dospijeva u siječnju 2022. godine te je stanje glavnice kredita na dan </w:t>
      </w:r>
      <w:r w:rsidR="007C3E55">
        <w:t>31.12.2021</w:t>
      </w:r>
      <w:r w:rsidR="00DB4664">
        <w:t>. godine</w:t>
      </w:r>
      <w:r w:rsidR="005A581A">
        <w:t>,</w:t>
      </w:r>
      <w:r w:rsidR="00DB4664">
        <w:t xml:space="preserve"> nepromijenjeno. </w:t>
      </w:r>
      <w:r w:rsidR="00C164EF">
        <w:t>D</w:t>
      </w:r>
      <w:r w:rsidRPr="0033296A">
        <w:t>inamika otplate kreditne obveze po godinama prikazana je u sljedećoj tablici.</w:t>
      </w:r>
    </w:p>
    <w:p w14:paraId="59A811B1" w14:textId="77777777" w:rsidR="00DB4664" w:rsidRDefault="00DB4664" w:rsidP="009075FA"/>
    <w:tbl>
      <w:tblPr>
        <w:tblW w:w="6640" w:type="dxa"/>
        <w:tblInd w:w="108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420"/>
        <w:gridCol w:w="1420"/>
      </w:tblGrid>
      <w:tr w:rsidR="00DB4664" w:rsidRPr="00DB4664" w14:paraId="78BAF467" w14:textId="77777777" w:rsidTr="00DB4664">
        <w:trPr>
          <w:trHeight w:val="255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A72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GODIŠNJI OTPLATNI PLAN </w:t>
            </w:r>
          </w:p>
        </w:tc>
      </w:tr>
      <w:tr w:rsidR="00DB4664" w:rsidRPr="00DB4664" w14:paraId="090BD615" w14:textId="77777777" w:rsidTr="00DB4664">
        <w:trPr>
          <w:trHeight w:val="255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E14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ISTARSKA KREDITNA BANKA UMAG D.D. - dugoročni kredit broj 9005002846</w:t>
            </w:r>
          </w:p>
        </w:tc>
      </w:tr>
      <w:tr w:rsidR="00DB4664" w:rsidRPr="00DB4664" w14:paraId="68379E4B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BAD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097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B67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380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A3F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</w:tr>
      <w:tr w:rsidR="00DB4664" w:rsidRPr="00DB4664" w14:paraId="1FEDDE84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361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BCD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FF6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E11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2A7" w14:textId="77777777" w:rsidR="00DB4664" w:rsidRPr="00DB4664" w:rsidRDefault="00DB4664">
            <w:pPr>
              <w:rPr>
                <w:sz w:val="20"/>
                <w:szCs w:val="20"/>
              </w:rPr>
            </w:pPr>
          </w:p>
        </w:tc>
      </w:tr>
      <w:tr w:rsidR="00DB4664" w:rsidRPr="00DB4664" w14:paraId="2AC3D82F" w14:textId="77777777" w:rsidTr="00DB466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2C5F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godina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8F7C1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glavnica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56647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kamate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1905B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BAF60" w14:textId="77777777" w:rsidR="00DB4664" w:rsidRPr="00DB4664" w:rsidRDefault="00DB4664">
            <w:pPr>
              <w:jc w:val="center"/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stanje kredita</w:t>
            </w:r>
          </w:p>
        </w:tc>
      </w:tr>
      <w:tr w:rsidR="00DB4664" w:rsidRPr="00DB4664" w14:paraId="03F2D293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28A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C3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916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5.393,46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4C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5.393,46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DD9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2.696.730,00    </w:t>
            </w:r>
          </w:p>
        </w:tc>
      </w:tr>
      <w:tr w:rsidR="00DB4664" w:rsidRPr="00DB4664" w14:paraId="5A382F7E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4BB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DA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AC1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32.360,54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B97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32.360,54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2A7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2.696.730,00    </w:t>
            </w:r>
          </w:p>
        </w:tc>
      </w:tr>
      <w:tr w:rsidR="00DB4664" w:rsidRPr="00DB4664" w14:paraId="7B7A083B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1E9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905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E25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30.407,79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596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330.044,47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C1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2.397.093,32    </w:t>
            </w:r>
          </w:p>
        </w:tc>
      </w:tr>
      <w:tr w:rsidR="00DB4664" w:rsidRPr="00DB4664" w14:paraId="66AE585E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C60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BFA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C23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26.812,14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E25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326.448,82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CB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2.097.456,64    </w:t>
            </w:r>
          </w:p>
        </w:tc>
      </w:tr>
      <w:tr w:rsidR="00DB4664" w:rsidRPr="00DB4664" w14:paraId="05501BA3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C5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7DB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87E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23.219,58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E08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322.856,26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4F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1.797.819,96    </w:t>
            </w:r>
          </w:p>
        </w:tc>
      </w:tr>
      <w:tr w:rsidR="00DB4664" w:rsidRPr="00DB4664" w14:paraId="4FD2065A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B4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29A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45F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19.620,70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60A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319.257,38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C4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1.498.183,28    </w:t>
            </w:r>
          </w:p>
        </w:tc>
      </w:tr>
      <w:tr w:rsidR="00DB4664" w:rsidRPr="00DB4664" w14:paraId="5BF66C69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8E1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5F2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F19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16.025,22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609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315.661,90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CF2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1.198.546,60    </w:t>
            </w:r>
          </w:p>
        </w:tc>
      </w:tr>
      <w:tr w:rsidR="00DB4664" w:rsidRPr="00DB4664" w14:paraId="744282A0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296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12F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6D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12.429,60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72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312.066,28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C62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898.909,92    </w:t>
            </w:r>
          </w:p>
        </w:tc>
      </w:tr>
      <w:tr w:rsidR="00DB4664" w:rsidRPr="00DB4664" w14:paraId="40F71A34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2AF6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lastRenderedPageBreak/>
              <w:t>2028.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C81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23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8.836,89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BAD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308.473,57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A8F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599.273,24    </w:t>
            </w:r>
          </w:p>
        </w:tc>
      </w:tr>
      <w:tr w:rsidR="00DB4664" w:rsidRPr="00DB4664" w14:paraId="0302FCB8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6F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537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299.636,68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25E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5.238,23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B5D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304.874,91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08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299.636,56    </w:t>
            </w:r>
          </w:p>
        </w:tc>
      </w:tr>
      <w:tr w:rsidR="00DB4664" w:rsidRPr="00DB4664" w14:paraId="091DDC82" w14:textId="77777777" w:rsidTr="00DB46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ADD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2030.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6B9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299.636,56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7CC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1.642,67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969D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301.279,23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625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               -      </w:t>
            </w:r>
          </w:p>
        </w:tc>
      </w:tr>
      <w:tr w:rsidR="00DB4664" w:rsidRPr="00DB4664" w14:paraId="012E1B53" w14:textId="77777777" w:rsidTr="00DB466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0A24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sveukupno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F9A6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2.696.730,00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FE5D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   181.986,82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A244F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 xml:space="preserve">    2.878.716,82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9B1A" w14:textId="77777777" w:rsidR="00DB4664" w:rsidRPr="00DB4664" w:rsidRDefault="00DB4664">
            <w:pPr>
              <w:rPr>
                <w:sz w:val="16"/>
                <w:szCs w:val="16"/>
              </w:rPr>
            </w:pPr>
            <w:r w:rsidRPr="00DB4664">
              <w:rPr>
                <w:sz w:val="16"/>
                <w:szCs w:val="16"/>
              </w:rPr>
              <w:t> </w:t>
            </w:r>
          </w:p>
        </w:tc>
      </w:tr>
    </w:tbl>
    <w:p w14:paraId="60DB01C3" w14:textId="77777777" w:rsidR="009075FA" w:rsidRPr="0033296A" w:rsidRDefault="009075FA" w:rsidP="009075FA"/>
    <w:p w14:paraId="4CDF8209" w14:textId="77777777" w:rsidR="009075FA" w:rsidRPr="0033296A" w:rsidRDefault="009075FA" w:rsidP="009075FA"/>
    <w:p w14:paraId="358C83AA" w14:textId="77777777" w:rsidR="009075FA" w:rsidRDefault="009075FA" w:rsidP="009075FA">
      <w:r w:rsidRPr="0033296A">
        <w:t xml:space="preserve">Za financiranje projekta Zamjene javne rasvjete LED rasvjetom Gradsko vijeće je 22. listopada 2020. godine donijelo Odluku o kreditnom zaduženju kod Istarske kreditne banke Umag d.d. (klasa: 403-01/20-01/05, </w:t>
      </w:r>
      <w:proofErr w:type="spellStart"/>
      <w:r w:rsidRPr="0033296A">
        <w:t>ur.broj</w:t>
      </w:r>
      <w:proofErr w:type="spellEnd"/>
      <w:r w:rsidRPr="0033296A">
        <w:t>: 2105/01-02/01-20-24)</w:t>
      </w:r>
      <w:r w:rsidR="00E95111">
        <w:t xml:space="preserve">. </w:t>
      </w:r>
      <w:r w:rsidRPr="0033296A">
        <w:t xml:space="preserve">Vlada RH donijela je Odluku o davanju suglasnosti Gradu Bujama za zaduženje kod Istarske kreditne banke Umag d.d. (klasa: 022-03/20-04/508, </w:t>
      </w:r>
      <w:proofErr w:type="spellStart"/>
      <w:r w:rsidRPr="0033296A">
        <w:t>ur</w:t>
      </w:r>
      <w:proofErr w:type="spellEnd"/>
      <w:r w:rsidRPr="0033296A">
        <w:t>. broj: 50301-05/16-20-2 od 23. prosinca 2020.) u iznosu od 840.116,00 kuna, s rokom otplate od sedam godina uz poček od šest mjeseci, u jednakim tromjesečnim ratama, uz fiksnu godišnju kamatnu stopu 1,00% u prva 24 mjeseca, a po proteku navedenog roka uz promjenjivu godišnju kamatnu stopu u visini prinosa na trezorske zapise Ministarstva financija na 364 dana uvećano za kamatnu maržu od 1,00 p.p. (trenutno 1,06%) i jednokratnu naknadu za obradu zahtjeva u visini 0,10% od iznosa odobrenog kredita.</w:t>
      </w:r>
    </w:p>
    <w:p w14:paraId="6AA3D5EA" w14:textId="088E36FD" w:rsidR="00C87BED" w:rsidRDefault="00E95111" w:rsidP="009075FA">
      <w:r w:rsidRPr="0033296A">
        <w:t>Ugovor o kreditu s Istarskom kreditnom bankom Umag d.d. (broj 9005002</w:t>
      </w:r>
      <w:r>
        <w:t>95-2</w:t>
      </w:r>
      <w:r w:rsidRPr="0033296A">
        <w:t>)</w:t>
      </w:r>
      <w:r>
        <w:t xml:space="preserve"> sklopljen je 07.01.2021. godine. </w:t>
      </w:r>
      <w:r w:rsidR="000238B6">
        <w:t>Kreditna sredstva su iskorištena u c</w:t>
      </w:r>
      <w:r w:rsidR="0026281D">
        <w:t>i</w:t>
      </w:r>
      <w:r w:rsidR="000238B6">
        <w:t>jelosti, a otplata anuiteta započinje u 2022. godini te je stanje kredita na dan 31.12.2021. godine 840.116,00 kuna.</w:t>
      </w:r>
      <w:r w:rsidR="002F2B00">
        <w:t xml:space="preserve"> </w:t>
      </w:r>
      <w:r w:rsidR="002F2B00" w:rsidRPr="0033296A">
        <w:t>Dinamika otplate kreditne obveze po godinama prikazana je u sljedećoj tablici.</w:t>
      </w:r>
    </w:p>
    <w:p w14:paraId="1C6ABC0F" w14:textId="77777777" w:rsidR="002F2B00" w:rsidRDefault="002F2B00" w:rsidP="009075FA"/>
    <w:p w14:paraId="2A5264F3" w14:textId="2C1ED003" w:rsidR="00C87BED" w:rsidRDefault="00C87BED" w:rsidP="009075FA"/>
    <w:tbl>
      <w:tblPr>
        <w:tblW w:w="6380" w:type="dxa"/>
        <w:tblLook w:val="04A0" w:firstRow="1" w:lastRow="0" w:firstColumn="1" w:lastColumn="0" w:noHBand="0" w:noVBand="1"/>
      </w:tblPr>
      <w:tblGrid>
        <w:gridCol w:w="960"/>
        <w:gridCol w:w="1420"/>
        <w:gridCol w:w="1400"/>
        <w:gridCol w:w="1420"/>
        <w:gridCol w:w="1180"/>
      </w:tblGrid>
      <w:tr w:rsidR="007C3E55" w14:paraId="003F3D9A" w14:textId="77777777" w:rsidTr="007C3E55">
        <w:trPr>
          <w:trHeight w:val="30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F83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GODIŠNJI OTPLATNI PLAN </w:t>
            </w:r>
          </w:p>
        </w:tc>
      </w:tr>
      <w:tr w:rsidR="007C3E55" w14:paraId="2D5B99A1" w14:textId="77777777" w:rsidTr="007C3E55">
        <w:trPr>
          <w:trHeight w:val="300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DE9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ISTARSKA KREDITNA BANKA UMAG D.D. - dugoročni kredit broj 9005002952</w:t>
            </w:r>
          </w:p>
        </w:tc>
      </w:tr>
      <w:tr w:rsidR="007C3E55" w14:paraId="5BEDA393" w14:textId="77777777" w:rsidTr="007C3E55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05C" w14:textId="77777777" w:rsidR="007C3E55" w:rsidRDefault="007C3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E16D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1CA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181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3A6" w14:textId="77777777" w:rsidR="007C3E55" w:rsidRDefault="007C3E55">
            <w:pPr>
              <w:rPr>
                <w:sz w:val="20"/>
                <w:szCs w:val="20"/>
              </w:rPr>
            </w:pPr>
          </w:p>
        </w:tc>
      </w:tr>
      <w:tr w:rsidR="007C3E55" w14:paraId="1E842DC4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A60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4E6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518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5E1" w14:textId="77777777" w:rsidR="007C3E55" w:rsidRDefault="007C3E5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29D" w14:textId="77777777" w:rsidR="007C3E55" w:rsidRDefault="007C3E55">
            <w:pPr>
              <w:rPr>
                <w:sz w:val="20"/>
                <w:szCs w:val="20"/>
              </w:rPr>
            </w:pPr>
          </w:p>
        </w:tc>
      </w:tr>
      <w:tr w:rsidR="007C3E55" w14:paraId="09C38418" w14:textId="77777777" w:rsidTr="007C3E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C6BAE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BC3E2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glavnica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68E7F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54601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B39C2" w14:textId="77777777" w:rsidR="007C3E55" w:rsidRDefault="007C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stanje kredita</w:t>
            </w:r>
          </w:p>
        </w:tc>
      </w:tr>
      <w:tr w:rsidR="007C3E55" w14:paraId="4733645D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688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085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23D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3.521,58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26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3.521,58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EE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840.116,00 </w:t>
            </w:r>
          </w:p>
        </w:tc>
      </w:tr>
      <w:tr w:rsidR="007C3E55" w14:paraId="45B05685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935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C6D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90.012,42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7F2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8.023,85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3C4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98.036,27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3BA1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750.103,58 </w:t>
            </w:r>
          </w:p>
        </w:tc>
      </w:tr>
      <w:tr w:rsidR="007C3E55" w14:paraId="4AED2AAE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DA7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7145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75A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6.849,17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EA9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126.865,73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E41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630.087,02 </w:t>
            </w:r>
          </w:p>
        </w:tc>
      </w:tr>
      <w:tr w:rsidR="007C3E55" w14:paraId="78A10F2B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19A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300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75E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5.650,00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5C1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125.666,56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A4DA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510.070,46 </w:t>
            </w:r>
          </w:p>
        </w:tc>
      </w:tr>
      <w:tr w:rsidR="007C3E55" w14:paraId="2CB51D87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4F9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0424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131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4.448,79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604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124.465,35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2E7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390.053,90 </w:t>
            </w:r>
          </w:p>
        </w:tc>
      </w:tr>
      <w:tr w:rsidR="007C3E55" w14:paraId="63D9DA7C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411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9B7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DA4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3.248,67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673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123.265,23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CDF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270.037,34 </w:t>
            </w:r>
          </w:p>
        </w:tc>
      </w:tr>
      <w:tr w:rsidR="007C3E55" w14:paraId="0C92CE54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F15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206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80A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2.048,51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9C0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122.065,07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6CE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150.020,78 </w:t>
            </w:r>
          </w:p>
        </w:tc>
      </w:tr>
      <w:tr w:rsidR="007C3E55" w14:paraId="34212D04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168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53E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120.016,56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314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849,31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202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120.865,87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E93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30.004,22 </w:t>
            </w:r>
          </w:p>
        </w:tc>
      </w:tr>
      <w:tr w:rsidR="007C3E55" w14:paraId="63624134" w14:textId="77777777" w:rsidTr="007C3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D475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CD2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30.004,22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8EA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25,48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71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30.029,70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1FD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0,00 </w:t>
            </w:r>
          </w:p>
        </w:tc>
      </w:tr>
      <w:tr w:rsidR="007C3E55" w14:paraId="29B039B6" w14:textId="77777777" w:rsidTr="007C3E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4DDE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1FA8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840.116,00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F39F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34.665,36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5D19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874.781,36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7F4C" w14:textId="77777777" w:rsidR="007C3E55" w:rsidRDefault="007C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51EDD61" w14:textId="77777777" w:rsidR="007C3E55" w:rsidRDefault="007C3E55" w:rsidP="009075FA"/>
    <w:p w14:paraId="35F78A2E" w14:textId="77777777" w:rsidR="00E95111" w:rsidRDefault="00E95111" w:rsidP="009075FA"/>
    <w:p w14:paraId="75C232C3" w14:textId="0CC59808" w:rsidR="00C164EF" w:rsidRDefault="00E95111" w:rsidP="00C164EF">
      <w:r w:rsidRPr="0033296A">
        <w:t xml:space="preserve">Gradsko vijeće je 22. listopada 2020. godine donijelo Odluku o kreditnom zaduženju kod Hrvatske banke za obnovu i razvitak (klasa: 403-01/20-01/05, </w:t>
      </w:r>
      <w:proofErr w:type="spellStart"/>
      <w:r w:rsidRPr="0033296A">
        <w:t>ur.broj</w:t>
      </w:r>
      <w:proofErr w:type="spellEnd"/>
      <w:r w:rsidRPr="0033296A">
        <w:t>: 2105/01-02/01-20-25)</w:t>
      </w:r>
      <w:r w:rsidR="00C87BED">
        <w:t xml:space="preserve"> z</w:t>
      </w:r>
      <w:r w:rsidR="00C87BED" w:rsidRPr="0033296A">
        <w:t>a financiranje projekta Zamjene javne rasvjete LED rasvjetom</w:t>
      </w:r>
      <w:r w:rsidRPr="0033296A">
        <w:t xml:space="preserve">. </w:t>
      </w:r>
      <w:r w:rsidR="009075FA" w:rsidRPr="0033296A">
        <w:t xml:space="preserve">Vlada RH donijela je Odluku o davanju suglasnosti Gradu Bujama za zaduženje kod Hrvatske banke za obnovu i razvitak </w:t>
      </w:r>
      <w:r w:rsidR="00C87BED" w:rsidRPr="0033296A">
        <w:t>(klasa: 022-03/20-04/50</w:t>
      </w:r>
      <w:r w:rsidR="00C87BED">
        <w:t>7</w:t>
      </w:r>
      <w:r w:rsidR="00C87BED" w:rsidRPr="0033296A">
        <w:t xml:space="preserve">, </w:t>
      </w:r>
      <w:proofErr w:type="spellStart"/>
      <w:r w:rsidR="00C87BED" w:rsidRPr="0033296A">
        <w:t>ur</w:t>
      </w:r>
      <w:proofErr w:type="spellEnd"/>
      <w:r w:rsidR="00C87BED" w:rsidRPr="0033296A">
        <w:t xml:space="preserve">. broj: 50301-05/16-20-2 od 23. prosinca 2020.) </w:t>
      </w:r>
      <w:r w:rsidR="009075FA" w:rsidRPr="0033296A">
        <w:t>u iznosu od 1.654.489,44 kune, s rokom otplate kredita od sedam godina uz poček od šest mjeseci, u jednakim tromjesečnim ratama, uz fiksnu kamatnu stopu 0,5% i bez naknade za obradu kredita.</w:t>
      </w:r>
      <w:r w:rsidR="00C87BED">
        <w:t xml:space="preserve"> </w:t>
      </w:r>
      <w:r w:rsidR="009075FA" w:rsidRPr="0033296A">
        <w:t xml:space="preserve">Ugovor o kreditu s Hrvatskom bankom za obnovu i razvitak </w:t>
      </w:r>
      <w:r w:rsidR="00C87BED">
        <w:t xml:space="preserve">(broj ESJR-20-1101325) sklopljen je 30.12.2020. godine. </w:t>
      </w:r>
      <w:r w:rsidR="000238B6">
        <w:t>Kreditna sredstv</w:t>
      </w:r>
      <w:r w:rsidR="0026281D">
        <w:t>a</w:t>
      </w:r>
      <w:r w:rsidR="000238B6">
        <w:t xml:space="preserve"> iskorištena su u potpunosti, a u 2021. </w:t>
      </w:r>
      <w:r w:rsidR="000238B6">
        <w:lastRenderedPageBreak/>
        <w:t>godini otplaćen je prvi an</w:t>
      </w:r>
      <w:r w:rsidR="0026281D">
        <w:t>u</w:t>
      </w:r>
      <w:r w:rsidR="000238B6">
        <w:t>itet te je stanje kredita na dan 31.12.2021. godine</w:t>
      </w:r>
      <w:r w:rsidR="00C87BED">
        <w:t xml:space="preserve"> 1.</w:t>
      </w:r>
      <w:r w:rsidR="00E74AF7">
        <w:t>595.400,53</w:t>
      </w:r>
      <w:r w:rsidR="00C87BED">
        <w:t xml:space="preserve"> kun</w:t>
      </w:r>
      <w:r w:rsidR="002F2B00">
        <w:t>a</w:t>
      </w:r>
      <w:r w:rsidR="00C87BED">
        <w:t>.</w:t>
      </w:r>
      <w:r w:rsidR="002F2B00">
        <w:t xml:space="preserve"> </w:t>
      </w:r>
      <w:r w:rsidR="00C164EF" w:rsidRPr="0033296A">
        <w:t>Dinamika otplate kreditne obveze po godinama prikazana je u sljedećoj tablici.</w:t>
      </w:r>
    </w:p>
    <w:p w14:paraId="7284016B" w14:textId="77777777" w:rsidR="00E74AF7" w:rsidRPr="0033296A" w:rsidRDefault="00E74AF7" w:rsidP="00C164EF"/>
    <w:tbl>
      <w:tblPr>
        <w:tblW w:w="6160" w:type="dxa"/>
        <w:tblLook w:val="04A0" w:firstRow="1" w:lastRow="0" w:firstColumn="1" w:lastColumn="0" w:noHBand="0" w:noVBand="1"/>
      </w:tblPr>
      <w:tblGrid>
        <w:gridCol w:w="960"/>
        <w:gridCol w:w="1420"/>
        <w:gridCol w:w="1180"/>
        <w:gridCol w:w="1420"/>
        <w:gridCol w:w="1180"/>
      </w:tblGrid>
      <w:tr w:rsidR="00E74AF7" w14:paraId="5E009827" w14:textId="77777777" w:rsidTr="00E74AF7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326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GODIŠNJI OTPLATNI PLAN </w:t>
            </w:r>
          </w:p>
        </w:tc>
      </w:tr>
      <w:tr w:rsidR="00E74AF7" w14:paraId="61B8F4F1" w14:textId="77777777" w:rsidTr="00E74AF7">
        <w:trPr>
          <w:trHeight w:val="6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032F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BANKA ZA OBNOVU I RAZVITAK - dugoročni kredit broj ESJR-20-1101325</w:t>
            </w:r>
          </w:p>
        </w:tc>
      </w:tr>
      <w:tr w:rsidR="00E74AF7" w14:paraId="2599F3BC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BDB6" w14:textId="77777777" w:rsidR="00E74AF7" w:rsidRDefault="00E74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1C5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451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16B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658" w14:textId="77777777" w:rsidR="00E74AF7" w:rsidRDefault="00E74AF7">
            <w:pPr>
              <w:rPr>
                <w:sz w:val="20"/>
                <w:szCs w:val="20"/>
              </w:rPr>
            </w:pPr>
          </w:p>
        </w:tc>
      </w:tr>
      <w:tr w:rsidR="00E74AF7" w14:paraId="156E701E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BC1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765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DB9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63E" w14:textId="77777777" w:rsidR="00E74AF7" w:rsidRDefault="00E74A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2FAA" w14:textId="77777777" w:rsidR="00E74AF7" w:rsidRDefault="00E74AF7">
            <w:pPr>
              <w:rPr>
                <w:sz w:val="20"/>
                <w:szCs w:val="20"/>
              </w:rPr>
            </w:pPr>
          </w:p>
        </w:tc>
      </w:tr>
      <w:tr w:rsidR="00E74AF7" w14:paraId="508C369D" w14:textId="77777777" w:rsidTr="00E74AF7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FDCFB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5D57DB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glavnica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0621F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118E0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42C81" w14:textId="77777777" w:rsidR="00E74AF7" w:rsidRDefault="00E74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stanje kredita</w:t>
            </w:r>
          </w:p>
        </w:tc>
      </w:tr>
      <w:tr w:rsidR="00E74AF7" w14:paraId="6BE3366C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1880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CD1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59.088,91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15C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6.232,67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5B65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65.321,58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BA5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1.595.400,53 </w:t>
            </w:r>
          </w:p>
        </w:tc>
      </w:tr>
      <w:tr w:rsidR="00E74AF7" w14:paraId="14778114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0E5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4C9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136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7.532,62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551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243.888,26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FF4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1.359.044,89 </w:t>
            </w:r>
          </w:p>
        </w:tc>
      </w:tr>
      <w:tr w:rsidR="00E74AF7" w14:paraId="0A3D40AD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326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C3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0BC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6.350,85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ED4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242.706,49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F6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1.122.689,25 </w:t>
            </w:r>
          </w:p>
        </w:tc>
      </w:tr>
      <w:tr w:rsidR="00E74AF7" w14:paraId="55CC2943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9CD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D14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8A1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5.171,59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37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241.527,23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03F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886.333,61 </w:t>
            </w:r>
          </w:p>
        </w:tc>
      </w:tr>
      <w:tr w:rsidR="00E74AF7" w14:paraId="0B3AA55C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A3B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99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276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3.986,26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C56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240.341,90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66A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649.977,97 </w:t>
            </w:r>
          </w:p>
        </w:tc>
      </w:tr>
      <w:tr w:rsidR="00E74AF7" w14:paraId="051B6682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FD8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EDE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659F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2.805,50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65E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239.161,14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110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413.622,33 </w:t>
            </w:r>
          </w:p>
        </w:tc>
      </w:tr>
      <w:tr w:rsidR="00E74AF7" w14:paraId="722445FD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EBB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39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236.355,64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53F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1.623,74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097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237.979,38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0B1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177.266,69 </w:t>
            </w:r>
          </w:p>
        </w:tc>
      </w:tr>
      <w:tr w:rsidR="00E74AF7" w14:paraId="40D4DD6D" w14:textId="77777777" w:rsidTr="00E74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3E2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15F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177.266,69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57B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443,37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612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177.710,06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A1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-   </w:t>
            </w:r>
          </w:p>
        </w:tc>
      </w:tr>
      <w:tr w:rsidR="00E74AF7" w14:paraId="43F9288F" w14:textId="77777777" w:rsidTr="00E74A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889F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sveukupno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166D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1.654.489,44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2533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34.146,60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5C195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1.688.636,04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69D7" w14:textId="77777777" w:rsidR="00E74AF7" w:rsidRDefault="00E74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6225E8C" w14:textId="274FD85B" w:rsidR="00C164EF" w:rsidRDefault="00C164EF" w:rsidP="009075FA"/>
    <w:p w14:paraId="3D2BE995" w14:textId="77777777" w:rsidR="00E74AF7" w:rsidRDefault="00E74AF7" w:rsidP="009075FA"/>
    <w:p w14:paraId="1A243ACD" w14:textId="3E54BD5B" w:rsidR="009D7279" w:rsidRPr="0033296A" w:rsidRDefault="009D7279" w:rsidP="009075FA"/>
    <w:p w14:paraId="7AF0885C" w14:textId="13B73828" w:rsidR="009075FA" w:rsidRDefault="005A581A" w:rsidP="009075FA">
      <w:r>
        <w:t>Preg</w:t>
      </w:r>
      <w:r w:rsidR="00C32947">
        <w:t>l</w:t>
      </w:r>
      <w:r>
        <w:t>ed dugoročnih kredita</w:t>
      </w:r>
      <w:r w:rsidR="009D7279">
        <w:t xml:space="preserve"> Grada Buja </w:t>
      </w:r>
      <w:r w:rsidR="00830C42">
        <w:t>–</w:t>
      </w:r>
      <w:r w:rsidR="009D7279">
        <w:t xml:space="preserve"> Buie</w:t>
      </w:r>
    </w:p>
    <w:p w14:paraId="252ED5B5" w14:textId="76F2207C" w:rsidR="00830C42" w:rsidRDefault="00830C42" w:rsidP="009075FA"/>
    <w:tbl>
      <w:tblPr>
        <w:tblW w:w="9493" w:type="dxa"/>
        <w:tblLook w:val="04A0" w:firstRow="1" w:lastRow="0" w:firstColumn="1" w:lastColumn="0" w:noHBand="0" w:noVBand="1"/>
      </w:tblPr>
      <w:tblGrid>
        <w:gridCol w:w="415"/>
        <w:gridCol w:w="803"/>
        <w:gridCol w:w="1329"/>
        <w:gridCol w:w="992"/>
        <w:gridCol w:w="534"/>
        <w:gridCol w:w="657"/>
        <w:gridCol w:w="801"/>
        <w:gridCol w:w="985"/>
        <w:gridCol w:w="992"/>
        <w:gridCol w:w="992"/>
        <w:gridCol w:w="993"/>
      </w:tblGrid>
      <w:tr w:rsidR="00830C42" w14:paraId="460936EA" w14:textId="77777777" w:rsidTr="00830C42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15C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red.</w:t>
            </w:r>
            <w:r>
              <w:rPr>
                <w:sz w:val="13"/>
                <w:szCs w:val="13"/>
              </w:rPr>
              <w:br/>
              <w:t>br.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0CC7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vrsta kredita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66B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naziv pravne osobe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4C38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ugovoreni </w:t>
            </w:r>
            <w:r>
              <w:rPr>
                <w:sz w:val="13"/>
                <w:szCs w:val="13"/>
              </w:rPr>
              <w:br/>
              <w:t>iznos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6C6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valuta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F904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kamatna stopa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C67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 otplate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D8A8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stanje kredita 01.01.2021.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E02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primljeni kredit u tekućoj godini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88F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otplaćeni kredit u tekućoj godini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E1" w14:textId="77777777" w:rsidR="00830C42" w:rsidRDefault="00830C4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stanje kredita 31.12.2021.</w:t>
            </w:r>
          </w:p>
        </w:tc>
      </w:tr>
      <w:tr w:rsidR="00830C42" w14:paraId="58174262" w14:textId="77777777" w:rsidTr="00830C42">
        <w:trPr>
          <w:trHeight w:val="10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C4B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88E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tuzemni dugoročni kredit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B39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Istarska kreditna banka Umag d.d. / </w:t>
            </w:r>
            <w:r>
              <w:rPr>
                <w:sz w:val="13"/>
                <w:szCs w:val="13"/>
              </w:rPr>
              <w:br/>
              <w:t>energetska obnova zgrade Centra za inkluziju i zgrade Uprave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D92A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4.089.561,00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09D5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798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3C8A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31.3.2030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70AC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1.648.555,38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799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C80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137.379,63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51F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1.511.175,75    </w:t>
            </w:r>
          </w:p>
        </w:tc>
      </w:tr>
      <w:tr w:rsidR="00830C42" w14:paraId="16D9183B" w14:textId="77777777" w:rsidTr="00830C42">
        <w:trPr>
          <w:trHeight w:val="10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8791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09D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tuzemni dugoročni kredit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D96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Istarska kreditna banka Umag d.d. / </w:t>
            </w:r>
            <w:r>
              <w:rPr>
                <w:sz w:val="13"/>
                <w:szCs w:val="13"/>
              </w:rPr>
              <w:br/>
              <w:t>energetska obnova zgrade dječjeg vrtića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FF6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2.696.730,00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A3F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079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 (36 mj.)</w:t>
            </w:r>
            <w:r>
              <w:rPr>
                <w:sz w:val="13"/>
                <w:szCs w:val="13"/>
              </w:rPr>
              <w:br/>
              <w:t>TZ MF RH + 1,3 p.p.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6C6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31.10.2030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FB71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2.696.730,00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573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8F3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049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2.696.730,00    </w:t>
            </w:r>
          </w:p>
        </w:tc>
      </w:tr>
      <w:tr w:rsidR="00830C42" w14:paraId="06BBDBFC" w14:textId="77777777" w:rsidTr="00830C42">
        <w:trPr>
          <w:trHeight w:val="10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5365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9DD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tuzemni dugoročni kredit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AC3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Istarska kreditna banka Umag d.d. / </w:t>
            </w:r>
            <w:r>
              <w:rPr>
                <w:sz w:val="13"/>
                <w:szCs w:val="13"/>
              </w:rPr>
              <w:br/>
              <w:t>energetska obnova javne rasvjete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EC2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840.116,00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C31A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235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 (24 mj.)</w:t>
            </w:r>
            <w:r>
              <w:rPr>
                <w:sz w:val="13"/>
                <w:szCs w:val="13"/>
              </w:rPr>
              <w:br/>
              <w:t>TZ MF RH + 1,3 p.p.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2DA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31.1.2029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967E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CB0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840.116,00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E868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A7A8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840.116,00    </w:t>
            </w:r>
          </w:p>
        </w:tc>
      </w:tr>
      <w:tr w:rsidR="00830C42" w14:paraId="305D0498" w14:textId="77777777" w:rsidTr="00830C42">
        <w:trPr>
          <w:trHeight w:val="8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113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E63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tuzemni dugoročni kredit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8CD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Hrvatska banka za obnovu i razvitak / </w:t>
            </w:r>
            <w:r>
              <w:rPr>
                <w:sz w:val="13"/>
                <w:szCs w:val="13"/>
              </w:rPr>
              <w:br/>
              <w:t>energetska obnova javne rasvjete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C56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1.654.489,44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1D3D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0BB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F4A3" w14:textId="77777777" w:rsidR="00830C42" w:rsidRDefault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31.8.2028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10D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F69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1.654.489,44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81E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59.088,91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32C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1.595.400,53    </w:t>
            </w:r>
          </w:p>
        </w:tc>
      </w:tr>
      <w:tr w:rsidR="00830C42" w14:paraId="29037B6F" w14:textId="77777777" w:rsidTr="00830C42">
        <w:trPr>
          <w:trHeight w:val="2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B3D" w14:textId="77777777" w:rsidR="00830C42" w:rsidRDefault="00830C42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2310" w14:textId="77777777" w:rsidR="00830C42" w:rsidRDefault="00830C42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F90C" w14:textId="77777777" w:rsidR="00830C42" w:rsidRDefault="00830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3233" w14:textId="77777777" w:rsidR="00830C42" w:rsidRDefault="00830C4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BD80" w14:textId="77777777" w:rsidR="00830C42" w:rsidRDefault="00830C42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8B5A" w14:textId="77777777" w:rsidR="00830C42" w:rsidRDefault="00830C4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9D9" w14:textId="77777777" w:rsidR="00830C42" w:rsidRDefault="00830C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ukupno: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E9E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4.345.285,38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D37F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2.494.605,44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FA6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196.468,54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4FC" w14:textId="77777777" w:rsidR="00830C42" w:rsidRDefault="00830C42" w:rsidP="00830C42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6.643.422,28    </w:t>
            </w:r>
          </w:p>
        </w:tc>
      </w:tr>
    </w:tbl>
    <w:p w14:paraId="41D5199A" w14:textId="77777777" w:rsidR="00830C42" w:rsidRDefault="00830C42" w:rsidP="009075FA"/>
    <w:p w14:paraId="78AC32F8" w14:textId="77777777" w:rsidR="00DE71A4" w:rsidRDefault="00DE71A4" w:rsidP="009075FA"/>
    <w:p w14:paraId="70909AB9" w14:textId="54576787" w:rsidR="00DE71A4" w:rsidRDefault="00DE71A4" w:rsidP="009075FA"/>
    <w:p w14:paraId="382B8EDE" w14:textId="7A14B8E8" w:rsidR="00830C42" w:rsidRDefault="00830C42" w:rsidP="009075FA"/>
    <w:p w14:paraId="768CA197" w14:textId="3850024E" w:rsidR="00DE71A4" w:rsidRDefault="00DE71A4" w:rsidP="009075FA"/>
    <w:p w14:paraId="047194B5" w14:textId="14629E5A" w:rsidR="00F22C87" w:rsidRDefault="00F22C87" w:rsidP="009075FA"/>
    <w:p w14:paraId="266197D2" w14:textId="77777777" w:rsidR="00F22C87" w:rsidRDefault="00F22C87" w:rsidP="009075FA"/>
    <w:p w14:paraId="19D8AC08" w14:textId="77777777" w:rsidR="00830C42" w:rsidRPr="0033296A" w:rsidRDefault="00830C42" w:rsidP="009075FA"/>
    <w:p w14:paraId="0C201DC3" w14:textId="77777777" w:rsidR="009075FA" w:rsidRPr="0033296A" w:rsidRDefault="009075FA" w:rsidP="009075FA">
      <w:pPr>
        <w:rPr>
          <w:b/>
          <w:bCs/>
        </w:rPr>
      </w:pPr>
      <w:r w:rsidRPr="0033296A">
        <w:rPr>
          <w:b/>
          <w:bCs/>
        </w:rPr>
        <w:lastRenderedPageBreak/>
        <w:t>Kratkoročni krediti</w:t>
      </w:r>
    </w:p>
    <w:p w14:paraId="472277B7" w14:textId="77777777" w:rsidR="009075FA" w:rsidRPr="0033296A" w:rsidRDefault="009075FA" w:rsidP="009075FA"/>
    <w:p w14:paraId="105771F6" w14:textId="77777777" w:rsidR="009075FA" w:rsidRPr="0033296A" w:rsidRDefault="009075FA" w:rsidP="009075FA">
      <w:r w:rsidRPr="0033296A">
        <w:t>Člankom 86.a Zakona o proračunu („Narodne novine“ broj 87/08, 136/12 i 15/15) propisuju se način i uvjeti pod kojima se JLP(R)S može kratkoročno zadužiti.</w:t>
      </w:r>
    </w:p>
    <w:p w14:paraId="05BBB2FA" w14:textId="77777777" w:rsidR="009075FA" w:rsidRPr="0033296A" w:rsidRDefault="009075FA" w:rsidP="009075FA">
      <w:r w:rsidRPr="0033296A">
        <w:t>Kratkoročno posuđivanje novčanih sredstava, radi likvidnosti i plaćanja obveza po dospijeću, ne ograničava se, već je upravo temelj upravljanja financijskim tokovima te dobrog gospodarenja prihodima i rashodima. Na takav se način uspješno mogu premostiti negativne razlike koje su posljedica različite dinamike ispunjavanja obveza i prikupljanja, te uplate prihoda u proračun JLP(R)S.</w:t>
      </w:r>
    </w:p>
    <w:p w14:paraId="0CCDD4AD" w14:textId="77777777" w:rsidR="009075FA" w:rsidRPr="0033296A" w:rsidRDefault="009075FA" w:rsidP="009075FA"/>
    <w:p w14:paraId="7F2F5218" w14:textId="6EBC3065" w:rsidR="009D7279" w:rsidRDefault="009075FA" w:rsidP="009075FA">
      <w:r w:rsidRPr="0033296A">
        <w:t xml:space="preserve">Grad Buje – Buie je na temelju Odluke </w:t>
      </w:r>
      <w:r w:rsidR="00C66962">
        <w:t xml:space="preserve">Gradskog vijeća </w:t>
      </w:r>
      <w:r w:rsidRPr="0033296A">
        <w:t xml:space="preserve">o kratkoročnom zaduženju Grada Buja – Buie (klasa: 403-01/20-01/02 </w:t>
      </w:r>
      <w:proofErr w:type="spellStart"/>
      <w:r w:rsidRPr="0033296A">
        <w:t>ur</w:t>
      </w:r>
      <w:proofErr w:type="spellEnd"/>
      <w:r w:rsidRPr="0033296A">
        <w:t xml:space="preserve">. broj: 2105/01-02/01-20-13 od 17.03.2020.) sklopio dana 20.05.2020. godine Ugovor o kratkoročnom kunskom </w:t>
      </w:r>
      <w:r w:rsidR="00C66962">
        <w:t xml:space="preserve">(revolving) </w:t>
      </w:r>
      <w:r w:rsidRPr="0033296A">
        <w:t xml:space="preserve">kreditu u iznosu od 7.500.000,00 kuna za financiranje i premošćivanje jaza između rokova dospijeća obveza prema izvođačima radova i ostvarivanja prihoda od refundacije sredstava ugovorenih EU bespovratnih sredstava po kapitalnim projektima Izgradnje </w:t>
      </w:r>
      <w:proofErr w:type="spellStart"/>
      <w:r w:rsidRPr="0033296A">
        <w:t>reciklažnog</w:t>
      </w:r>
      <w:proofErr w:type="spellEnd"/>
      <w:r w:rsidRPr="0033296A">
        <w:t xml:space="preserve"> dvorišta i Energetske obnove zgrade dječjeg vrtića</w:t>
      </w:r>
      <w:r w:rsidR="001D0A30">
        <w:t xml:space="preserve">. Ugovoren je </w:t>
      </w:r>
      <w:r w:rsidRPr="0033296A">
        <w:t xml:space="preserve">rok povrata do 12 mjeseci od prvog korištenja odnosno do 26.05.2021. godine i to po sljedećim uvjetima: kamatna stopa 1,00% fiksna, naknada: 0,10% od ugovorenog iznosa kredita, instrument osiguranja: zadužnica. Stanje kredita na dan </w:t>
      </w:r>
      <w:r w:rsidR="00CD53A4">
        <w:t xml:space="preserve">01.01.2021. godine </w:t>
      </w:r>
      <w:r w:rsidRPr="0033296A">
        <w:t>iznosi</w:t>
      </w:r>
      <w:r w:rsidR="00CD53A4">
        <w:t>lo je 1.427.142,42</w:t>
      </w:r>
      <w:r w:rsidRPr="0033296A">
        <w:t xml:space="preserve"> kuna.</w:t>
      </w:r>
      <w:r w:rsidR="00CD53A4">
        <w:t xml:space="preserve"> Kredit je vraćen u ugovorenom roku.</w:t>
      </w:r>
    </w:p>
    <w:p w14:paraId="556D6997" w14:textId="77777777" w:rsidR="009D7279" w:rsidRDefault="009D7279" w:rsidP="009075FA"/>
    <w:p w14:paraId="61789DE5" w14:textId="77777777" w:rsidR="009D7279" w:rsidRDefault="009D7279" w:rsidP="009D7279">
      <w:r>
        <w:t>Preg</w:t>
      </w:r>
      <w:r w:rsidR="00C32947">
        <w:t>l</w:t>
      </w:r>
      <w:r>
        <w:t>ed kratkoročnih kredita Grada Buja - Buie</w:t>
      </w:r>
    </w:p>
    <w:p w14:paraId="6B4E4470" w14:textId="77777777" w:rsidR="00CD53A4" w:rsidRDefault="00CD53A4" w:rsidP="009075FA"/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415"/>
        <w:gridCol w:w="818"/>
        <w:gridCol w:w="1124"/>
        <w:gridCol w:w="992"/>
        <w:gridCol w:w="534"/>
        <w:gridCol w:w="657"/>
        <w:gridCol w:w="760"/>
        <w:gridCol w:w="1216"/>
        <w:gridCol w:w="992"/>
        <w:gridCol w:w="992"/>
        <w:gridCol w:w="992"/>
      </w:tblGrid>
      <w:tr w:rsidR="00CD53A4" w14:paraId="1EBAE387" w14:textId="77777777" w:rsidTr="00CD53A4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C42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red.</w:t>
            </w:r>
            <w:r>
              <w:rPr>
                <w:sz w:val="13"/>
                <w:szCs w:val="13"/>
              </w:rPr>
              <w:br/>
              <w:t>br.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54A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vrsta kredita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FC09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naziv pravne osobe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8EF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ugovoreni </w:t>
            </w:r>
            <w:r>
              <w:rPr>
                <w:sz w:val="13"/>
                <w:szCs w:val="13"/>
              </w:rPr>
              <w:br/>
              <w:t>iznos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D1F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valuta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638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kamatna stopa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1B35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 otplate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334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stanje kredita 01.01.2021.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F82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primljeni kredit u tekućoj godini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476" w14:textId="77777777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otplaćeni kredit u tekućoj godini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4FB" w14:textId="5B6405D0" w:rsidR="00CD53A4" w:rsidRDefault="00CD53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stanje kredita </w:t>
            </w:r>
            <w:r w:rsidR="0037261F">
              <w:rPr>
                <w:sz w:val="13"/>
                <w:szCs w:val="13"/>
              </w:rPr>
              <w:t>31.12.2021.</w:t>
            </w:r>
          </w:p>
        </w:tc>
      </w:tr>
      <w:tr w:rsidR="00CD53A4" w14:paraId="37D0413D" w14:textId="77777777" w:rsidTr="00CD53A4">
        <w:trPr>
          <w:trHeight w:val="8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C91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4D5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tuzemni kratkoročni revolving kredit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507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Zagrebačka banka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943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7.500.000,00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042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AC6" w14:textId="77777777" w:rsidR="00CD53A4" w:rsidRDefault="00CD53A4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F14" w14:textId="77777777" w:rsidR="00CD53A4" w:rsidRDefault="00CD53A4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26.5.2021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13E" w14:textId="77777777" w:rsidR="00CD53A4" w:rsidRDefault="00CD53A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1.427.142,42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C3B" w14:textId="77777777" w:rsidR="00CD53A4" w:rsidRDefault="00CD53A4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B2ED" w14:textId="77777777" w:rsidR="00CD53A4" w:rsidRDefault="00CD53A4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1.427.142,42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2BA" w14:textId="77777777" w:rsidR="00CD53A4" w:rsidRDefault="00CD53A4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</w:tr>
    </w:tbl>
    <w:p w14:paraId="4B638891" w14:textId="77777777" w:rsidR="009075FA" w:rsidRPr="0033296A" w:rsidRDefault="009075FA" w:rsidP="009075FA">
      <w:pPr>
        <w:rPr>
          <w:b/>
          <w:bCs/>
        </w:rPr>
      </w:pPr>
    </w:p>
    <w:p w14:paraId="447B007C" w14:textId="77777777" w:rsidR="009D7279" w:rsidRDefault="009D7279" w:rsidP="009075FA">
      <w:pPr>
        <w:rPr>
          <w:b/>
          <w:bCs/>
        </w:rPr>
      </w:pPr>
    </w:p>
    <w:p w14:paraId="3DCE7EC5" w14:textId="5F3D2B70" w:rsidR="009075FA" w:rsidRPr="0033296A" w:rsidRDefault="00090548" w:rsidP="009075FA">
      <w:pPr>
        <w:rPr>
          <w:b/>
          <w:bCs/>
        </w:rPr>
      </w:pPr>
      <w:r>
        <w:rPr>
          <w:b/>
          <w:bCs/>
        </w:rPr>
        <w:t>Beskamatni z</w:t>
      </w:r>
      <w:r w:rsidR="009075FA" w:rsidRPr="0033296A">
        <w:rPr>
          <w:b/>
          <w:bCs/>
        </w:rPr>
        <w:t>ajm</w:t>
      </w:r>
      <w:r w:rsidR="008653CB">
        <w:rPr>
          <w:b/>
          <w:bCs/>
        </w:rPr>
        <w:t>ovi</w:t>
      </w:r>
      <w:r w:rsidR="009075FA" w:rsidRPr="0033296A">
        <w:rPr>
          <w:b/>
          <w:bCs/>
        </w:rPr>
        <w:t xml:space="preserve"> iz državnog proračuna</w:t>
      </w:r>
    </w:p>
    <w:p w14:paraId="35E230B8" w14:textId="77777777" w:rsidR="009075FA" w:rsidRPr="0033296A" w:rsidRDefault="009075FA" w:rsidP="009075FA">
      <w:pPr>
        <w:rPr>
          <w:b/>
          <w:bCs/>
        </w:rPr>
      </w:pPr>
    </w:p>
    <w:p w14:paraId="16222906" w14:textId="77777777" w:rsidR="009D7279" w:rsidRDefault="009D7279" w:rsidP="009075FA"/>
    <w:p w14:paraId="5FF273D4" w14:textId="77777777" w:rsidR="009075FA" w:rsidRPr="0033296A" w:rsidRDefault="009075FA" w:rsidP="009075FA">
      <w:r w:rsidRPr="0033296A">
        <w:t>Uslijed posebnih okolnosti nastalih zbog epidemije korona virusa COVID-19</w:t>
      </w:r>
      <w:r w:rsidR="00CD53A4">
        <w:t xml:space="preserve"> u 2020. godini</w:t>
      </w:r>
      <w:r w:rsidRPr="0033296A">
        <w:t>, Vlada Republike Hrvatske je radi održavanja likvidnosti, gospodarske aktivnosti i zadržavanja zaposlenosti</w:t>
      </w:r>
      <w:r w:rsidR="009D7279">
        <w:t>,</w:t>
      </w:r>
      <w:r w:rsidRPr="0033296A">
        <w:t xml:space="preserve"> između ostalih mjera</w:t>
      </w:r>
      <w:r w:rsidR="009D7279">
        <w:t>,</w:t>
      </w:r>
      <w:r w:rsidRPr="0033296A">
        <w:t xml:space="preserve"> omogućila gospodarstvenicima podnošenje zahtjeva za odgodu ili obročno plaćanje poreza i prireza na dohodak. Osim toga, povrat poreza i prireza po godišnjim prijavama građana </w:t>
      </w:r>
      <w:r w:rsidR="00607895">
        <w:t xml:space="preserve">u 2020. godini </w:t>
      </w:r>
      <w:r w:rsidRPr="0033296A">
        <w:t>izvršen je u lipnju umjesto kao uobičajeno</w:t>
      </w:r>
      <w:r w:rsidR="009D7279">
        <w:t>,</w:t>
      </w:r>
      <w:r w:rsidRPr="0033296A">
        <w:t xml:space="preserve"> ranijih godina</w:t>
      </w:r>
      <w:r w:rsidR="009D7279">
        <w:t>,</w:t>
      </w:r>
      <w:r w:rsidRPr="0033296A">
        <w:t xml:space="preserve"> u kolovozu.</w:t>
      </w:r>
    </w:p>
    <w:p w14:paraId="73527B82" w14:textId="77777777" w:rsidR="009075FA" w:rsidRPr="0033296A" w:rsidRDefault="009075FA" w:rsidP="009075FA">
      <w:r w:rsidRPr="0033296A">
        <w:t>Slijedom navedenog Ministarstvo financija je donijelo Naputak o načinu isplate beskamatnog zajma JLP(R)S, HZMO i HZZO („Narodne novine“ broj 46/20) kojim je JLP(R)S omogućeno korištenje beskamatnog zajma za premošćivanje situacije nastale zbog različite dinamike priljeva sredstava i dospijeća obveza uslijed odgode plaćanja i/ili obročne otplate, povrata, odnosno oslobođenja od plaćanja poreza i prireza na dohodak.</w:t>
      </w:r>
    </w:p>
    <w:p w14:paraId="3E590EDB" w14:textId="0368CFDE" w:rsidR="009075FA" w:rsidRDefault="009075FA" w:rsidP="009075FA">
      <w:r w:rsidRPr="0033296A">
        <w:t xml:space="preserve">Po osnovi beskamatnog zajma radi odgode plaćanja poreza i prireza na dohodak Grad Buje – Buie na dan </w:t>
      </w:r>
      <w:r w:rsidR="00607895">
        <w:t>01.01.</w:t>
      </w:r>
      <w:r w:rsidRPr="0033296A">
        <w:t>202</w:t>
      </w:r>
      <w:r w:rsidR="00607895">
        <w:t>1</w:t>
      </w:r>
      <w:r w:rsidRPr="0033296A">
        <w:t>. godine ima</w:t>
      </w:r>
      <w:r w:rsidR="00607895">
        <w:t>o je</w:t>
      </w:r>
      <w:r w:rsidRPr="0033296A">
        <w:t xml:space="preserve"> evidentiranu obvezu u iznosu od 224.747,47 kuna, a po osnovi beskamatnog zajma za povrat poreza i prireza na dohodak po godišnjim prijavama za 2019. godinu u iznosu od 270.000,00 kuna. </w:t>
      </w:r>
      <w:r w:rsidR="00607895">
        <w:t xml:space="preserve">Zajam po osnovi povrata poreza i prireza na dohodak </w:t>
      </w:r>
      <w:r w:rsidR="00924704">
        <w:t xml:space="preserve">po godišnjim prijavama </w:t>
      </w:r>
      <w:r w:rsidR="00607895">
        <w:t>za 2019. godinu je u 2021. godin</w:t>
      </w:r>
      <w:r w:rsidR="008653CB">
        <w:t>i</w:t>
      </w:r>
      <w:r w:rsidR="00607895">
        <w:t xml:space="preserve"> </w:t>
      </w:r>
      <w:r w:rsidR="009D7279">
        <w:t xml:space="preserve">vraćen </w:t>
      </w:r>
      <w:r w:rsidR="00607895">
        <w:t xml:space="preserve">u potpunosti. </w:t>
      </w:r>
      <w:r w:rsidR="00607895">
        <w:lastRenderedPageBreak/>
        <w:t xml:space="preserve">Evidentirana obveza Grad Buje – Buie po osnovi zajma radi </w:t>
      </w:r>
      <w:r w:rsidR="009D7279">
        <w:t xml:space="preserve">odobrenih </w:t>
      </w:r>
      <w:r w:rsidR="00607895">
        <w:t>odgod</w:t>
      </w:r>
      <w:r w:rsidR="009D7279">
        <w:t>a</w:t>
      </w:r>
      <w:r w:rsidR="00607895">
        <w:t xml:space="preserve"> plaćanja poreza i prireza na dohodak na dan </w:t>
      </w:r>
      <w:r w:rsidR="008653CB">
        <w:t>31.12.2021.</w:t>
      </w:r>
      <w:r w:rsidR="00607895">
        <w:t xml:space="preserve"> godine iznosi </w:t>
      </w:r>
      <w:r w:rsidR="008653CB">
        <w:t>219.349,72</w:t>
      </w:r>
      <w:r w:rsidR="00607895">
        <w:t xml:space="preserve"> kuna.</w:t>
      </w:r>
    </w:p>
    <w:p w14:paraId="66FB262D" w14:textId="4BF484D5" w:rsidR="00090548" w:rsidRDefault="00090548" w:rsidP="009075FA"/>
    <w:p w14:paraId="447965D8" w14:textId="7F6735BA" w:rsidR="00090548" w:rsidRDefault="00090548" w:rsidP="00090548">
      <w:r w:rsidRPr="0033296A">
        <w:t>Ministarstvo financija donijelo je Naputak o isplati sredstava beskamatnog zajma JLPRS uslijed pada prihoda (</w:t>
      </w:r>
      <w:r>
        <w:t>„</w:t>
      </w:r>
      <w:r w:rsidRPr="0033296A">
        <w:t>N</w:t>
      </w:r>
      <w:r>
        <w:t>arodne novine“ broj</w:t>
      </w:r>
      <w:r w:rsidRPr="0033296A">
        <w:t xml:space="preserve"> 130/20). Navedenim Naputkom omogućeno je korištenje sredstava beskamatnog zajma jedinicama koje imaju pad prihoda u 2020. godini u odnosu na 2019. godinu po osnovi poreza i prireza na dohodak, poreza na promet nekretnina, poreza na potrošnju, boravišne pristojbe i komunalne naknade. Gradu Buje – Buie omogućeno je korištenje zajma u iznosu od 300.000,00 kuna s rokom povrata od tri godine od dana isplate sredstava zajma iz državnog proračuna. Sredstva beskamatnog zajma doznačena su 24.12.2020. godine.</w:t>
      </w:r>
      <w:r>
        <w:t xml:space="preserve"> U 2021. godini izvršen je povrat sredstava u iznosu od 200.000,00 kuna te je stanje zajma na dan 31.12.2021. godine 100.000,00 kuna.</w:t>
      </w:r>
    </w:p>
    <w:p w14:paraId="799BBF4C" w14:textId="77777777" w:rsidR="009D7279" w:rsidRDefault="009D7279" w:rsidP="009075FA"/>
    <w:p w14:paraId="6706BB58" w14:textId="72FB985F" w:rsidR="009D7279" w:rsidRDefault="009D7279" w:rsidP="009D7279">
      <w:r>
        <w:t>Preg</w:t>
      </w:r>
      <w:r w:rsidR="00C32947">
        <w:t>l</w:t>
      </w:r>
      <w:r>
        <w:t xml:space="preserve">ed </w:t>
      </w:r>
      <w:r w:rsidR="00090548">
        <w:t>beskamatnih</w:t>
      </w:r>
      <w:r>
        <w:t xml:space="preserve"> zajmova </w:t>
      </w:r>
      <w:r w:rsidR="00090548">
        <w:t xml:space="preserve">iz državnog proračuna </w:t>
      </w:r>
      <w:r>
        <w:t xml:space="preserve">Grada Buja </w:t>
      </w:r>
      <w:r w:rsidR="000873CF">
        <w:t>–</w:t>
      </w:r>
      <w:r>
        <w:t xml:space="preserve"> Buie</w:t>
      </w:r>
    </w:p>
    <w:p w14:paraId="1A727824" w14:textId="39115D0A" w:rsidR="000873CF" w:rsidRDefault="000873CF" w:rsidP="009D7279"/>
    <w:tbl>
      <w:tblPr>
        <w:tblW w:w="9209" w:type="dxa"/>
        <w:tblLook w:val="04A0" w:firstRow="1" w:lastRow="0" w:firstColumn="1" w:lastColumn="0" w:noHBand="0" w:noVBand="1"/>
      </w:tblPr>
      <w:tblGrid>
        <w:gridCol w:w="415"/>
        <w:gridCol w:w="820"/>
        <w:gridCol w:w="1454"/>
        <w:gridCol w:w="850"/>
        <w:gridCol w:w="534"/>
        <w:gridCol w:w="657"/>
        <w:gridCol w:w="736"/>
        <w:gridCol w:w="908"/>
        <w:gridCol w:w="992"/>
        <w:gridCol w:w="851"/>
        <w:gridCol w:w="992"/>
      </w:tblGrid>
      <w:tr w:rsidR="000873CF" w14:paraId="2EFEF6CA" w14:textId="77777777" w:rsidTr="00E363E7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974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red.</w:t>
            </w:r>
            <w:r>
              <w:rPr>
                <w:sz w:val="13"/>
                <w:szCs w:val="13"/>
              </w:rPr>
              <w:br/>
              <w:t>br.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415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vrsta zajma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E07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naziv pravne osobe /</w:t>
            </w:r>
            <w:r>
              <w:rPr>
                <w:sz w:val="13"/>
                <w:szCs w:val="13"/>
              </w:rPr>
              <w:br/>
              <w:t>namjena zajma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AE3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ugovoreni </w:t>
            </w:r>
            <w:r>
              <w:rPr>
                <w:sz w:val="13"/>
                <w:szCs w:val="13"/>
              </w:rPr>
              <w:br/>
              <w:t>iznos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FDC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valuta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A02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kamatna stopa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0ED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rok otplate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18A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stanje zajma 01.01.2021.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2E0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primljeni zajam u tekućoj godini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9C0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otplaćeni zajam u tekućoj godini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470" w14:textId="4574C298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stanje zajma </w:t>
            </w:r>
            <w:r w:rsidR="006F5492">
              <w:rPr>
                <w:sz w:val="13"/>
                <w:szCs w:val="13"/>
              </w:rPr>
              <w:t>31.12.2021.</w:t>
            </w:r>
          </w:p>
        </w:tc>
      </w:tr>
      <w:tr w:rsidR="000873CF" w14:paraId="1ACCFE25" w14:textId="77777777" w:rsidTr="00E363E7">
        <w:trPr>
          <w:trHeight w:val="8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EA8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A26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beskamatni dugoročni zajam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03E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Ministarstvo financija -državni proračun / odgođena ili obročna otplata poreza i prireza na dohodak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62FC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AAE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CF3" w14:textId="77777777" w:rsidR="000873CF" w:rsidRDefault="000873CF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53CB" w14:textId="05777D04" w:rsidR="000873CF" w:rsidRDefault="000873C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7175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224.747,47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5FC2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F8B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5.397,75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7B6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219.349,72    </w:t>
            </w:r>
          </w:p>
        </w:tc>
      </w:tr>
      <w:tr w:rsidR="000873CF" w14:paraId="2AB65E62" w14:textId="77777777" w:rsidTr="00E363E7">
        <w:trPr>
          <w:trHeight w:val="8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0CA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CF0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beskamatni kratkoročni zajam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7B6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Ministarstvo financija -državni proračun / povrat poreza i prireza na dohodak po godišnjim prijavama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79E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4D3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FC3" w14:textId="77777777" w:rsidR="000873CF" w:rsidRDefault="000873CF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CA7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E113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270.000,00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9102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459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270.000,00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660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</w:tr>
      <w:tr w:rsidR="000873CF" w14:paraId="0A63848A" w14:textId="77777777" w:rsidTr="00E363E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92AB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562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beskamatni dugoročni zajam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396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Ministarstvo financija - državni proračun / pad prihoda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A2F3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342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KN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008B" w14:textId="77777777" w:rsidR="000873CF" w:rsidRDefault="000873CF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A6F" w14:textId="77777777" w:rsidR="000873CF" w:rsidRDefault="000873C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1.12.2023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A6B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300.000,00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966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F52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200.000,00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B848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100.000,00    </w:t>
            </w:r>
          </w:p>
        </w:tc>
      </w:tr>
      <w:tr w:rsidR="000873CF" w14:paraId="419A52E8" w14:textId="77777777" w:rsidTr="00E363E7">
        <w:trPr>
          <w:trHeight w:val="39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891" w14:textId="77777777" w:rsidR="000873CF" w:rsidRDefault="000873CF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2A1" w14:textId="77777777" w:rsidR="000873CF" w:rsidRDefault="000873C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6B2" w14:textId="77777777" w:rsidR="000873CF" w:rsidRDefault="000873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0AF2" w14:textId="77777777" w:rsidR="000873CF" w:rsidRDefault="000873CF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F6A" w14:textId="77777777" w:rsidR="000873CF" w:rsidRDefault="000873CF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5C1" w14:textId="77777777" w:rsidR="000873CF" w:rsidRDefault="000873C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B8F" w14:textId="77777777" w:rsidR="000873CF" w:rsidRDefault="000873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ukupno: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3CE6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794.747,47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620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9E8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475.397,75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2C7" w14:textId="77777777" w:rsidR="000873CF" w:rsidRDefault="000873CF" w:rsidP="00E363E7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319.349,72    </w:t>
            </w:r>
          </w:p>
        </w:tc>
      </w:tr>
    </w:tbl>
    <w:p w14:paraId="0BE0E92D" w14:textId="41AD1128" w:rsidR="009075FA" w:rsidRDefault="009075FA" w:rsidP="009075FA"/>
    <w:p w14:paraId="2777FC4F" w14:textId="77777777" w:rsidR="00E363E7" w:rsidRPr="0033296A" w:rsidRDefault="00E363E7" w:rsidP="009075FA"/>
    <w:p w14:paraId="4E5E1E77" w14:textId="77777777" w:rsidR="009075FA" w:rsidRPr="0033296A" w:rsidRDefault="009075FA" w:rsidP="009075FA">
      <w:r w:rsidRPr="0033296A">
        <w:t>Grad Buje – Buie nema potraživanja po osnovi danih zajmova.</w:t>
      </w:r>
    </w:p>
    <w:p w14:paraId="0BC3A123" w14:textId="77777777" w:rsidR="009075FA" w:rsidRPr="0033296A" w:rsidRDefault="009075FA" w:rsidP="009075FA"/>
    <w:p w14:paraId="6B097063" w14:textId="77777777" w:rsidR="009075FA" w:rsidRPr="0033296A" w:rsidRDefault="009075FA" w:rsidP="009075FA">
      <w:r w:rsidRPr="0033296A">
        <w:t xml:space="preserve">Proračunski korisnici Grada Buja – Buie nemaju ugovorenih obveza kao ni potraživanja po osnovi zaduživanja </w:t>
      </w:r>
      <w:r w:rsidR="009D7279">
        <w:t>kao ni po osnovi</w:t>
      </w:r>
      <w:r w:rsidRPr="0033296A">
        <w:t xml:space="preserve"> danih zajmova.</w:t>
      </w:r>
    </w:p>
    <w:p w14:paraId="64297A67" w14:textId="77777777" w:rsidR="009075FA" w:rsidRPr="0033296A" w:rsidRDefault="009075FA" w:rsidP="009075FA"/>
    <w:p w14:paraId="2649A5C0" w14:textId="77777777" w:rsidR="009075FA" w:rsidRDefault="009075FA" w:rsidP="002A5394">
      <w:pPr>
        <w:rPr>
          <w:b/>
          <w:bCs/>
        </w:rPr>
      </w:pPr>
    </w:p>
    <w:p w14:paraId="7268728A" w14:textId="75328F20" w:rsidR="00F34863" w:rsidRPr="00F34863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4" w:name="_Toc100757161"/>
      <w:r>
        <w:rPr>
          <w:rFonts w:ascii="Times New Roman" w:hAnsi="Times New Roman"/>
          <w:sz w:val="24"/>
          <w:szCs w:val="24"/>
        </w:rPr>
        <w:t>IZVJEŠTAJ O KORIŠTENJU PRORAČUNSKE ZALIHE</w:t>
      </w:r>
      <w:bookmarkEnd w:id="24"/>
    </w:p>
    <w:p w14:paraId="2BFF1663" w14:textId="77777777" w:rsidR="00F34863" w:rsidRPr="00E80A17" w:rsidRDefault="00F34863" w:rsidP="00F34863"/>
    <w:p w14:paraId="740AB059" w14:textId="77777777" w:rsidR="00F34863" w:rsidRPr="00E80A17" w:rsidRDefault="00F34863" w:rsidP="00F34863">
      <w:pPr>
        <w:pStyle w:val="Tijeloteksta2"/>
        <w:rPr>
          <w:rFonts w:ascii="Times New Roman" w:hAnsi="Times New Roman" w:cs="Times New Roman"/>
          <w:sz w:val="24"/>
        </w:rPr>
      </w:pPr>
      <w:r w:rsidRPr="00E80A17">
        <w:rPr>
          <w:rFonts w:ascii="Times New Roman" w:hAnsi="Times New Roman" w:cs="Times New Roman"/>
          <w:sz w:val="24"/>
        </w:rPr>
        <w:t>Sukladno članku 56. Zakona o proračunu („Narodne novine“ broj 87/08,</w:t>
      </w:r>
      <w:r w:rsidRPr="00E80A17">
        <w:rPr>
          <w:rFonts w:ascii="Times New Roman" w:hAnsi="Times New Roman" w:cs="Times New Roman"/>
          <w:bCs/>
          <w:sz w:val="24"/>
        </w:rPr>
        <w:t xml:space="preserve"> 136/12 i 15/15</w:t>
      </w:r>
      <w:r w:rsidRPr="00E80A17">
        <w:rPr>
          <w:rFonts w:ascii="Times New Roman" w:hAnsi="Times New Roman" w:cs="Times New Roman"/>
          <w:sz w:val="24"/>
        </w:rPr>
        <w:t>) sredstva proračunske zalihe mogu se koristiti za nepredviđene namjene za koje u proračunu nisu osigurana sredstva ili za namjene za koje se tijekom godine pokaže da za njih nisu utvrđena dostatna sredstva jer ih pri planiranju proračuna nije bilo moguće predvidjeti; za financiranje rashoda nastalih pri otklanjanju posljedica elementarnih nepogoda, epidemija, ekoloških nesreća ili izvanrednih događaja i ostalih nepredvidivih nesreća, te za druge nepredviđene rashode tijekom godine.</w:t>
      </w:r>
    </w:p>
    <w:p w14:paraId="591C451C" w14:textId="77777777" w:rsidR="00F34863" w:rsidRDefault="00F34863" w:rsidP="00F34863">
      <w:pPr>
        <w:pStyle w:val="Tijeloteksta2"/>
        <w:rPr>
          <w:rFonts w:ascii="Times New Roman" w:hAnsi="Times New Roman" w:cs="Times New Roman"/>
          <w:sz w:val="24"/>
        </w:rPr>
      </w:pPr>
      <w:r w:rsidRPr="00E80A17">
        <w:rPr>
          <w:rFonts w:ascii="Times New Roman" w:hAnsi="Times New Roman" w:cs="Times New Roman"/>
          <w:sz w:val="24"/>
        </w:rPr>
        <w:t xml:space="preserve">Planom proračuna i Odlukom o izvršavanju proračuna Grada Buja – Buie </w:t>
      </w:r>
      <w:r w:rsidR="00C32947">
        <w:rPr>
          <w:rFonts w:ascii="Times New Roman" w:hAnsi="Times New Roman" w:cs="Times New Roman"/>
          <w:sz w:val="24"/>
        </w:rPr>
        <w:t xml:space="preserve">za 2021. godinu </w:t>
      </w:r>
      <w:r w:rsidRPr="00E80A17">
        <w:rPr>
          <w:rFonts w:ascii="Times New Roman" w:hAnsi="Times New Roman" w:cs="Times New Roman"/>
          <w:sz w:val="24"/>
        </w:rPr>
        <w:t xml:space="preserve">utvrđena je visina proračunske zalihe kojom raspolaže Gradonačelnik u iznosu od </w:t>
      </w:r>
      <w:r w:rsidR="007C69BB">
        <w:rPr>
          <w:rFonts w:ascii="Times New Roman" w:hAnsi="Times New Roman" w:cs="Times New Roman"/>
          <w:sz w:val="24"/>
        </w:rPr>
        <w:t>100</w:t>
      </w:r>
      <w:r w:rsidRPr="00E80A17">
        <w:rPr>
          <w:rFonts w:ascii="Times New Roman" w:hAnsi="Times New Roman" w:cs="Times New Roman"/>
          <w:sz w:val="24"/>
        </w:rPr>
        <w:t>.000,00 kuna.</w:t>
      </w:r>
      <w:r w:rsidR="007C69BB">
        <w:rPr>
          <w:rFonts w:ascii="Times New Roman" w:hAnsi="Times New Roman" w:cs="Times New Roman"/>
          <w:sz w:val="24"/>
        </w:rPr>
        <w:t xml:space="preserve"> </w:t>
      </w:r>
    </w:p>
    <w:p w14:paraId="2C9429E6" w14:textId="0253DCE9" w:rsidR="007C69BB" w:rsidRPr="00E80A17" w:rsidRDefault="007C69BB" w:rsidP="00F34863">
      <w:pPr>
        <w:pStyle w:val="Tijeloteksta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="008367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021. godin</w:t>
      </w:r>
      <w:r w:rsidR="0083671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nisu korištena sredstva proračunske zalihe.</w:t>
      </w:r>
    </w:p>
    <w:p w14:paraId="4B183784" w14:textId="77777777" w:rsidR="00F34863" w:rsidRPr="00E80A17" w:rsidRDefault="00F34863" w:rsidP="00F34863">
      <w:pPr>
        <w:pStyle w:val="Tijeloteksta2"/>
        <w:rPr>
          <w:rFonts w:ascii="Times New Roman" w:hAnsi="Times New Roman" w:cs="Times New Roman"/>
          <w:sz w:val="24"/>
        </w:rPr>
      </w:pPr>
    </w:p>
    <w:p w14:paraId="307B0789" w14:textId="278467B6" w:rsidR="002A5394" w:rsidRPr="00BB1CB4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5" w:name="_Toc100757162"/>
      <w:r>
        <w:rPr>
          <w:rFonts w:ascii="Times New Roman" w:hAnsi="Times New Roman"/>
          <w:sz w:val="24"/>
          <w:szCs w:val="24"/>
        </w:rPr>
        <w:lastRenderedPageBreak/>
        <w:t>IZVJEŠTAJ O DANIM JAMSTVIMA I IZDACIMA PO JAMSTVIMA</w:t>
      </w:r>
      <w:bookmarkEnd w:id="25"/>
    </w:p>
    <w:p w14:paraId="7ADCE69C" w14:textId="77777777" w:rsidR="002A5394" w:rsidRPr="00E80A17" w:rsidRDefault="002A5394" w:rsidP="002A5394">
      <w:pPr>
        <w:ind w:left="720"/>
        <w:rPr>
          <w:color w:val="FF0000"/>
          <w:sz w:val="20"/>
          <w:szCs w:val="20"/>
          <w:u w:val="single"/>
        </w:rPr>
      </w:pPr>
    </w:p>
    <w:p w14:paraId="0787F8B2" w14:textId="77777777" w:rsidR="002A5394" w:rsidRPr="00E80A17" w:rsidRDefault="002A5394" w:rsidP="002A5394">
      <w:pPr>
        <w:rPr>
          <w:color w:val="FF0000"/>
          <w:sz w:val="20"/>
          <w:szCs w:val="20"/>
        </w:rPr>
      </w:pPr>
    </w:p>
    <w:p w14:paraId="065C6842" w14:textId="230F99B8" w:rsidR="002A5394" w:rsidRPr="00E80A17" w:rsidRDefault="002A5394" w:rsidP="002A5394">
      <w:pPr>
        <w:pStyle w:val="Tijeloteksta2"/>
        <w:rPr>
          <w:rFonts w:ascii="Times New Roman" w:hAnsi="Times New Roman" w:cs="Times New Roman"/>
          <w:sz w:val="24"/>
        </w:rPr>
      </w:pPr>
      <w:r w:rsidRPr="00FF52E3">
        <w:rPr>
          <w:rFonts w:ascii="Times New Roman" w:hAnsi="Times New Roman" w:cs="Times New Roman"/>
          <w:sz w:val="24"/>
        </w:rPr>
        <w:t>U 20</w:t>
      </w:r>
      <w:r w:rsidR="00F34863">
        <w:rPr>
          <w:rFonts w:ascii="Times New Roman" w:hAnsi="Times New Roman" w:cs="Times New Roman"/>
          <w:sz w:val="24"/>
        </w:rPr>
        <w:t>2</w:t>
      </w:r>
      <w:r w:rsidR="007C69BB">
        <w:rPr>
          <w:rFonts w:ascii="Times New Roman" w:hAnsi="Times New Roman" w:cs="Times New Roman"/>
          <w:sz w:val="24"/>
        </w:rPr>
        <w:t>1</w:t>
      </w:r>
      <w:r w:rsidRPr="00FF52E3">
        <w:rPr>
          <w:rFonts w:ascii="Times New Roman" w:hAnsi="Times New Roman" w:cs="Times New Roman"/>
          <w:sz w:val="24"/>
        </w:rPr>
        <w:t>. godin</w:t>
      </w:r>
      <w:r w:rsidR="00E363E7">
        <w:rPr>
          <w:rFonts w:ascii="Times New Roman" w:hAnsi="Times New Roman" w:cs="Times New Roman"/>
          <w:sz w:val="24"/>
        </w:rPr>
        <w:t>i</w:t>
      </w:r>
      <w:r w:rsidRPr="00FF52E3">
        <w:rPr>
          <w:rFonts w:ascii="Times New Roman" w:hAnsi="Times New Roman" w:cs="Times New Roman"/>
          <w:sz w:val="24"/>
        </w:rPr>
        <w:t xml:space="preserve"> Grad Buje – Buie nije dao nova jamstva</w:t>
      </w:r>
      <w:r>
        <w:rPr>
          <w:rFonts w:ascii="Times New Roman" w:hAnsi="Times New Roman" w:cs="Times New Roman"/>
          <w:sz w:val="24"/>
        </w:rPr>
        <w:t xml:space="preserve"> pravnim osobama u vlasništvu ili ustanovama čiji je osnivač</w:t>
      </w:r>
      <w:r w:rsidRPr="00FF52E3">
        <w:rPr>
          <w:rFonts w:ascii="Times New Roman" w:hAnsi="Times New Roman" w:cs="Times New Roman"/>
          <w:sz w:val="24"/>
        </w:rPr>
        <w:t>, niti ima aktivnih jamstava iz ranijih razdoblja. U skladu s time</w:t>
      </w:r>
      <w:r>
        <w:rPr>
          <w:rFonts w:ascii="Times New Roman" w:hAnsi="Times New Roman" w:cs="Times New Roman"/>
          <w:sz w:val="24"/>
        </w:rPr>
        <w:t>,</w:t>
      </w:r>
      <w:r w:rsidRPr="00FF52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izvještajnom razdoblju </w:t>
      </w:r>
      <w:r w:rsidRPr="00FF52E3">
        <w:rPr>
          <w:rFonts w:ascii="Times New Roman" w:hAnsi="Times New Roman" w:cs="Times New Roman"/>
          <w:sz w:val="24"/>
        </w:rPr>
        <w:t>nije bilo ni protestiranih jamstava.</w:t>
      </w:r>
    </w:p>
    <w:p w14:paraId="22186A2B" w14:textId="77777777" w:rsidR="002A5394" w:rsidRPr="00E80A17" w:rsidRDefault="002A5394" w:rsidP="002A5394">
      <w:pPr>
        <w:pStyle w:val="Tijeloteksta2"/>
        <w:rPr>
          <w:rFonts w:ascii="Times New Roman" w:hAnsi="Times New Roman" w:cs="Times New Roman"/>
          <w:szCs w:val="20"/>
        </w:rPr>
      </w:pPr>
    </w:p>
    <w:p w14:paraId="1DADC452" w14:textId="77777777" w:rsidR="002A5394" w:rsidRPr="00E80A17" w:rsidRDefault="002A5394" w:rsidP="002A5394">
      <w:pPr>
        <w:pStyle w:val="Tijeloteksta2"/>
        <w:rPr>
          <w:rFonts w:ascii="Times New Roman" w:hAnsi="Times New Roman" w:cs="Times New Roman"/>
          <w:sz w:val="24"/>
        </w:rPr>
      </w:pPr>
      <w:r w:rsidRPr="00E80A17">
        <w:rPr>
          <w:rFonts w:ascii="Times New Roman" w:hAnsi="Times New Roman" w:cs="Times New Roman"/>
          <w:sz w:val="24"/>
        </w:rPr>
        <w:t xml:space="preserve">Gradsko vijeće Grada Buja – Buie donijelo je Zaključak o davanju suglasnosti za zaduženje </w:t>
      </w:r>
      <w:r>
        <w:rPr>
          <w:rFonts w:ascii="Times New Roman" w:hAnsi="Times New Roman" w:cs="Times New Roman"/>
          <w:sz w:val="24"/>
        </w:rPr>
        <w:t xml:space="preserve">(bez davanja jamstva za ispunjenje obveza) </w:t>
      </w:r>
      <w:r w:rsidRPr="00E80A17">
        <w:rPr>
          <w:rFonts w:ascii="Times New Roman" w:hAnsi="Times New Roman" w:cs="Times New Roman"/>
          <w:sz w:val="24"/>
        </w:rPr>
        <w:t xml:space="preserve">trgovačkom društvu </w:t>
      </w:r>
      <w:proofErr w:type="spellStart"/>
      <w:r w:rsidRPr="00E80A17">
        <w:rPr>
          <w:rFonts w:ascii="Times New Roman" w:hAnsi="Times New Roman" w:cs="Times New Roman"/>
          <w:sz w:val="24"/>
        </w:rPr>
        <w:t>Civitas</w:t>
      </w:r>
      <w:proofErr w:type="spellEnd"/>
      <w:r w:rsidRPr="00E8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0A17">
        <w:rPr>
          <w:rFonts w:ascii="Times New Roman" w:hAnsi="Times New Roman" w:cs="Times New Roman"/>
          <w:sz w:val="24"/>
        </w:rPr>
        <w:t>Bulleraum</w:t>
      </w:r>
      <w:proofErr w:type="spellEnd"/>
      <w:r w:rsidRPr="00E80A17">
        <w:rPr>
          <w:rFonts w:ascii="Times New Roman" w:hAnsi="Times New Roman" w:cs="Times New Roman"/>
          <w:sz w:val="24"/>
        </w:rPr>
        <w:t xml:space="preserve"> d.o.o. za kupnju opreme za rad, odnosno nabavu priključnog stroja – </w:t>
      </w:r>
      <w:proofErr w:type="spellStart"/>
      <w:r w:rsidRPr="00E80A17">
        <w:rPr>
          <w:rFonts w:ascii="Times New Roman" w:hAnsi="Times New Roman" w:cs="Times New Roman"/>
          <w:sz w:val="24"/>
        </w:rPr>
        <w:t>malčera</w:t>
      </w:r>
      <w:proofErr w:type="spellEnd"/>
      <w:r w:rsidRPr="00E80A17">
        <w:rPr>
          <w:rFonts w:ascii="Times New Roman" w:hAnsi="Times New Roman" w:cs="Times New Roman"/>
          <w:sz w:val="24"/>
        </w:rPr>
        <w:t xml:space="preserve"> (klasa: 403-01/19-01/02, </w:t>
      </w:r>
      <w:proofErr w:type="spellStart"/>
      <w:r w:rsidRPr="00E80A17">
        <w:rPr>
          <w:rFonts w:ascii="Times New Roman" w:hAnsi="Times New Roman" w:cs="Times New Roman"/>
          <w:sz w:val="24"/>
        </w:rPr>
        <w:t>ur.broj</w:t>
      </w:r>
      <w:proofErr w:type="spellEnd"/>
      <w:r w:rsidRPr="00E80A17">
        <w:rPr>
          <w:rFonts w:ascii="Times New Roman" w:hAnsi="Times New Roman" w:cs="Times New Roman"/>
          <w:sz w:val="24"/>
        </w:rPr>
        <w:t>: 2105/01-02-19-2 od 30. svibnja 2019. godine). Po navedenoj Suglasnosti za zaduženje</w:t>
      </w:r>
      <w:r w:rsidR="00C32947">
        <w:rPr>
          <w:rFonts w:ascii="Times New Roman" w:hAnsi="Times New Roman" w:cs="Times New Roman"/>
          <w:sz w:val="24"/>
        </w:rPr>
        <w:t>,</w:t>
      </w:r>
      <w:r w:rsidRPr="00E80A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trgovačko društvo </w:t>
      </w:r>
      <w:proofErr w:type="spellStart"/>
      <w:r>
        <w:rPr>
          <w:rFonts w:ascii="Times New Roman" w:hAnsi="Times New Roman" w:cs="Times New Roman"/>
          <w:sz w:val="24"/>
        </w:rPr>
        <w:t>Civitas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Bullearum</w:t>
      </w:r>
      <w:proofErr w:type="spellEnd"/>
      <w:r>
        <w:rPr>
          <w:rFonts w:ascii="Times New Roman" w:hAnsi="Times New Roman" w:cs="Times New Roman"/>
          <w:sz w:val="24"/>
        </w:rPr>
        <w:t xml:space="preserve"> d.o.o. je sklopilo Ugovor o kreditu s Istarskom kreditnom bankom Umag d.d. (broj 900500277-0) na iznos od 195.000,00 kuna, uz kamatnu stopu od 1,40% i rokom otplate od tri godine u tromjesečnim anuitetima.</w:t>
      </w:r>
    </w:p>
    <w:p w14:paraId="2E514951" w14:textId="77777777" w:rsidR="002A5394" w:rsidRDefault="002A5394" w:rsidP="002A5394">
      <w:pPr>
        <w:pStyle w:val="Tijeloteksta2"/>
        <w:rPr>
          <w:rFonts w:ascii="Times New Roman" w:hAnsi="Times New Roman" w:cs="Times New Roman"/>
          <w:sz w:val="24"/>
        </w:rPr>
      </w:pPr>
    </w:p>
    <w:p w14:paraId="7F7685DC" w14:textId="77777777" w:rsidR="00C32947" w:rsidRPr="00E80A17" w:rsidRDefault="00C32947" w:rsidP="002A5394">
      <w:pPr>
        <w:pStyle w:val="Tijeloteksta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Pregled danih suglasnosti za zaduženje</w:t>
      </w:r>
    </w:p>
    <w:tbl>
      <w:tblPr>
        <w:tblpPr w:leftFromText="180" w:rightFromText="180" w:vertAnchor="text" w:horzAnchor="page" w:tblpX="1022" w:tblpY="144"/>
        <w:tblW w:w="10123" w:type="dxa"/>
        <w:tblLook w:val="04A0" w:firstRow="1" w:lastRow="0" w:firstColumn="1" w:lastColumn="0" w:noHBand="0" w:noVBand="1"/>
      </w:tblPr>
      <w:tblGrid>
        <w:gridCol w:w="1167"/>
        <w:gridCol w:w="1780"/>
        <w:gridCol w:w="1480"/>
        <w:gridCol w:w="1480"/>
        <w:gridCol w:w="1216"/>
        <w:gridCol w:w="960"/>
        <w:gridCol w:w="1117"/>
        <w:gridCol w:w="992"/>
      </w:tblGrid>
      <w:tr w:rsidR="002A5394" w:rsidRPr="00E80A17" w14:paraId="2F40F695" w14:textId="77777777" w:rsidTr="002A5394">
        <w:trPr>
          <w:trHeight w:val="72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362C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 xml:space="preserve">datum </w:t>
            </w:r>
            <w:r w:rsidRPr="00E80A17">
              <w:rPr>
                <w:sz w:val="20"/>
                <w:szCs w:val="20"/>
              </w:rPr>
              <w:br/>
              <w:t>suglasnosti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32B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korisnik suglasnosti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068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namjena kredita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535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davatelj kredita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E605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 xml:space="preserve">datum realizacije </w:t>
            </w:r>
            <w:r w:rsidRPr="00E80A17">
              <w:rPr>
                <w:sz w:val="20"/>
                <w:szCs w:val="20"/>
              </w:rPr>
              <w:br/>
              <w:t>kredita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539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rok otplate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24C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iznos u KN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5FD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kamatna stopa</w:t>
            </w:r>
          </w:p>
        </w:tc>
      </w:tr>
      <w:tr w:rsidR="002A5394" w:rsidRPr="00E80A17" w14:paraId="43381F93" w14:textId="77777777" w:rsidTr="002A5394">
        <w:trPr>
          <w:trHeight w:val="96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CA4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30.05.2019.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599A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proofErr w:type="spellStart"/>
            <w:r w:rsidRPr="00E80A17">
              <w:rPr>
                <w:sz w:val="20"/>
                <w:szCs w:val="20"/>
              </w:rPr>
              <w:t>Civitas</w:t>
            </w:r>
            <w:proofErr w:type="spellEnd"/>
            <w:r w:rsidRPr="00E80A17">
              <w:rPr>
                <w:sz w:val="20"/>
                <w:szCs w:val="20"/>
              </w:rPr>
              <w:t xml:space="preserve"> </w:t>
            </w:r>
            <w:proofErr w:type="spellStart"/>
            <w:r w:rsidRPr="00E80A17">
              <w:rPr>
                <w:sz w:val="20"/>
                <w:szCs w:val="20"/>
              </w:rPr>
              <w:t>Bullearum</w:t>
            </w:r>
            <w:proofErr w:type="spellEnd"/>
            <w:r w:rsidRPr="00E80A17">
              <w:rPr>
                <w:sz w:val="20"/>
                <w:szCs w:val="20"/>
              </w:rPr>
              <w:t xml:space="preserve"> d.o.o. Buje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439D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 xml:space="preserve">nabava priključnog stroja za traktor - </w:t>
            </w:r>
            <w:proofErr w:type="spellStart"/>
            <w:r w:rsidRPr="00E80A17">
              <w:rPr>
                <w:sz w:val="20"/>
                <w:szCs w:val="20"/>
              </w:rPr>
              <w:t>malčera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8944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Istarska kreditna banka Umag d.d.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EE7D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30.08.2019.</w:t>
            </w:r>
            <w:r w:rsidRPr="00E80A1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03C2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3 godine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4DB" w14:textId="77777777" w:rsidR="002A5394" w:rsidRPr="00E80A17" w:rsidRDefault="002A5394" w:rsidP="002A5394">
            <w:pPr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 xml:space="preserve">     195.000,00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450E" w14:textId="77777777" w:rsidR="002A5394" w:rsidRPr="00E80A17" w:rsidRDefault="002A5394" w:rsidP="002A5394">
            <w:pPr>
              <w:jc w:val="center"/>
              <w:rPr>
                <w:sz w:val="20"/>
                <w:szCs w:val="20"/>
              </w:rPr>
            </w:pPr>
            <w:r w:rsidRPr="00E80A17">
              <w:rPr>
                <w:sz w:val="20"/>
                <w:szCs w:val="20"/>
              </w:rPr>
              <w:t>1,4% godišnja, fiksna</w:t>
            </w:r>
          </w:p>
        </w:tc>
      </w:tr>
    </w:tbl>
    <w:p w14:paraId="5B201D0C" w14:textId="77777777" w:rsidR="00C3600E" w:rsidRDefault="00C3600E" w:rsidP="00326DC5">
      <w:pPr>
        <w:pStyle w:val="Tijeloteksta2"/>
        <w:rPr>
          <w:rFonts w:ascii="Times New Roman" w:hAnsi="Times New Roman" w:cs="Times New Roman"/>
          <w:sz w:val="24"/>
        </w:rPr>
      </w:pPr>
    </w:p>
    <w:p w14:paraId="7A073C9B" w14:textId="77777777" w:rsidR="00C32947" w:rsidRDefault="00C32947" w:rsidP="00326DC5">
      <w:pPr>
        <w:pStyle w:val="Tijeloteksta2"/>
        <w:rPr>
          <w:rFonts w:ascii="Times New Roman" w:hAnsi="Times New Roman" w:cs="Times New Roman"/>
          <w:sz w:val="24"/>
        </w:rPr>
      </w:pPr>
    </w:p>
    <w:p w14:paraId="02AD120E" w14:textId="4A9725A0" w:rsidR="00621C13" w:rsidRDefault="00621C13" w:rsidP="00326DC5">
      <w:pPr>
        <w:pStyle w:val="Tijeloteksta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Bullearum</w:t>
      </w:r>
      <w:proofErr w:type="spellEnd"/>
      <w:r>
        <w:rPr>
          <w:rFonts w:ascii="Times New Roman" w:hAnsi="Times New Roman" w:cs="Times New Roman"/>
          <w:sz w:val="24"/>
        </w:rPr>
        <w:t xml:space="preserve"> d.o.o. redovito otplaćuje </w:t>
      </w:r>
      <w:r w:rsidR="00C32947">
        <w:rPr>
          <w:rFonts w:ascii="Times New Roman" w:hAnsi="Times New Roman" w:cs="Times New Roman"/>
          <w:sz w:val="24"/>
        </w:rPr>
        <w:t xml:space="preserve">ugovorene </w:t>
      </w:r>
      <w:r>
        <w:rPr>
          <w:rFonts w:ascii="Times New Roman" w:hAnsi="Times New Roman" w:cs="Times New Roman"/>
          <w:sz w:val="24"/>
        </w:rPr>
        <w:t>anuitete. Stanje nedospjele glavnice na dan 01.01.202</w:t>
      </w:r>
      <w:r w:rsidR="00DF53A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godine iznosilo je </w:t>
      </w:r>
      <w:r w:rsidR="00DF53AC">
        <w:rPr>
          <w:rFonts w:ascii="Times New Roman" w:hAnsi="Times New Roman" w:cs="Times New Roman"/>
          <w:sz w:val="24"/>
        </w:rPr>
        <w:t>113.749,95</w:t>
      </w:r>
      <w:r>
        <w:rPr>
          <w:rFonts w:ascii="Times New Roman" w:hAnsi="Times New Roman" w:cs="Times New Roman"/>
          <w:sz w:val="24"/>
        </w:rPr>
        <w:t xml:space="preserve"> kuna, a na dan </w:t>
      </w:r>
      <w:r w:rsidR="00E363E7">
        <w:rPr>
          <w:rFonts w:ascii="Times New Roman" w:hAnsi="Times New Roman" w:cs="Times New Roman"/>
          <w:sz w:val="24"/>
        </w:rPr>
        <w:t>31.12.2</w:t>
      </w:r>
      <w:r>
        <w:rPr>
          <w:rFonts w:ascii="Times New Roman" w:hAnsi="Times New Roman" w:cs="Times New Roman"/>
          <w:sz w:val="24"/>
        </w:rPr>
        <w:t>02</w:t>
      </w:r>
      <w:r w:rsidR="00DF53A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iznosi </w:t>
      </w:r>
      <w:r w:rsidR="00004131">
        <w:rPr>
          <w:rFonts w:ascii="Times New Roman" w:hAnsi="Times New Roman" w:cs="Times New Roman"/>
          <w:sz w:val="24"/>
        </w:rPr>
        <w:t xml:space="preserve">43.333,24 </w:t>
      </w:r>
      <w:r>
        <w:rPr>
          <w:rFonts w:ascii="Times New Roman" w:hAnsi="Times New Roman" w:cs="Times New Roman"/>
          <w:sz w:val="24"/>
        </w:rPr>
        <w:t>kuna.</w:t>
      </w:r>
    </w:p>
    <w:p w14:paraId="449A4D6C" w14:textId="77777777" w:rsidR="00621C13" w:rsidRPr="00E80A17" w:rsidRDefault="00621C13" w:rsidP="00326DC5">
      <w:pPr>
        <w:pStyle w:val="Tijeloteksta2"/>
        <w:rPr>
          <w:rFonts w:ascii="Times New Roman" w:hAnsi="Times New Roman" w:cs="Times New Roman"/>
          <w:sz w:val="24"/>
        </w:rPr>
      </w:pPr>
    </w:p>
    <w:p w14:paraId="7CCC7446" w14:textId="2BDB8E60" w:rsidR="005712E4" w:rsidRPr="00F22C87" w:rsidRDefault="007C2D97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26" w:name="_Toc100757163"/>
      <w:r w:rsidRPr="00F22C87">
        <w:rPr>
          <w:rFonts w:ascii="Times New Roman" w:hAnsi="Times New Roman"/>
          <w:sz w:val="24"/>
          <w:szCs w:val="24"/>
        </w:rPr>
        <w:t>OBRAZLOŽENJE PRIHODA I PRIMITAKA, RASHODA I IZDATAKA PRORAČUNA GRADA BUJA – BUIE U 2021. GODINI</w:t>
      </w:r>
      <w:bookmarkEnd w:id="26"/>
    </w:p>
    <w:p w14:paraId="4A95AC1F" w14:textId="77777777" w:rsidR="005712E4" w:rsidRPr="00E80A17" w:rsidRDefault="005712E4" w:rsidP="005712E4">
      <w:pPr>
        <w:rPr>
          <w:b/>
          <w:sz w:val="22"/>
          <w:szCs w:val="22"/>
        </w:rPr>
      </w:pPr>
    </w:p>
    <w:p w14:paraId="6AF9037E" w14:textId="089EF060" w:rsidR="005712E4" w:rsidRPr="00E80A17" w:rsidRDefault="005712E4" w:rsidP="005712E4">
      <w:pPr>
        <w:rPr>
          <w:bCs/>
        </w:rPr>
      </w:pPr>
      <w:r w:rsidRPr="00E80A17">
        <w:rPr>
          <w:bCs/>
        </w:rPr>
        <w:t>U 20</w:t>
      </w:r>
      <w:r w:rsidR="004D092B">
        <w:rPr>
          <w:bCs/>
        </w:rPr>
        <w:t>2</w:t>
      </w:r>
      <w:r w:rsidR="00191079">
        <w:rPr>
          <w:bCs/>
        </w:rPr>
        <w:t>1</w:t>
      </w:r>
      <w:r w:rsidRPr="00E80A17">
        <w:rPr>
          <w:bCs/>
        </w:rPr>
        <w:t>. godin</w:t>
      </w:r>
      <w:r w:rsidR="006541F9">
        <w:rPr>
          <w:bCs/>
        </w:rPr>
        <w:t>i</w:t>
      </w:r>
      <w:r w:rsidRPr="00E80A17">
        <w:rPr>
          <w:bCs/>
        </w:rPr>
        <w:t xml:space="preserve"> Grad Buje </w:t>
      </w:r>
      <w:r w:rsidR="00A35A41" w:rsidRPr="00E80A17">
        <w:rPr>
          <w:bCs/>
        </w:rPr>
        <w:t>– Buie</w:t>
      </w:r>
      <w:r w:rsidR="00B8365F" w:rsidRPr="00E80A17">
        <w:rPr>
          <w:bCs/>
        </w:rPr>
        <w:t xml:space="preserve"> je</w:t>
      </w:r>
      <w:r w:rsidR="00A35A41" w:rsidRPr="00E80A17">
        <w:rPr>
          <w:bCs/>
        </w:rPr>
        <w:t xml:space="preserve"> </w:t>
      </w:r>
      <w:r w:rsidR="009D7E5E" w:rsidRPr="00E80A17">
        <w:rPr>
          <w:bCs/>
        </w:rPr>
        <w:t xml:space="preserve">s proračunskim korisnicima </w:t>
      </w:r>
      <w:r w:rsidRPr="00E80A17">
        <w:rPr>
          <w:bCs/>
        </w:rPr>
        <w:t xml:space="preserve">ostvario </w:t>
      </w:r>
      <w:r w:rsidRPr="00E80A17">
        <w:rPr>
          <w:b/>
          <w:bCs/>
        </w:rPr>
        <w:t>ukupne prihode i</w:t>
      </w:r>
      <w:r w:rsidRPr="00E80A17">
        <w:rPr>
          <w:bCs/>
        </w:rPr>
        <w:t xml:space="preserve"> </w:t>
      </w:r>
      <w:r w:rsidRPr="00E80A17">
        <w:rPr>
          <w:b/>
          <w:bCs/>
        </w:rPr>
        <w:t>primitke</w:t>
      </w:r>
      <w:r w:rsidRPr="00E80A17">
        <w:rPr>
          <w:bCs/>
        </w:rPr>
        <w:t xml:space="preserve"> u iznosu od </w:t>
      </w:r>
      <w:r w:rsidR="006541F9">
        <w:rPr>
          <w:b/>
          <w:bCs/>
        </w:rPr>
        <w:t>39.269.530,25</w:t>
      </w:r>
      <w:r w:rsidR="00A35A41" w:rsidRPr="00E80A17">
        <w:rPr>
          <w:b/>
          <w:bCs/>
        </w:rPr>
        <w:t xml:space="preserve"> </w:t>
      </w:r>
      <w:r w:rsidRPr="00E80A17">
        <w:rPr>
          <w:b/>
          <w:bCs/>
        </w:rPr>
        <w:t>kuna</w:t>
      </w:r>
      <w:r w:rsidR="00D72F3C" w:rsidRPr="00E80A17">
        <w:rPr>
          <w:bCs/>
        </w:rPr>
        <w:t xml:space="preserve"> odnosno </w:t>
      </w:r>
      <w:r w:rsidR="006541F9">
        <w:rPr>
          <w:bCs/>
        </w:rPr>
        <w:t>96,75</w:t>
      </w:r>
      <w:r w:rsidRPr="00E80A17">
        <w:rPr>
          <w:bCs/>
        </w:rPr>
        <w:t>% od plana.</w:t>
      </w:r>
    </w:p>
    <w:p w14:paraId="6E07D7A1" w14:textId="5590A1F4" w:rsidR="005712E4" w:rsidRPr="00E80A17" w:rsidRDefault="005712E4" w:rsidP="005712E4">
      <w:pPr>
        <w:rPr>
          <w:bCs/>
        </w:rPr>
      </w:pPr>
      <w:r w:rsidRPr="00E80A17">
        <w:rPr>
          <w:b/>
          <w:bCs/>
        </w:rPr>
        <w:t>Ukupni rashodi i izdaci</w:t>
      </w:r>
      <w:r w:rsidRPr="00E80A17">
        <w:rPr>
          <w:bCs/>
        </w:rPr>
        <w:t xml:space="preserve"> ostvareni su u iznosu od </w:t>
      </w:r>
      <w:r w:rsidR="006541F9">
        <w:rPr>
          <w:b/>
          <w:bCs/>
        </w:rPr>
        <w:t>38.101.442,40</w:t>
      </w:r>
      <w:r w:rsidRPr="00E80A17">
        <w:rPr>
          <w:b/>
          <w:bCs/>
        </w:rPr>
        <w:t xml:space="preserve"> kuna</w:t>
      </w:r>
      <w:r w:rsidRPr="00E80A17">
        <w:rPr>
          <w:bCs/>
        </w:rPr>
        <w:t xml:space="preserve"> odnosno </w:t>
      </w:r>
      <w:r w:rsidR="006541F9">
        <w:rPr>
          <w:bCs/>
        </w:rPr>
        <w:t>93,52</w:t>
      </w:r>
      <w:r w:rsidRPr="00E80A17">
        <w:rPr>
          <w:bCs/>
        </w:rPr>
        <w:t>% od plana.</w:t>
      </w:r>
    </w:p>
    <w:p w14:paraId="3DE83A31" w14:textId="77777777" w:rsidR="005712E4" w:rsidRPr="00E80A17" w:rsidRDefault="005712E4" w:rsidP="005712E4">
      <w:pPr>
        <w:ind w:left="180" w:right="70"/>
      </w:pPr>
    </w:p>
    <w:p w14:paraId="110D49A3" w14:textId="11AF9115" w:rsidR="005712E4" w:rsidRPr="00E80A17" w:rsidRDefault="005712E4" w:rsidP="005712E4">
      <w:pPr>
        <w:ind w:right="70"/>
      </w:pPr>
      <w:r w:rsidRPr="00E80A17">
        <w:t xml:space="preserve">Iz navedenog proizlazi da je </w:t>
      </w:r>
      <w:r w:rsidRPr="00E80A17">
        <w:rPr>
          <w:b/>
        </w:rPr>
        <w:t xml:space="preserve">ostvaren sveukupni </w:t>
      </w:r>
      <w:r w:rsidR="00191079">
        <w:rPr>
          <w:b/>
        </w:rPr>
        <w:t>viša</w:t>
      </w:r>
      <w:r w:rsidR="00E77AA8">
        <w:rPr>
          <w:b/>
        </w:rPr>
        <w:t>k</w:t>
      </w:r>
      <w:r w:rsidRPr="00E80A17">
        <w:rPr>
          <w:b/>
        </w:rPr>
        <w:t xml:space="preserve"> prihoda i primitaka tekućeg razdoblja </w:t>
      </w:r>
      <w:r w:rsidRPr="00E80A17">
        <w:t xml:space="preserve">u iznosu od </w:t>
      </w:r>
      <w:r w:rsidR="006541F9">
        <w:rPr>
          <w:b/>
        </w:rPr>
        <w:t>1.168.087,85</w:t>
      </w:r>
      <w:r w:rsidRPr="00E80A17">
        <w:rPr>
          <w:b/>
        </w:rPr>
        <w:t xml:space="preserve"> kuna.</w:t>
      </w:r>
      <w:r w:rsidRPr="00E80A17">
        <w:t xml:space="preserve"> </w:t>
      </w:r>
    </w:p>
    <w:p w14:paraId="45CEB1E7" w14:textId="77777777" w:rsidR="005712E4" w:rsidRPr="00E80A17" w:rsidRDefault="005712E4" w:rsidP="005712E4">
      <w:pPr>
        <w:ind w:right="70"/>
      </w:pPr>
    </w:p>
    <w:p w14:paraId="258BD3E5" w14:textId="29B3B8E3" w:rsidR="005712E4" w:rsidRPr="00E80A17" w:rsidRDefault="005712E4" w:rsidP="005712E4">
      <w:pPr>
        <w:ind w:right="70"/>
      </w:pPr>
      <w:r w:rsidRPr="00E80A17">
        <w:t>Grad Buje (</w:t>
      </w:r>
      <w:r w:rsidR="009B5209">
        <w:t>višak</w:t>
      </w:r>
      <w:r w:rsidRPr="00E80A17">
        <w:t xml:space="preserve">)   </w:t>
      </w:r>
      <w:r w:rsidR="00FF4D6E" w:rsidRPr="00E80A17">
        <w:t xml:space="preserve">                             </w:t>
      </w:r>
      <w:r w:rsidR="00D72F3C" w:rsidRPr="00E80A17">
        <w:t xml:space="preserve"> </w:t>
      </w:r>
      <w:r w:rsidR="00B8365F" w:rsidRPr="00E80A17">
        <w:t xml:space="preserve">    </w:t>
      </w:r>
      <w:r w:rsidR="002E79F7" w:rsidRPr="00E80A17">
        <w:t xml:space="preserve">  </w:t>
      </w:r>
      <w:r w:rsidR="00B8365F" w:rsidRPr="00E80A17">
        <w:t xml:space="preserve">   </w:t>
      </w:r>
      <w:r w:rsidR="009B5209">
        <w:t xml:space="preserve">     </w:t>
      </w:r>
      <w:r w:rsidR="00D72F3C" w:rsidRPr="00E80A17">
        <w:t xml:space="preserve"> </w:t>
      </w:r>
      <w:r w:rsidR="005321D0">
        <w:t>1.206.383,46</w:t>
      </w:r>
    </w:p>
    <w:p w14:paraId="004CBE07" w14:textId="374D2ABD" w:rsidR="005712E4" w:rsidRPr="00E80A17" w:rsidRDefault="005712E4" w:rsidP="005712E4">
      <w:pPr>
        <w:ind w:right="70"/>
      </w:pPr>
      <w:r w:rsidRPr="00E80A17">
        <w:t>Dječji vrtić Buje (</w:t>
      </w:r>
      <w:r w:rsidR="009B5209">
        <w:t>viša</w:t>
      </w:r>
      <w:r w:rsidR="004543EB" w:rsidRPr="00E80A17">
        <w:t>k</w:t>
      </w:r>
      <w:r w:rsidRPr="00E80A17">
        <w:t>)</w:t>
      </w:r>
      <w:r w:rsidR="004543EB" w:rsidRPr="00E80A17">
        <w:t xml:space="preserve">     </w:t>
      </w:r>
      <w:r w:rsidRPr="00E80A17">
        <w:t xml:space="preserve">                     </w:t>
      </w:r>
      <w:r w:rsidR="00FF4D6E" w:rsidRPr="00E80A17">
        <w:t xml:space="preserve">    </w:t>
      </w:r>
      <w:r w:rsidR="00CC15C6" w:rsidRPr="00E80A17">
        <w:t xml:space="preserve">      </w:t>
      </w:r>
      <w:r w:rsidR="004543EB" w:rsidRPr="00E80A17">
        <w:t xml:space="preserve"> </w:t>
      </w:r>
      <w:r w:rsidR="009B5209">
        <w:t xml:space="preserve">      </w:t>
      </w:r>
      <w:r w:rsidR="005321D0">
        <w:t>47.856,20</w:t>
      </w:r>
    </w:p>
    <w:p w14:paraId="1B22D11C" w14:textId="7B97376C" w:rsidR="005712E4" w:rsidRPr="00E80A17" w:rsidRDefault="005712E4" w:rsidP="005712E4">
      <w:pPr>
        <w:ind w:right="70"/>
      </w:pPr>
      <w:r w:rsidRPr="00E80A17">
        <w:t>Talijanski dječji vrtić</w:t>
      </w:r>
      <w:r w:rsidR="00CC15C6" w:rsidRPr="00E80A17">
        <w:t xml:space="preserve"> Mrvica </w:t>
      </w:r>
      <w:r w:rsidR="004543EB" w:rsidRPr="00E80A17">
        <w:t>(</w:t>
      </w:r>
      <w:r w:rsidR="00BB6070">
        <w:t>manja</w:t>
      </w:r>
      <w:r w:rsidR="004543EB" w:rsidRPr="00E80A17">
        <w:t>k</w:t>
      </w:r>
      <w:r w:rsidR="00CC15C6" w:rsidRPr="00E80A17">
        <w:t xml:space="preserve">)        </w:t>
      </w:r>
      <w:r w:rsidR="00D72F3C" w:rsidRPr="00E80A17">
        <w:t xml:space="preserve">   </w:t>
      </w:r>
      <w:r w:rsidR="00B8365F" w:rsidRPr="00E80A17">
        <w:t xml:space="preserve"> </w:t>
      </w:r>
      <w:r w:rsidR="004543EB" w:rsidRPr="00E80A17">
        <w:t xml:space="preserve">   </w:t>
      </w:r>
      <w:r w:rsidR="002E79F7" w:rsidRPr="00E80A17">
        <w:t xml:space="preserve">  </w:t>
      </w:r>
      <w:r w:rsidR="004543EB" w:rsidRPr="00E80A17">
        <w:t xml:space="preserve"> </w:t>
      </w:r>
      <w:r w:rsidR="00BB6070">
        <w:t>-</w:t>
      </w:r>
      <w:r w:rsidR="005321D0">
        <w:t>12.219,49</w:t>
      </w:r>
    </w:p>
    <w:p w14:paraId="21BCEC5A" w14:textId="0C4AD5D9" w:rsidR="005712E4" w:rsidRPr="00E80A17" w:rsidRDefault="005712E4" w:rsidP="005712E4">
      <w:pPr>
        <w:ind w:right="70"/>
        <w:rPr>
          <w:u w:val="single"/>
        </w:rPr>
      </w:pPr>
      <w:r w:rsidRPr="00E80A17">
        <w:rPr>
          <w:u w:val="single"/>
        </w:rPr>
        <w:t>Pučko otvoreno učilište Buje  (</w:t>
      </w:r>
      <w:r w:rsidR="005321D0">
        <w:rPr>
          <w:u w:val="single"/>
        </w:rPr>
        <w:t>manjak</w:t>
      </w:r>
      <w:r w:rsidR="00B8365F" w:rsidRPr="00E80A17">
        <w:rPr>
          <w:u w:val="single"/>
        </w:rPr>
        <w:t xml:space="preserve">)     </w:t>
      </w:r>
      <w:r w:rsidR="002E79F7" w:rsidRPr="00E80A17">
        <w:rPr>
          <w:u w:val="single"/>
        </w:rPr>
        <w:t xml:space="preserve">      </w:t>
      </w:r>
      <w:r w:rsidR="00B8365F" w:rsidRPr="00E80A17">
        <w:rPr>
          <w:u w:val="single"/>
        </w:rPr>
        <w:t xml:space="preserve">  </w:t>
      </w:r>
      <w:r w:rsidR="00BB6070">
        <w:rPr>
          <w:u w:val="single"/>
        </w:rPr>
        <w:t xml:space="preserve">    </w:t>
      </w:r>
      <w:r w:rsidR="005321D0">
        <w:rPr>
          <w:u w:val="single"/>
        </w:rPr>
        <w:t>-73.932,32</w:t>
      </w:r>
      <w:r w:rsidR="00BB6070">
        <w:rPr>
          <w:u w:val="single"/>
        </w:rPr>
        <w:t xml:space="preserve"> </w:t>
      </w:r>
    </w:p>
    <w:p w14:paraId="67C3FE00" w14:textId="2C21EEBB" w:rsidR="005712E4" w:rsidRPr="00E80A17" w:rsidRDefault="005712E4" w:rsidP="005712E4">
      <w:pPr>
        <w:ind w:right="70"/>
      </w:pPr>
      <w:r w:rsidRPr="00E80A17">
        <w:t>sveukupn</w:t>
      </w:r>
      <w:r w:rsidR="00D72F3C" w:rsidRPr="00E80A17">
        <w:t>o</w:t>
      </w:r>
      <w:r w:rsidRPr="00E80A17">
        <w:t xml:space="preserve"> </w:t>
      </w:r>
      <w:r w:rsidR="00D72F3C" w:rsidRPr="00E80A17">
        <w:t>(</w:t>
      </w:r>
      <w:r w:rsidR="009B5209">
        <w:t>viš</w:t>
      </w:r>
      <w:r w:rsidR="00BB6070">
        <w:t>ak</w:t>
      </w:r>
      <w:r w:rsidR="00D72F3C" w:rsidRPr="00E80A17">
        <w:t>)</w:t>
      </w:r>
      <w:r w:rsidR="00FF4D6E" w:rsidRPr="00E80A17">
        <w:t xml:space="preserve">   </w:t>
      </w:r>
      <w:r w:rsidR="00D72F3C" w:rsidRPr="00E80A17">
        <w:t xml:space="preserve">                         </w:t>
      </w:r>
      <w:r w:rsidR="00B8365F" w:rsidRPr="00E80A17">
        <w:t xml:space="preserve">    </w:t>
      </w:r>
      <w:r w:rsidR="00D72F3C" w:rsidRPr="00E80A17">
        <w:t xml:space="preserve">     </w:t>
      </w:r>
      <w:r w:rsidR="004E33D4" w:rsidRPr="00E80A17">
        <w:t xml:space="preserve">  </w:t>
      </w:r>
      <w:r w:rsidR="002E79F7" w:rsidRPr="00E80A17">
        <w:t xml:space="preserve">   </w:t>
      </w:r>
      <w:r w:rsidR="004E33D4" w:rsidRPr="00E80A17">
        <w:t xml:space="preserve"> </w:t>
      </w:r>
      <w:r w:rsidR="009B5209">
        <w:t xml:space="preserve">    </w:t>
      </w:r>
      <w:r w:rsidR="005321D0">
        <w:t>1.168.087,85</w:t>
      </w:r>
      <w:r w:rsidR="009B5209">
        <w:t xml:space="preserve"> </w:t>
      </w:r>
      <w:r w:rsidR="00FF4D6E" w:rsidRPr="00E80A17">
        <w:t xml:space="preserve">                                    </w:t>
      </w:r>
      <w:r w:rsidRPr="00E80A17">
        <w:t xml:space="preserve"> </w:t>
      </w:r>
    </w:p>
    <w:p w14:paraId="64F446E0" w14:textId="77777777" w:rsidR="005712E4" w:rsidRPr="00E80A17" w:rsidRDefault="005712E4" w:rsidP="005712E4">
      <w:pPr>
        <w:ind w:right="70"/>
      </w:pPr>
    </w:p>
    <w:p w14:paraId="0A4FE967" w14:textId="1C225358" w:rsidR="005712E4" w:rsidRPr="00E80A17" w:rsidRDefault="005712E4" w:rsidP="005712E4">
      <w:pPr>
        <w:ind w:right="70"/>
      </w:pPr>
      <w:r w:rsidRPr="00E80A17">
        <w:t xml:space="preserve">Preneseni </w:t>
      </w:r>
      <w:r w:rsidR="009B5209">
        <w:t>manj</w:t>
      </w:r>
      <w:r w:rsidRPr="00E80A17">
        <w:t>ak iz prethodnih godina utvrđen godišnjim obračunom proračuna za 20</w:t>
      </w:r>
      <w:r w:rsidR="009B5209">
        <w:t>20</w:t>
      </w:r>
      <w:r w:rsidRPr="00E80A17">
        <w:t xml:space="preserve">. godinu i financijskim izvještajima </w:t>
      </w:r>
      <w:r w:rsidR="00D72F3C" w:rsidRPr="00E80A17">
        <w:t xml:space="preserve">proračuna i </w:t>
      </w:r>
      <w:r w:rsidRPr="00E80A17">
        <w:t>proračunskih korisnika za 20</w:t>
      </w:r>
      <w:r w:rsidR="009B5209">
        <w:t>20</w:t>
      </w:r>
      <w:r w:rsidRPr="00E80A17">
        <w:t>. godinu</w:t>
      </w:r>
      <w:r w:rsidR="0076505A" w:rsidRPr="00E80A17">
        <w:t>,</w:t>
      </w:r>
      <w:r w:rsidRPr="00E80A17">
        <w:t xml:space="preserve"> iznosi</w:t>
      </w:r>
      <w:r w:rsidR="0076505A" w:rsidRPr="00E80A17">
        <w:t xml:space="preserve"> sveukupno </w:t>
      </w:r>
      <w:r w:rsidR="009B5209">
        <w:t>617.552,76</w:t>
      </w:r>
      <w:r w:rsidR="00D72F3C" w:rsidRPr="00E80A17">
        <w:t xml:space="preserve"> </w:t>
      </w:r>
      <w:r w:rsidRPr="00E80A17">
        <w:t>kuna.</w:t>
      </w:r>
      <w:r w:rsidR="005321D0">
        <w:t xml:space="preserve"> Grad Buje – Buie je u post</w:t>
      </w:r>
      <w:r w:rsidR="0026281D">
        <w:t>u</w:t>
      </w:r>
      <w:r w:rsidR="005321D0">
        <w:t xml:space="preserve">pku provođenja inventure otpisao </w:t>
      </w:r>
      <w:r w:rsidR="005321D0">
        <w:lastRenderedPageBreak/>
        <w:t>zastarjele obveze iz prethodnog razdoblja u iznosu od 10.395,97 kuna, te je ukupni preneseni manjak smanjen na iznos od 607.156,79 kuna.</w:t>
      </w:r>
    </w:p>
    <w:p w14:paraId="36B9C8B8" w14:textId="77777777" w:rsidR="005712E4" w:rsidRPr="00E80A17" w:rsidRDefault="005712E4" w:rsidP="005712E4">
      <w:pPr>
        <w:ind w:right="70"/>
      </w:pPr>
    </w:p>
    <w:p w14:paraId="10560C72" w14:textId="519D643D" w:rsidR="001546DD" w:rsidRPr="00E80A17" w:rsidRDefault="001546DD" w:rsidP="001546DD">
      <w:pPr>
        <w:ind w:right="70"/>
      </w:pPr>
      <w:r w:rsidRPr="00E80A17">
        <w:t>Grad Buje (</w:t>
      </w:r>
      <w:r w:rsidR="009B5209">
        <w:t>manj</w:t>
      </w:r>
      <w:r w:rsidRPr="00E80A17">
        <w:t xml:space="preserve">ak)                          </w:t>
      </w:r>
      <w:r w:rsidR="00E32B1F" w:rsidRPr="00E80A17">
        <w:t xml:space="preserve">  </w:t>
      </w:r>
      <w:r w:rsidR="00CC15C6" w:rsidRPr="00E80A17">
        <w:t xml:space="preserve">      </w:t>
      </w:r>
      <w:r w:rsidR="00BC4578" w:rsidRPr="00E80A17">
        <w:t xml:space="preserve">    </w:t>
      </w:r>
      <w:r w:rsidR="002E79F7" w:rsidRPr="00E80A17">
        <w:t xml:space="preserve">  </w:t>
      </w:r>
      <w:r w:rsidR="00D00EDE">
        <w:t xml:space="preserve">   -</w:t>
      </w:r>
      <w:r w:rsidR="004405DE">
        <w:t>590.932,15</w:t>
      </w:r>
    </w:p>
    <w:p w14:paraId="50281D79" w14:textId="77777777" w:rsidR="001546DD" w:rsidRPr="00E80A17" w:rsidRDefault="001546DD" w:rsidP="001546DD">
      <w:pPr>
        <w:ind w:right="70"/>
      </w:pPr>
      <w:r w:rsidRPr="00E80A17">
        <w:t xml:space="preserve">Dječji vrtić Buje (manjak)             </w:t>
      </w:r>
      <w:r w:rsidR="00CC15C6" w:rsidRPr="00E80A17">
        <w:t xml:space="preserve">         </w:t>
      </w:r>
      <w:r w:rsidR="00E32B1F" w:rsidRPr="00E80A17">
        <w:t xml:space="preserve">  </w:t>
      </w:r>
      <w:r w:rsidR="00BC4578" w:rsidRPr="00E80A17">
        <w:t xml:space="preserve">   </w:t>
      </w:r>
      <w:r w:rsidR="002E79F7" w:rsidRPr="00E80A17">
        <w:t xml:space="preserve">   </w:t>
      </w:r>
      <w:r w:rsidRPr="00E80A17">
        <w:t xml:space="preserve"> </w:t>
      </w:r>
      <w:r w:rsidR="00D72F3C" w:rsidRPr="00E80A17">
        <w:t xml:space="preserve"> </w:t>
      </w:r>
      <w:r w:rsidR="00D00EDE">
        <w:t xml:space="preserve">   </w:t>
      </w:r>
      <w:r w:rsidR="004543EB" w:rsidRPr="00E80A17">
        <w:t>-</w:t>
      </w:r>
      <w:r w:rsidR="00D00EDE">
        <w:t>23.160,62</w:t>
      </w:r>
      <w:r w:rsidRPr="00E80A17">
        <w:t xml:space="preserve">       </w:t>
      </w:r>
    </w:p>
    <w:p w14:paraId="2DFF7D4E" w14:textId="77777777" w:rsidR="001546DD" w:rsidRPr="00E80A17" w:rsidRDefault="001546DD" w:rsidP="001546DD">
      <w:pPr>
        <w:ind w:right="70"/>
      </w:pPr>
      <w:r w:rsidRPr="00E80A17">
        <w:t>Talijanski dječji vrtić Mrvica (</w:t>
      </w:r>
      <w:r w:rsidR="00D00EDE">
        <w:t>manj</w:t>
      </w:r>
      <w:r w:rsidRPr="00E80A17">
        <w:t xml:space="preserve">ak) </w:t>
      </w:r>
      <w:r w:rsidR="00CC15C6" w:rsidRPr="00E80A17">
        <w:t xml:space="preserve"> </w:t>
      </w:r>
      <w:r w:rsidRPr="00E80A17">
        <w:t xml:space="preserve">    </w:t>
      </w:r>
      <w:r w:rsidR="00BC4578" w:rsidRPr="00E80A17">
        <w:t xml:space="preserve">    </w:t>
      </w:r>
      <w:r w:rsidRPr="00E80A17">
        <w:t xml:space="preserve"> </w:t>
      </w:r>
      <w:r w:rsidR="002E79F7" w:rsidRPr="00E80A17">
        <w:t xml:space="preserve">    </w:t>
      </w:r>
      <w:r w:rsidR="00D00EDE">
        <w:t>-23.019,26</w:t>
      </w:r>
    </w:p>
    <w:p w14:paraId="3D76E4B7" w14:textId="77777777" w:rsidR="001546DD" w:rsidRPr="00E80A17" w:rsidRDefault="001546DD" w:rsidP="001546DD">
      <w:pPr>
        <w:ind w:right="70"/>
        <w:rPr>
          <w:u w:val="single"/>
        </w:rPr>
      </w:pPr>
      <w:r w:rsidRPr="00E80A17">
        <w:rPr>
          <w:u w:val="single"/>
        </w:rPr>
        <w:t>Pučko otvoreno učilište Buje (</w:t>
      </w:r>
      <w:r w:rsidR="00D00EDE">
        <w:rPr>
          <w:u w:val="single"/>
        </w:rPr>
        <w:t>viš</w:t>
      </w:r>
      <w:r w:rsidR="00BB6070">
        <w:rPr>
          <w:u w:val="single"/>
        </w:rPr>
        <w:t>ak</w:t>
      </w:r>
      <w:r w:rsidRPr="00E80A17">
        <w:rPr>
          <w:u w:val="single"/>
        </w:rPr>
        <w:t xml:space="preserve">)   </w:t>
      </w:r>
      <w:r w:rsidR="00BC4578" w:rsidRPr="00E80A17">
        <w:rPr>
          <w:u w:val="single"/>
        </w:rPr>
        <w:t xml:space="preserve">    </w:t>
      </w:r>
      <w:r w:rsidRPr="00E80A17">
        <w:rPr>
          <w:u w:val="single"/>
        </w:rPr>
        <w:t xml:space="preserve"> </w:t>
      </w:r>
      <w:r w:rsidR="00E32B1F" w:rsidRPr="00E80A17">
        <w:rPr>
          <w:u w:val="single"/>
        </w:rPr>
        <w:t xml:space="preserve"> </w:t>
      </w:r>
      <w:r w:rsidR="004543EB" w:rsidRPr="00E80A17">
        <w:rPr>
          <w:u w:val="single"/>
        </w:rPr>
        <w:t xml:space="preserve"> </w:t>
      </w:r>
      <w:r w:rsidR="002E79F7" w:rsidRPr="00E80A17">
        <w:rPr>
          <w:u w:val="single"/>
        </w:rPr>
        <w:t xml:space="preserve">     </w:t>
      </w:r>
      <w:r w:rsidR="00D00EDE">
        <w:rPr>
          <w:u w:val="single"/>
        </w:rPr>
        <w:t xml:space="preserve">     29.955,24</w:t>
      </w:r>
    </w:p>
    <w:p w14:paraId="15310FFB" w14:textId="6032E9C1" w:rsidR="001546DD" w:rsidRPr="00E80A17" w:rsidRDefault="001546DD" w:rsidP="001546DD">
      <w:pPr>
        <w:ind w:right="70"/>
      </w:pPr>
      <w:r w:rsidRPr="00E80A17">
        <w:t xml:space="preserve">sveukupni </w:t>
      </w:r>
      <w:r w:rsidR="00D00EDE">
        <w:t>manj</w:t>
      </w:r>
      <w:r w:rsidRPr="00E80A17">
        <w:t xml:space="preserve">ak                            </w:t>
      </w:r>
      <w:r w:rsidR="00E32B1F" w:rsidRPr="00E80A17">
        <w:t xml:space="preserve"> </w:t>
      </w:r>
      <w:r w:rsidR="00BC4578" w:rsidRPr="00E80A17">
        <w:t xml:space="preserve">    </w:t>
      </w:r>
      <w:r w:rsidR="00E32B1F" w:rsidRPr="00E80A17">
        <w:t xml:space="preserve"> </w:t>
      </w:r>
      <w:r w:rsidR="00CC15C6" w:rsidRPr="00E80A17">
        <w:t xml:space="preserve">   </w:t>
      </w:r>
      <w:r w:rsidR="002E79F7" w:rsidRPr="00E80A17">
        <w:t xml:space="preserve">    </w:t>
      </w:r>
      <w:r w:rsidR="00CC15C6" w:rsidRPr="00E80A17">
        <w:t xml:space="preserve">   </w:t>
      </w:r>
      <w:r w:rsidR="00FD3DF1">
        <w:t xml:space="preserve">  </w:t>
      </w:r>
      <w:r w:rsidR="00D00EDE">
        <w:t>-6</w:t>
      </w:r>
      <w:r w:rsidR="004405DE">
        <w:t>07.156,79</w:t>
      </w:r>
      <w:r w:rsidR="00BB6070">
        <w:t xml:space="preserve"> </w:t>
      </w:r>
    </w:p>
    <w:p w14:paraId="163EDF50" w14:textId="77777777" w:rsidR="005712E4" w:rsidRPr="00E80A17" w:rsidRDefault="005712E4" w:rsidP="005712E4">
      <w:pPr>
        <w:ind w:right="70"/>
      </w:pPr>
    </w:p>
    <w:p w14:paraId="0509AC59" w14:textId="15E4F58B" w:rsidR="005712E4" w:rsidRPr="00E80A17" w:rsidRDefault="005712E4" w:rsidP="005712E4">
      <w:pPr>
        <w:ind w:right="70"/>
      </w:pPr>
      <w:r w:rsidRPr="00E80A17">
        <w:t xml:space="preserve">Sveukupni </w:t>
      </w:r>
      <w:r w:rsidR="00FD3DF1">
        <w:t>viš</w:t>
      </w:r>
      <w:r w:rsidRPr="00E80A17">
        <w:t xml:space="preserve">ak prihoda i primitaka </w:t>
      </w:r>
      <w:r w:rsidR="00FD3DF1">
        <w:t>raspoloživ</w:t>
      </w:r>
      <w:r w:rsidRPr="00E80A17">
        <w:t xml:space="preserve"> u sljedećem razdoblju iznosi</w:t>
      </w:r>
      <w:r w:rsidR="00DD16A3" w:rsidRPr="00E80A17">
        <w:t xml:space="preserve"> </w:t>
      </w:r>
      <w:r w:rsidR="00EC2F7E">
        <w:t>560.931,06</w:t>
      </w:r>
      <w:r w:rsidR="00BB6070">
        <w:t xml:space="preserve"> </w:t>
      </w:r>
      <w:r w:rsidRPr="00E80A17">
        <w:t xml:space="preserve">kuna. </w:t>
      </w:r>
    </w:p>
    <w:p w14:paraId="5F259338" w14:textId="77777777" w:rsidR="002E79F7" w:rsidRPr="00E80A17" w:rsidRDefault="002E79F7" w:rsidP="005712E4">
      <w:pPr>
        <w:ind w:right="70"/>
      </w:pPr>
    </w:p>
    <w:p w14:paraId="3F8DB0B9" w14:textId="0A376C2A" w:rsidR="005712E4" w:rsidRPr="00E80A17" w:rsidRDefault="005712E4" w:rsidP="005712E4">
      <w:pPr>
        <w:ind w:right="70"/>
      </w:pPr>
      <w:r w:rsidRPr="00E80A17">
        <w:t>Grad Buje (</w:t>
      </w:r>
      <w:r w:rsidR="00FD3DF1">
        <w:t>viš</w:t>
      </w:r>
      <w:r w:rsidR="00BB6070">
        <w:t>ak</w:t>
      </w:r>
      <w:r w:rsidRPr="00E80A17">
        <w:t xml:space="preserve">)                           </w:t>
      </w:r>
      <w:r w:rsidR="00BC4578" w:rsidRPr="00E80A17">
        <w:t xml:space="preserve">  </w:t>
      </w:r>
      <w:r w:rsidR="00CC15C6" w:rsidRPr="00E80A17">
        <w:t xml:space="preserve">     </w:t>
      </w:r>
      <w:r w:rsidR="00BC4578" w:rsidRPr="00E80A17">
        <w:t xml:space="preserve"> </w:t>
      </w:r>
      <w:r w:rsidR="002E79F7" w:rsidRPr="00E80A17">
        <w:t xml:space="preserve">  </w:t>
      </w:r>
      <w:r w:rsidR="00FD3DF1">
        <w:t xml:space="preserve">  </w:t>
      </w:r>
      <w:r w:rsidR="00D62A25">
        <w:t xml:space="preserve"> </w:t>
      </w:r>
      <w:r w:rsidR="00FD3DF1">
        <w:t xml:space="preserve">   </w:t>
      </w:r>
      <w:r w:rsidR="004405DE">
        <w:t xml:space="preserve">   615.451,31</w:t>
      </w:r>
    </w:p>
    <w:p w14:paraId="39C179D5" w14:textId="05B78514" w:rsidR="005712E4" w:rsidRPr="00E80A17" w:rsidRDefault="005712E4" w:rsidP="005712E4">
      <w:pPr>
        <w:ind w:right="70"/>
      </w:pPr>
      <w:r w:rsidRPr="00E80A17">
        <w:t>Dječji vrtić Buje (</w:t>
      </w:r>
      <w:r w:rsidR="00FD3DF1">
        <w:t>viš</w:t>
      </w:r>
      <w:r w:rsidR="00BB6070">
        <w:t>ak</w:t>
      </w:r>
      <w:r w:rsidRPr="00E80A17">
        <w:t>)</w:t>
      </w:r>
      <w:r w:rsidR="00D72F3C" w:rsidRPr="00E80A17">
        <w:t xml:space="preserve"> </w:t>
      </w:r>
      <w:r w:rsidR="004543EB" w:rsidRPr="00E80A17">
        <w:t xml:space="preserve">    </w:t>
      </w:r>
      <w:r w:rsidR="00D72F3C" w:rsidRPr="00E80A17">
        <w:t xml:space="preserve">    </w:t>
      </w:r>
      <w:r w:rsidRPr="00E80A17">
        <w:t xml:space="preserve">                </w:t>
      </w:r>
      <w:r w:rsidR="00DD16A3" w:rsidRPr="00E80A17">
        <w:t xml:space="preserve">  </w:t>
      </w:r>
      <w:r w:rsidRPr="00E80A17">
        <w:t xml:space="preserve">  </w:t>
      </w:r>
      <w:r w:rsidR="00BC4578" w:rsidRPr="00E80A17">
        <w:t xml:space="preserve"> </w:t>
      </w:r>
      <w:r w:rsidR="00D62A25">
        <w:t xml:space="preserve"> </w:t>
      </w:r>
      <w:r w:rsidR="00BC4578" w:rsidRPr="00E80A17">
        <w:t xml:space="preserve"> </w:t>
      </w:r>
      <w:r w:rsidR="00BB6070">
        <w:t xml:space="preserve"> </w:t>
      </w:r>
      <w:r w:rsidR="00FD3DF1">
        <w:t xml:space="preserve">     </w:t>
      </w:r>
      <w:r w:rsidR="004405DE">
        <w:t>24.695,58</w:t>
      </w:r>
      <w:r w:rsidR="002E79F7" w:rsidRPr="00E80A17">
        <w:t xml:space="preserve"> </w:t>
      </w:r>
      <w:r w:rsidRPr="00E80A17">
        <w:t xml:space="preserve">       </w:t>
      </w:r>
    </w:p>
    <w:p w14:paraId="4E6BA4F0" w14:textId="0C6712D0" w:rsidR="005712E4" w:rsidRPr="00E80A17" w:rsidRDefault="005712E4" w:rsidP="005712E4">
      <w:pPr>
        <w:ind w:right="70"/>
      </w:pPr>
      <w:r w:rsidRPr="00E80A17">
        <w:t>Talijanski dječji vrtić Mrvica (</w:t>
      </w:r>
      <w:r w:rsidR="00BB6070">
        <w:t>manjak</w:t>
      </w:r>
      <w:r w:rsidRPr="00E80A17">
        <w:t xml:space="preserve">)      </w:t>
      </w:r>
      <w:r w:rsidR="00D62A25">
        <w:t xml:space="preserve"> </w:t>
      </w:r>
      <w:r w:rsidRPr="00E80A17">
        <w:t xml:space="preserve"> </w:t>
      </w:r>
      <w:r w:rsidR="00E32B1F" w:rsidRPr="00E80A17">
        <w:t xml:space="preserve"> </w:t>
      </w:r>
      <w:r w:rsidR="00BC4578" w:rsidRPr="00E80A17">
        <w:t xml:space="preserve"> </w:t>
      </w:r>
      <w:r w:rsidR="00E32B1F" w:rsidRPr="00E80A17">
        <w:t xml:space="preserve"> </w:t>
      </w:r>
      <w:r w:rsidR="00BC4578" w:rsidRPr="00E80A17">
        <w:t xml:space="preserve">  </w:t>
      </w:r>
      <w:r w:rsidR="00BB6070">
        <w:t>-</w:t>
      </w:r>
      <w:r w:rsidR="004405DE">
        <w:t>35.238,75</w:t>
      </w:r>
      <w:r w:rsidR="00BC4578" w:rsidRPr="00E80A17">
        <w:t xml:space="preserve"> </w:t>
      </w:r>
    </w:p>
    <w:p w14:paraId="12A36CBF" w14:textId="6DC32D17" w:rsidR="005712E4" w:rsidRPr="00E80A17" w:rsidRDefault="005712E4" w:rsidP="005712E4">
      <w:pPr>
        <w:ind w:right="70"/>
        <w:rPr>
          <w:u w:val="single"/>
        </w:rPr>
      </w:pPr>
      <w:r w:rsidRPr="00E80A17">
        <w:rPr>
          <w:u w:val="single"/>
        </w:rPr>
        <w:t>Pučko otvoreno učilište Buje (</w:t>
      </w:r>
      <w:r w:rsidR="004405DE">
        <w:rPr>
          <w:u w:val="single"/>
        </w:rPr>
        <w:t>manjak</w:t>
      </w:r>
      <w:r w:rsidRPr="00E80A17">
        <w:rPr>
          <w:u w:val="single"/>
        </w:rPr>
        <w:t xml:space="preserve">)  </w:t>
      </w:r>
      <w:r w:rsidR="00E32B1F" w:rsidRPr="00E80A17">
        <w:rPr>
          <w:u w:val="single"/>
        </w:rPr>
        <w:t xml:space="preserve">  </w:t>
      </w:r>
      <w:r w:rsidRPr="00E80A17">
        <w:rPr>
          <w:u w:val="single"/>
        </w:rPr>
        <w:t xml:space="preserve"> </w:t>
      </w:r>
      <w:r w:rsidR="00BC4578" w:rsidRPr="00E80A17">
        <w:rPr>
          <w:u w:val="single"/>
        </w:rPr>
        <w:t xml:space="preserve"> </w:t>
      </w:r>
      <w:r w:rsidRPr="00E80A17">
        <w:rPr>
          <w:u w:val="single"/>
        </w:rPr>
        <w:t xml:space="preserve"> </w:t>
      </w:r>
      <w:r w:rsidR="00BC4578" w:rsidRPr="00E80A17">
        <w:rPr>
          <w:u w:val="single"/>
        </w:rPr>
        <w:t xml:space="preserve"> </w:t>
      </w:r>
      <w:r w:rsidR="00D62A25">
        <w:rPr>
          <w:u w:val="single"/>
        </w:rPr>
        <w:t xml:space="preserve"> </w:t>
      </w:r>
      <w:r w:rsidR="00BC4578" w:rsidRPr="00E80A17">
        <w:rPr>
          <w:u w:val="single"/>
        </w:rPr>
        <w:t xml:space="preserve"> </w:t>
      </w:r>
      <w:r w:rsidR="002E79F7" w:rsidRPr="00E80A17">
        <w:rPr>
          <w:u w:val="single"/>
        </w:rPr>
        <w:t xml:space="preserve">    </w:t>
      </w:r>
      <w:r w:rsidR="004405DE">
        <w:rPr>
          <w:u w:val="single"/>
        </w:rPr>
        <w:t>-43.977,08</w:t>
      </w:r>
    </w:p>
    <w:p w14:paraId="228FA1E5" w14:textId="4BF6B620" w:rsidR="00F86AC0" w:rsidRPr="00E80A17" w:rsidRDefault="005712E4" w:rsidP="005712E4">
      <w:pPr>
        <w:ind w:right="70"/>
      </w:pPr>
      <w:r w:rsidRPr="00E80A17">
        <w:t xml:space="preserve">sveukupni </w:t>
      </w:r>
      <w:r w:rsidR="00FD3DF1">
        <w:t>viš</w:t>
      </w:r>
      <w:r w:rsidR="00BB6070">
        <w:t>ak</w:t>
      </w:r>
      <w:r w:rsidR="00BB6070">
        <w:tab/>
      </w:r>
      <w:r w:rsidR="00BB6070">
        <w:tab/>
      </w:r>
      <w:r w:rsidR="00BB6070">
        <w:tab/>
        <w:t xml:space="preserve">      </w:t>
      </w:r>
      <w:r w:rsidR="00D62A25">
        <w:t xml:space="preserve">  </w:t>
      </w:r>
      <w:r w:rsidR="00BB6070">
        <w:t xml:space="preserve">    </w:t>
      </w:r>
      <w:r w:rsidR="00FD3DF1">
        <w:t xml:space="preserve"> </w:t>
      </w:r>
      <w:r w:rsidR="00EC2F7E">
        <w:t xml:space="preserve">   560.931,06</w:t>
      </w:r>
      <w:r w:rsidR="00BB6070">
        <w:tab/>
        <w:t xml:space="preserve">    </w:t>
      </w:r>
      <w:r w:rsidRPr="00E80A17">
        <w:t xml:space="preserve">                            </w:t>
      </w:r>
      <w:r w:rsidR="00CC15C6" w:rsidRPr="00E80A17">
        <w:t xml:space="preserve">      </w:t>
      </w:r>
      <w:r w:rsidR="002E79F7" w:rsidRPr="00E80A17">
        <w:t xml:space="preserve">    </w:t>
      </w:r>
      <w:r w:rsidRPr="00E80A17">
        <w:t xml:space="preserve"> </w:t>
      </w:r>
      <w:r w:rsidR="00E32B1F" w:rsidRPr="00E80A17">
        <w:t xml:space="preserve">   </w:t>
      </w:r>
      <w:r w:rsidR="00BC4578" w:rsidRPr="00E80A17">
        <w:t xml:space="preserve">  </w:t>
      </w:r>
    </w:p>
    <w:p w14:paraId="7B42A51B" w14:textId="77777777" w:rsidR="005712E4" w:rsidRPr="00E80A17" w:rsidRDefault="005712E4" w:rsidP="005712E4">
      <w:pPr>
        <w:ind w:right="70"/>
        <w:rPr>
          <w:b/>
          <w:sz w:val="20"/>
          <w:szCs w:val="20"/>
        </w:rPr>
      </w:pPr>
    </w:p>
    <w:p w14:paraId="46C4F19F" w14:textId="77777777" w:rsidR="00BC4578" w:rsidRPr="00E80A17" w:rsidRDefault="00BC4578" w:rsidP="005712E4">
      <w:pPr>
        <w:ind w:right="70"/>
        <w:rPr>
          <w:b/>
          <w:sz w:val="20"/>
          <w:szCs w:val="20"/>
        </w:rPr>
      </w:pPr>
    </w:p>
    <w:p w14:paraId="0C76417F" w14:textId="77777777" w:rsidR="004E33D4" w:rsidRPr="00E80A17" w:rsidRDefault="004E33D4" w:rsidP="005712E4">
      <w:pPr>
        <w:ind w:right="70"/>
        <w:rPr>
          <w:b/>
          <w:sz w:val="20"/>
          <w:szCs w:val="20"/>
        </w:rPr>
      </w:pPr>
    </w:p>
    <w:p w14:paraId="2FBB6BB8" w14:textId="77777777" w:rsidR="005712E4" w:rsidRPr="00E80A17" w:rsidRDefault="005712E4" w:rsidP="005712E4">
      <w:pPr>
        <w:ind w:left="1080"/>
        <w:rPr>
          <w:b/>
          <w:bCs/>
        </w:rPr>
      </w:pPr>
      <w:r w:rsidRPr="00E80A17">
        <w:rPr>
          <w:b/>
          <w:bCs/>
        </w:rPr>
        <w:t>PRIHODI I PRIMICI</w:t>
      </w:r>
    </w:p>
    <w:p w14:paraId="44204FBB" w14:textId="77777777" w:rsidR="005712E4" w:rsidRPr="00E80A17" w:rsidRDefault="005712E4" w:rsidP="005712E4">
      <w:pPr>
        <w:ind w:left="1080"/>
        <w:rPr>
          <w:bCs/>
        </w:rPr>
      </w:pPr>
    </w:p>
    <w:p w14:paraId="269F8344" w14:textId="77777777" w:rsidR="005712E4" w:rsidRPr="00E80A17" w:rsidRDefault="005712E4" w:rsidP="005712E4">
      <w:pPr>
        <w:ind w:right="70"/>
      </w:pPr>
    </w:p>
    <w:p w14:paraId="507B825F" w14:textId="6506665A" w:rsidR="00316E29" w:rsidRDefault="005712E4" w:rsidP="005712E4">
      <w:pPr>
        <w:ind w:right="70"/>
      </w:pPr>
      <w:r w:rsidRPr="00E80A17">
        <w:t xml:space="preserve">U </w:t>
      </w:r>
      <w:r w:rsidR="008665D6">
        <w:t>sljedećoj</w:t>
      </w:r>
      <w:r w:rsidRPr="00E80A17">
        <w:t xml:space="preserve"> </w:t>
      </w:r>
      <w:r w:rsidR="008665D6">
        <w:t xml:space="preserve">tablici </w:t>
      </w:r>
      <w:r w:rsidRPr="00E80A17">
        <w:t xml:space="preserve">daje se pregled ostvarenih prihoda i primitaka Proračuna Grada Buja </w:t>
      </w:r>
      <w:r w:rsidR="00FD6BFB" w:rsidRPr="00E80A17">
        <w:t xml:space="preserve">– </w:t>
      </w:r>
      <w:r w:rsidR="008C4335">
        <w:t>B</w:t>
      </w:r>
      <w:r w:rsidR="00FD6BFB" w:rsidRPr="00E80A17">
        <w:t xml:space="preserve">uie </w:t>
      </w:r>
      <w:r w:rsidRPr="00E80A17">
        <w:t>u 20</w:t>
      </w:r>
      <w:r w:rsidR="00BB6070">
        <w:t>2</w:t>
      </w:r>
      <w:r w:rsidR="00343A9B">
        <w:t>1</w:t>
      </w:r>
      <w:r w:rsidRPr="00E80A17">
        <w:t>. godin</w:t>
      </w:r>
      <w:r w:rsidR="00405EF0">
        <w:t>e</w:t>
      </w:r>
      <w:r w:rsidR="00E51353">
        <w:t xml:space="preserve"> u odnosu na Plan za 20</w:t>
      </w:r>
      <w:r w:rsidR="00BB6070">
        <w:t>2</w:t>
      </w:r>
      <w:r w:rsidR="00343A9B">
        <w:t>1</w:t>
      </w:r>
      <w:r w:rsidR="00E51353">
        <w:t xml:space="preserve">. godinu </w:t>
      </w:r>
      <w:r w:rsidR="00343A9B">
        <w:t xml:space="preserve">i u odnosu na prihode i primitke ostvarene u </w:t>
      </w:r>
      <w:r w:rsidR="001843B3">
        <w:t>prethodn</w:t>
      </w:r>
      <w:r w:rsidR="00B6434E">
        <w:t>oj</w:t>
      </w:r>
      <w:r w:rsidR="001843B3">
        <w:t xml:space="preserve"> godin</w:t>
      </w:r>
      <w:r w:rsidR="00B6434E">
        <w:t>i</w:t>
      </w:r>
      <w:r w:rsidR="00405EF0">
        <w:t>,</w:t>
      </w:r>
      <w:r w:rsidRPr="00E80A17">
        <w:t xml:space="preserve"> po osnovnim </w:t>
      </w:r>
      <w:r w:rsidR="00711CE3">
        <w:t>kategorijama</w:t>
      </w:r>
      <w:r w:rsidRPr="00E80A17">
        <w:t>.</w:t>
      </w:r>
    </w:p>
    <w:p w14:paraId="0E803662" w14:textId="77777777" w:rsidR="00B6434E" w:rsidRDefault="00B6434E" w:rsidP="005712E4">
      <w:pPr>
        <w:ind w:right="70"/>
      </w:pPr>
    </w:p>
    <w:tbl>
      <w:tblPr>
        <w:tblW w:w="9230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1180"/>
        <w:gridCol w:w="1183"/>
        <w:gridCol w:w="1180"/>
        <w:gridCol w:w="760"/>
        <w:gridCol w:w="800"/>
        <w:gridCol w:w="725"/>
      </w:tblGrid>
      <w:tr w:rsidR="008C4335" w14:paraId="4B72E95B" w14:textId="77777777" w:rsidTr="003C7087">
        <w:trPr>
          <w:trHeight w:val="24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7FA" w14:textId="44B1ADD1" w:rsidR="008C4335" w:rsidRDefault="008C433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Ostvareni prihodi i primici u 2021. godini u odnosu na 2020. godinu i na plan za 2021. godinu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042" w14:textId="77777777" w:rsidR="008C4335" w:rsidRDefault="008C4335">
            <w:pPr>
              <w:rPr>
                <w:sz w:val="20"/>
                <w:szCs w:val="20"/>
              </w:rPr>
            </w:pPr>
          </w:p>
        </w:tc>
      </w:tr>
      <w:tr w:rsidR="00B6434E" w14:paraId="513C829C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8C2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601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1CD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C5B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273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C58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4DE" w14:textId="77777777" w:rsidR="00B6434E" w:rsidRDefault="00B6434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6BB" w14:textId="77777777" w:rsidR="00B6434E" w:rsidRDefault="00B6434E">
            <w:pPr>
              <w:rPr>
                <w:sz w:val="20"/>
                <w:szCs w:val="20"/>
              </w:rPr>
            </w:pPr>
          </w:p>
        </w:tc>
      </w:tr>
      <w:tr w:rsidR="00B6434E" w14:paraId="712CBBF2" w14:textId="77777777" w:rsidTr="008C4335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B7560" w14:textId="77777777" w:rsidR="00B6434E" w:rsidRDefault="00B6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  <w:r>
              <w:rPr>
                <w:sz w:val="18"/>
                <w:szCs w:val="18"/>
              </w:rPr>
              <w:br/>
              <w:t>br.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A5D0" w14:textId="77777777" w:rsidR="00B6434E" w:rsidRDefault="00B6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FF069" w14:textId="08F183E6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ostvareno </w:t>
            </w:r>
            <w:r>
              <w:rPr>
                <w:sz w:val="18"/>
                <w:szCs w:val="18"/>
              </w:rPr>
              <w:br/>
              <w:t>2020</w:t>
            </w:r>
            <w:r w:rsidR="008C43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A970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plan 2021.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EF77E" w14:textId="345DD3A4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ostvareno </w:t>
            </w:r>
            <w:r>
              <w:rPr>
                <w:sz w:val="18"/>
                <w:szCs w:val="18"/>
              </w:rPr>
              <w:br/>
              <w:t>2021</w:t>
            </w:r>
            <w:r w:rsidR="008C43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97365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udio</w:t>
            </w:r>
            <w:r>
              <w:rPr>
                <w:sz w:val="18"/>
                <w:szCs w:val="18"/>
              </w:rPr>
              <w:br/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AA626" w14:textId="77777777" w:rsidR="008C4335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indeks</w:t>
            </w:r>
            <w:r>
              <w:rPr>
                <w:sz w:val="18"/>
                <w:szCs w:val="18"/>
              </w:rPr>
              <w:br/>
              <w:t>(5/3*</w:t>
            </w:r>
          </w:p>
          <w:p w14:paraId="0DAC9C45" w14:textId="1856B92D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E9686" w14:textId="77777777" w:rsidR="008C4335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indeks</w:t>
            </w:r>
            <w:r>
              <w:rPr>
                <w:sz w:val="18"/>
                <w:szCs w:val="18"/>
              </w:rPr>
              <w:br/>
              <w:t>(5/4*</w:t>
            </w:r>
          </w:p>
          <w:p w14:paraId="31F3CDD9" w14:textId="7D94DF7C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100)</w:t>
            </w:r>
          </w:p>
        </w:tc>
      </w:tr>
      <w:tr w:rsidR="00B6434E" w14:paraId="0EC83BC3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2301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2D360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E6F0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F4F97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3BDB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1EE4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04F7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6667" w14:textId="77777777" w:rsidR="00B6434E" w:rsidRDefault="00B6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C4335" w14:paraId="3188D15C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2A9601D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6D8FBD3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D418579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31.038.926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5AA592A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32.298.692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32B4A71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32.174.693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ED3B501" w14:textId="367FF9CC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AD3CD30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A73A4DF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C4335" w14:paraId="5A27A3E2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D481CC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8464F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poreza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22739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11.370.484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B8EDC7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12.237.189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86AC2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13.338.338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F884616" w14:textId="77BE40BB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F5C7F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05CA1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8C4335" w14:paraId="47A6CCB3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DC7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8B9E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 i prirez na dohodak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B7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8.440.618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67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7.869.189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BA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7.941.728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556" w14:textId="4946E0D8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02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55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8C4335" w14:paraId="533F8ED2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45E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614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 na imovinu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7B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2.687.466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BD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4.097.000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03A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5.112.353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E07" w14:textId="2D06FE6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CD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9B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8C4335" w14:paraId="6EBDD565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0A3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898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 na robu i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EB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7F8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7B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284.257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4EA" w14:textId="579FA02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40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AC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C4335" w14:paraId="5CEE8FDE" w14:textId="77777777" w:rsidTr="008C4335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B06541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1290EE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iz inozemstva i od subjekata</w:t>
            </w:r>
            <w:r>
              <w:rPr>
                <w:sz w:val="18"/>
                <w:szCs w:val="18"/>
              </w:rPr>
              <w:br/>
              <w:t>unutar 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3F2DBF2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8.343.299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90A67E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7.494.892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7F41AA2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7.513.355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290604" w14:textId="6C2EF41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1D8805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49BFC4D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4335" w14:paraId="19024098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0D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FF93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Pomoći od </w:t>
            </w:r>
            <w:proofErr w:type="spellStart"/>
            <w:r>
              <w:rPr>
                <w:sz w:val="18"/>
                <w:szCs w:val="18"/>
              </w:rPr>
              <w:t>međunar.organz</w:t>
            </w:r>
            <w:proofErr w:type="spellEnd"/>
            <w:r>
              <w:rPr>
                <w:sz w:val="18"/>
                <w:szCs w:val="18"/>
              </w:rPr>
              <w:t xml:space="preserve">. te </w:t>
            </w:r>
            <w:proofErr w:type="spellStart"/>
            <w:r>
              <w:rPr>
                <w:sz w:val="18"/>
                <w:szCs w:val="18"/>
              </w:rPr>
              <w:t>instit.i</w:t>
            </w:r>
            <w:proofErr w:type="spellEnd"/>
            <w:r>
              <w:rPr>
                <w:sz w:val="18"/>
                <w:szCs w:val="18"/>
              </w:rPr>
              <w:t xml:space="preserve"> tijela EU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C9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273.042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49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76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357.264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58D" w14:textId="34D399BE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D1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8E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8C4335" w14:paraId="4C3D91A2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42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645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proračunu iz drugih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F7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2.602.069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60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4.591.833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17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4.591.767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FFC" w14:textId="717B1D3A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82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5D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4335" w14:paraId="4AD44CAA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F4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E9C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izravnanja za decentralizirane funkcije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EF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734.455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0F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00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735.444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A20" w14:textId="482F652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CFE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7B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C4335" w14:paraId="0226A15A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B07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3A24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Pomoći </w:t>
            </w:r>
            <w:proofErr w:type="spellStart"/>
            <w:r>
              <w:rPr>
                <w:sz w:val="18"/>
                <w:szCs w:val="18"/>
              </w:rPr>
              <w:t>pror.korisnicima</w:t>
            </w:r>
            <w:proofErr w:type="spellEnd"/>
            <w:r>
              <w:rPr>
                <w:sz w:val="18"/>
                <w:szCs w:val="18"/>
              </w:rPr>
              <w:t xml:space="preserve"> iz </w:t>
            </w:r>
            <w:proofErr w:type="spellStart"/>
            <w:r>
              <w:rPr>
                <w:sz w:val="18"/>
                <w:szCs w:val="18"/>
              </w:rPr>
              <w:t>pror.koji</w:t>
            </w:r>
            <w:proofErr w:type="spellEnd"/>
            <w:r>
              <w:rPr>
                <w:sz w:val="18"/>
                <w:szCs w:val="18"/>
              </w:rPr>
              <w:t xml:space="preserve"> im nije nadležan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5A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564.941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53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82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03A" w14:textId="6ACCA665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EA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7D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C4335" w14:paraId="09A1691C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45E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C363F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temeljem prijenosa EU sredstava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CE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4.168.792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93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1.208.773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37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1.208.773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C01" w14:textId="685764E9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6A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AE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4335" w14:paraId="3C98F04C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4A1032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5C0A6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08131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1.581.923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D24FD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1.523.230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4E0B87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1.472.417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1D0FC4" w14:textId="233C199B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F294E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46BBA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C4335" w14:paraId="2C543EB0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12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3BA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D18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598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61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FD0" w14:textId="7CF66015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F4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D3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8C4335" w14:paraId="6A79786D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044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801B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BC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1.485.786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88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1.361.000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BC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1.322.518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A9B" w14:textId="78E20239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2B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EA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C4335" w14:paraId="3C6F99C7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A6F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E030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kamata na dane zajmove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F7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8E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7E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4BF3" w14:textId="6912FD74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85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E8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8C4335" w14:paraId="5D1BE731" w14:textId="77777777" w:rsidTr="008C4335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6B2962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4A1F5005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od upravnih i administrativnih </w:t>
            </w:r>
            <w:r>
              <w:rPr>
                <w:sz w:val="18"/>
                <w:szCs w:val="18"/>
              </w:rPr>
              <w:br/>
              <w:t>pristojbi i prihodi po posebnim propisima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E4DAB3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9.347.459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74AEC0F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10.720.377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F2E797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9.376.232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4F7604A" w14:textId="3CDA7DBD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135D36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8FC963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8C4335" w14:paraId="624C12DC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A05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AA22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Upravne i administrativne pristojbe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33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257.655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20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E3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330.876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B1E" w14:textId="6F5AF6B2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96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C7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C4335" w14:paraId="19EF35B9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EC1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7D1F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po posebnim propisima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AE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814.832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D1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1.475.377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F38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1.261.054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9D8" w14:textId="780F87AC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66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47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8C4335" w14:paraId="4EDF2D95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CC8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8CE93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Komunalni doprinosi i naknade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6E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8.274.972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C2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8.903.000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5B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7.784.302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BA30" w14:textId="2AF65BDC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E7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0D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8C4335" w14:paraId="71ECA43F" w14:textId="77777777" w:rsidTr="008C4335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E4846B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73B8EE29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958D5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5AF7A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268.493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DA8C7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428.777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4C8FAC" w14:textId="46B12A32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30816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E1A7B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8C4335" w14:paraId="181092D8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3A2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534F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proizvoda i pruženih usluga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62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192.607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19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2E7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206.023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8D5" w14:textId="1B6035BC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95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E8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8C4335" w14:paraId="7738924A" w14:textId="77777777" w:rsidTr="008C4335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9BB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CCCA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Donacije od pravnih i fizičkih osoba izvan </w:t>
            </w:r>
            <w:r>
              <w:rPr>
                <w:sz w:val="18"/>
                <w:szCs w:val="18"/>
              </w:rPr>
              <w:br/>
              <w:t>općeg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3C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167.393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CA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92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222.754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2D3" w14:textId="1B7D3575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F4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03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</w:tr>
      <w:tr w:rsidR="008C4335" w14:paraId="10BAB338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510B35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27C080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Kazne, upravne mjere i ostali prihodi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10DCF2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1F8FFB7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76D41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B4450F" w14:textId="03A44C3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CA393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0130D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8C4335" w14:paraId="25E1C42F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765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058B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Kazne i upravne mjere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5E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83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72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EBC" w14:textId="16BC2B6B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D6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16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C4335" w14:paraId="30B0F155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0D26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54EFD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prihodi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DC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856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6CE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554" w14:textId="146D85CE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ED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1A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C4335" w14:paraId="59F2F123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F27084C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67760AD9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368B0C5C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4.518.344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0F6603FC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6.500.000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57B396DD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4.580.232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1FAF7E98" w14:textId="15CF374F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2A984CAF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2FC2A9A5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8C4335" w14:paraId="73499BA6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19AF85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6F590E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dugotr.imovine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B862D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3.346.620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B4127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4.355.000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363D7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3.471.904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E017CE" w14:textId="3E36A4F5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FE0810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88199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C4335" w14:paraId="66A1632D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E5368C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96A93D2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B5958A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1.171.724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369617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2.145.000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28CAB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1.108.328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F5D0EF" w14:textId="61AEF97A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5D1D5D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3C6FF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8C4335" w14:paraId="1A4B2559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8669182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1E91219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5683C2D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5.031.899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AD93DD2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2.514.605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B259953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2.514.605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C77DE8B" w14:textId="3FBE025D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2DA148B9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F6FACF6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C4335" w14:paraId="296E099B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E481DA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565CB8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Primici od prodaje dionica i udjela u glavnici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2FAE1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37CCB5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B4EF61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503BD9" w14:textId="3E1A9169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14C4FC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D5A029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4335" w14:paraId="012C7891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73486F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4AAED551" w14:textId="77777777" w:rsidR="008C4335" w:rsidRDefault="008C4335" w:rsidP="008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Primici od zaduživanja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3A5C2B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5.031.899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EEABFF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2.494.605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492F5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2.494.605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A96D40" w14:textId="425946AF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D111E3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A7D894" w14:textId="77777777" w:rsidR="008C4335" w:rsidRDefault="008C4335" w:rsidP="008C43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4335" w14:paraId="5D8EACED" w14:textId="77777777" w:rsidTr="008C4335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FB24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4ADA" w14:textId="77777777" w:rsidR="008C4335" w:rsidRDefault="008C4335" w:rsidP="008C4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UKUPNI PRIHODI I PRIMICI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86A11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40.589.169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00AA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41.313.297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6894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39.269.530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C20C" w14:textId="7F5117E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F663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1E5D" w14:textId="77777777" w:rsidR="008C4335" w:rsidRDefault="008C4335" w:rsidP="008C43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8C4335" w14:paraId="74A92C0D" w14:textId="77777777" w:rsidTr="008C4335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58CE374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48FEAD6F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Višak/manjak prihoda iz prethodne godine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D50626C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437.719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FDCC70A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-617.553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3CCA393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-607.157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CAC092F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EE90E30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DD23788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B6434E" w14:paraId="420F7871" w14:textId="77777777" w:rsidTr="008C4335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F226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665B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RASPOLOŽIVO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A6FF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41.026.888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5AE2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40.695.744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4634" w14:textId="77777777" w:rsidR="00B6434E" w:rsidRDefault="00B643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38.662.373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F1E8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5A41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2497" w14:textId="77777777" w:rsidR="00B6434E" w:rsidRDefault="00B643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33EAD6B4" w14:textId="77777777" w:rsidR="000D0928" w:rsidRDefault="000D0928" w:rsidP="005712E4">
      <w:pPr>
        <w:ind w:right="70"/>
      </w:pPr>
    </w:p>
    <w:p w14:paraId="533B7BA6" w14:textId="11AA8E7E" w:rsidR="005712E4" w:rsidRPr="00E80A17" w:rsidRDefault="005712E4" w:rsidP="005712E4">
      <w:r w:rsidRPr="00E80A17">
        <w:t>Ukupni prihodi i primici u 20</w:t>
      </w:r>
      <w:r w:rsidR="00AD02A0">
        <w:t>2</w:t>
      </w:r>
      <w:r w:rsidR="00FA4EEC">
        <w:t>1</w:t>
      </w:r>
      <w:r w:rsidRPr="00E80A17">
        <w:t>. godin</w:t>
      </w:r>
      <w:r w:rsidR="001F7B7A" w:rsidRPr="00E80A17">
        <w:t>e</w:t>
      </w:r>
      <w:r w:rsidRPr="00E80A17">
        <w:t xml:space="preserve"> ostvareni su u iznosu od </w:t>
      </w:r>
      <w:r w:rsidR="005C475E">
        <w:t>39.269.530</w:t>
      </w:r>
      <w:r w:rsidRPr="00E80A17">
        <w:t xml:space="preserve"> kuna, </w:t>
      </w:r>
      <w:r w:rsidR="009D6579" w:rsidRPr="00E80A17">
        <w:t>š</w:t>
      </w:r>
      <w:r w:rsidR="00522853" w:rsidRPr="00E80A17">
        <w:t xml:space="preserve">to predstavlja realizaciju </w:t>
      </w:r>
      <w:r w:rsidR="00CF4D1F">
        <w:t xml:space="preserve">u visini </w:t>
      </w:r>
      <w:r w:rsidR="00265802">
        <w:t>95</w:t>
      </w:r>
      <w:r w:rsidRPr="00E80A17">
        <w:t xml:space="preserve">% </w:t>
      </w:r>
      <w:r w:rsidR="00522853" w:rsidRPr="00E80A17">
        <w:t xml:space="preserve">od </w:t>
      </w:r>
      <w:r w:rsidRPr="00E80A17">
        <w:t>plana. U odnosu na prethodn</w:t>
      </w:r>
      <w:r w:rsidR="00522853" w:rsidRPr="00E80A17">
        <w:t>u</w:t>
      </w:r>
      <w:r w:rsidRPr="00E80A17">
        <w:t xml:space="preserve"> godin</w:t>
      </w:r>
      <w:r w:rsidR="00522853" w:rsidRPr="00E80A17">
        <w:t>u</w:t>
      </w:r>
      <w:r w:rsidRPr="00E80A17">
        <w:t xml:space="preserve"> ostvareno je </w:t>
      </w:r>
      <w:r w:rsidR="00FA4EEC">
        <w:t>3</w:t>
      </w:r>
      <w:r w:rsidRPr="00E80A17">
        <w:t xml:space="preserve">% </w:t>
      </w:r>
      <w:r w:rsidR="00265802">
        <w:t>manje</w:t>
      </w:r>
      <w:r w:rsidRPr="00E80A17">
        <w:t xml:space="preserve"> prihoda</w:t>
      </w:r>
      <w:r w:rsidR="0027228A">
        <w:t xml:space="preserve"> i primitaka</w:t>
      </w:r>
      <w:r w:rsidRPr="00E80A17">
        <w:t xml:space="preserve">. </w:t>
      </w:r>
    </w:p>
    <w:p w14:paraId="2C037B5A" w14:textId="77777777" w:rsidR="00E32B1F" w:rsidRPr="00E80A17" w:rsidRDefault="00E32B1F" w:rsidP="005712E4"/>
    <w:p w14:paraId="1CA002B1" w14:textId="74144EED" w:rsidR="005712E4" w:rsidRPr="00E80A17" w:rsidRDefault="005712E4" w:rsidP="005712E4">
      <w:r w:rsidRPr="00E80A17">
        <w:t>U struk</w:t>
      </w:r>
      <w:r w:rsidR="009D6579" w:rsidRPr="00E80A17">
        <w:t xml:space="preserve">turi ukupno ostvarenih prihoda </w:t>
      </w:r>
      <w:r w:rsidR="003E0589">
        <w:t xml:space="preserve">i primitaka </w:t>
      </w:r>
      <w:r w:rsidR="009D6579" w:rsidRPr="00E80A17">
        <w:t>u</w:t>
      </w:r>
      <w:r w:rsidR="00316E29" w:rsidRPr="00E80A17">
        <w:t xml:space="preserve"> </w:t>
      </w:r>
      <w:r w:rsidRPr="00E80A17">
        <w:t>20</w:t>
      </w:r>
      <w:r w:rsidR="00AD02A0">
        <w:t>2</w:t>
      </w:r>
      <w:r w:rsidR="00FA4EEC">
        <w:t>1</w:t>
      </w:r>
      <w:r w:rsidRPr="00E80A17">
        <w:t>. godin</w:t>
      </w:r>
      <w:r w:rsidR="00265802">
        <w:t>i</w:t>
      </w:r>
      <w:r w:rsidRPr="00E80A17">
        <w:t xml:space="preserve"> prihodi poslovanja zastupljeni su s udjelom od </w:t>
      </w:r>
      <w:r w:rsidR="00265802">
        <w:t>81,94</w:t>
      </w:r>
      <w:r w:rsidRPr="00E80A17">
        <w:t xml:space="preserve">%, prihodi od prodaje nefinancijske imovine s udjelom od </w:t>
      </w:r>
      <w:r w:rsidR="00AD02A0">
        <w:t>1</w:t>
      </w:r>
      <w:r w:rsidR="00265802">
        <w:t>1,66</w:t>
      </w:r>
      <w:r w:rsidRPr="00E80A17">
        <w:t>%, dok</w:t>
      </w:r>
      <w:r w:rsidR="003F7377" w:rsidRPr="00E80A17">
        <w:t xml:space="preserve"> </w:t>
      </w:r>
      <w:r w:rsidRPr="00E80A17">
        <w:t xml:space="preserve">primici od </w:t>
      </w:r>
      <w:r w:rsidR="003F7377" w:rsidRPr="00E80A17">
        <w:t>financijske imovine</w:t>
      </w:r>
      <w:r w:rsidR="00FA4EEC">
        <w:t xml:space="preserve"> i zaduživanja</w:t>
      </w:r>
      <w:r w:rsidR="003F7377" w:rsidRPr="00E80A17">
        <w:t xml:space="preserve"> </w:t>
      </w:r>
      <w:r w:rsidR="00B13076">
        <w:t xml:space="preserve">čine </w:t>
      </w:r>
      <w:r w:rsidR="00265802">
        <w:t>6,40</w:t>
      </w:r>
      <w:r w:rsidR="00B13076">
        <w:t>% ukupnog iznosa.</w:t>
      </w:r>
    </w:p>
    <w:p w14:paraId="4193EF5B" w14:textId="77777777" w:rsidR="00316E29" w:rsidRPr="00E80A17" w:rsidRDefault="00316E29" w:rsidP="005712E4"/>
    <w:p w14:paraId="63525298" w14:textId="61CB7071" w:rsidR="001470D5" w:rsidRPr="00E80A17" w:rsidRDefault="005712E4" w:rsidP="005712E4">
      <w:r w:rsidRPr="00E80A17">
        <w:t xml:space="preserve">1. Prihodi poslovanja ostvareni su u iznosu od </w:t>
      </w:r>
      <w:r w:rsidR="00265802">
        <w:t>32.174.693</w:t>
      </w:r>
      <w:r w:rsidR="001B48F7" w:rsidRPr="00E80A17">
        <w:t xml:space="preserve"> </w:t>
      </w:r>
      <w:r w:rsidRPr="00E80A17">
        <w:t xml:space="preserve">kuna </w:t>
      </w:r>
      <w:r w:rsidR="00265802">
        <w:t xml:space="preserve">što gotovo odgovara </w:t>
      </w:r>
      <w:r w:rsidR="003E0589">
        <w:t>planiranom iznosu</w:t>
      </w:r>
      <w:r w:rsidR="00265802">
        <w:t>. U odnosu na isto razdoblje prethodne godine os</w:t>
      </w:r>
      <w:r w:rsidR="0026281D">
        <w:t>t</w:t>
      </w:r>
      <w:r w:rsidR="00265802">
        <w:t>vareno je 4% više prihoda poslovanja.</w:t>
      </w:r>
    </w:p>
    <w:p w14:paraId="68377792" w14:textId="77777777" w:rsidR="005712E4" w:rsidRPr="00E80A17" w:rsidRDefault="005712E4" w:rsidP="005712E4"/>
    <w:p w14:paraId="32F2FA86" w14:textId="714EDB0B" w:rsidR="005712E4" w:rsidRPr="00E80A17" w:rsidRDefault="005712E4" w:rsidP="005712E4">
      <w:pPr>
        <w:numPr>
          <w:ilvl w:val="1"/>
          <w:numId w:val="3"/>
        </w:numPr>
      </w:pPr>
      <w:r w:rsidRPr="00E80A17">
        <w:t xml:space="preserve">Prihodi od poreza ostvareni su u ukupnom iznosu od </w:t>
      </w:r>
      <w:r w:rsidR="00265802">
        <w:t>13.338.338</w:t>
      </w:r>
      <w:r w:rsidR="00B13076">
        <w:t xml:space="preserve"> </w:t>
      </w:r>
      <w:r w:rsidRPr="00E80A17">
        <w:t xml:space="preserve">kuna ili </w:t>
      </w:r>
      <w:r w:rsidR="00D05BE8">
        <w:t>9</w:t>
      </w:r>
      <w:r w:rsidR="00316E29" w:rsidRPr="00E80A17">
        <w:t>%</w:t>
      </w:r>
      <w:r w:rsidRPr="00E80A17">
        <w:t xml:space="preserve"> </w:t>
      </w:r>
      <w:r w:rsidR="00D05BE8">
        <w:t xml:space="preserve">više </w:t>
      </w:r>
      <w:r w:rsidRPr="00E80A17">
        <w:t xml:space="preserve">od </w:t>
      </w:r>
      <w:r w:rsidR="00D05BE8">
        <w:t>p</w:t>
      </w:r>
      <w:r w:rsidRPr="00E80A17">
        <w:t>lan</w:t>
      </w:r>
      <w:r w:rsidR="00316E29" w:rsidRPr="00E80A17">
        <w:t>iranog za 20</w:t>
      </w:r>
      <w:r w:rsidR="00B13076">
        <w:t>2</w:t>
      </w:r>
      <w:r w:rsidR="00EE4D75">
        <w:t>1</w:t>
      </w:r>
      <w:r w:rsidR="00316E29" w:rsidRPr="00E80A17">
        <w:t>. godinu</w:t>
      </w:r>
      <w:r w:rsidRPr="00E80A17">
        <w:t xml:space="preserve">. U odnosu </w:t>
      </w:r>
      <w:r w:rsidR="00316E29" w:rsidRPr="00E80A17">
        <w:t xml:space="preserve">na </w:t>
      </w:r>
      <w:r w:rsidR="00A43CD0" w:rsidRPr="00E80A17">
        <w:t>20</w:t>
      </w:r>
      <w:r w:rsidR="00EE4D75">
        <w:t>20</w:t>
      </w:r>
      <w:r w:rsidR="00A43CD0" w:rsidRPr="00E80A17">
        <w:t>. godin</w:t>
      </w:r>
      <w:r w:rsidR="00D05BE8">
        <w:t>u</w:t>
      </w:r>
      <w:r w:rsidRPr="00E80A17">
        <w:t xml:space="preserve"> </w:t>
      </w:r>
      <w:r w:rsidR="00B13076">
        <w:t xml:space="preserve">ostvareni </w:t>
      </w:r>
      <w:r w:rsidR="00333E45" w:rsidRPr="00E80A17">
        <w:t xml:space="preserve">prihodi od poreza </w:t>
      </w:r>
      <w:r w:rsidR="00EE4D75">
        <w:t>veći</w:t>
      </w:r>
      <w:r w:rsidR="00B13076">
        <w:t xml:space="preserve"> su</w:t>
      </w:r>
      <w:r w:rsidR="00A21D76" w:rsidRPr="00E80A17">
        <w:t xml:space="preserve"> za </w:t>
      </w:r>
      <w:r w:rsidR="00D05BE8">
        <w:t>17</w:t>
      </w:r>
      <w:r w:rsidRPr="00E80A17">
        <w:t>%.</w:t>
      </w:r>
    </w:p>
    <w:p w14:paraId="2E81C265" w14:textId="77777777" w:rsidR="005712E4" w:rsidRPr="00E80A17" w:rsidRDefault="005712E4" w:rsidP="005712E4"/>
    <w:p w14:paraId="430B5CC1" w14:textId="468D4CE7" w:rsidR="00844DD6" w:rsidRDefault="00844DD6" w:rsidP="00844DD6">
      <w:pPr>
        <w:ind w:left="1422" w:hanging="6"/>
      </w:pPr>
      <w:r>
        <w:t xml:space="preserve">1.1.1. </w:t>
      </w:r>
      <w:r w:rsidR="005712E4" w:rsidRPr="00E80A17">
        <w:t xml:space="preserve">Porez i prirez na dohodak ostvareni su u ukupnom iznosu od </w:t>
      </w:r>
      <w:r w:rsidR="00D05BE8">
        <w:t>7.941.728</w:t>
      </w:r>
      <w:r w:rsidR="005712E4" w:rsidRPr="00E80A17">
        <w:t xml:space="preserve"> kuna </w:t>
      </w:r>
      <w:r w:rsidR="00333E45" w:rsidRPr="00E80A17">
        <w:t xml:space="preserve">ili </w:t>
      </w:r>
      <w:r w:rsidR="002253AF">
        <w:t>1</w:t>
      </w:r>
      <w:r w:rsidR="00333E45" w:rsidRPr="00E80A17">
        <w:t xml:space="preserve">% </w:t>
      </w:r>
      <w:r w:rsidR="00D05BE8">
        <w:t>više od</w:t>
      </w:r>
      <w:r w:rsidR="00A21D76" w:rsidRPr="00E80A17">
        <w:t xml:space="preserve"> </w:t>
      </w:r>
      <w:r w:rsidR="00333E45" w:rsidRPr="00E80A17">
        <w:t>plana</w:t>
      </w:r>
      <w:r w:rsidR="00D05BE8">
        <w:t>,</w:t>
      </w:r>
      <w:r w:rsidR="0052582B" w:rsidRPr="00E80A17">
        <w:t xml:space="preserve"> </w:t>
      </w:r>
      <w:r w:rsidR="00D05BE8">
        <w:t>ali</w:t>
      </w:r>
      <w:r w:rsidR="0052582B" w:rsidRPr="00E80A17">
        <w:t xml:space="preserve"> </w:t>
      </w:r>
      <w:r w:rsidR="002253AF">
        <w:t>6</w:t>
      </w:r>
      <w:r w:rsidR="0052582B" w:rsidRPr="00E80A17">
        <w:t xml:space="preserve">% </w:t>
      </w:r>
      <w:r w:rsidR="00D05BE8">
        <w:t>manje</w:t>
      </w:r>
      <w:r w:rsidR="00271152" w:rsidRPr="00E80A17">
        <w:t xml:space="preserve"> u odnosu na </w:t>
      </w:r>
      <w:r w:rsidR="00A21D76" w:rsidRPr="00E80A17">
        <w:t>usporedn</w:t>
      </w:r>
      <w:r w:rsidR="00D05BE8">
        <w:t>u</w:t>
      </w:r>
      <w:r w:rsidR="00A21D76" w:rsidRPr="00E80A17">
        <w:t xml:space="preserve"> 20</w:t>
      </w:r>
      <w:r w:rsidR="002253AF">
        <w:t>20</w:t>
      </w:r>
      <w:r w:rsidR="00A21D76" w:rsidRPr="00E80A17">
        <w:t xml:space="preserve">. </w:t>
      </w:r>
      <w:r w:rsidR="00271152" w:rsidRPr="00E80A17">
        <w:t>godin</w:t>
      </w:r>
      <w:r w:rsidR="00D05BE8">
        <w:t>u</w:t>
      </w:r>
      <w:r w:rsidR="00333E45" w:rsidRPr="00E80A17">
        <w:t xml:space="preserve">. </w:t>
      </w:r>
    </w:p>
    <w:p w14:paraId="290AA919" w14:textId="053D83D1" w:rsidR="005712E4" w:rsidRDefault="0041623B" w:rsidP="005712E4">
      <w:pPr>
        <w:ind w:left="1416"/>
      </w:pPr>
      <w:r>
        <w:t>Od 1. siječnja 2021. godine stupile su na snagu Izmjene i dopune Zakona o financiranju jedinica lokalne i područne samouprave (NN 138/20) kojima je udio</w:t>
      </w:r>
      <w:r w:rsidR="001B158D">
        <w:t xml:space="preserve"> </w:t>
      </w:r>
      <w:r>
        <w:t xml:space="preserve">gradova u raspodjeli prihoda od poreza na dohodak povećan sa 60 na 74%. </w:t>
      </w:r>
      <w:r w:rsidR="000A28B3" w:rsidRPr="004A7618">
        <w:t xml:space="preserve">Temeljem </w:t>
      </w:r>
      <w:r w:rsidR="001B158D">
        <w:t>navedenog Zakona</w:t>
      </w:r>
      <w:r w:rsidR="00EF3C7A">
        <w:t>,</w:t>
      </w:r>
      <w:r w:rsidR="000A28B3" w:rsidRPr="004A7618">
        <w:t xml:space="preserve"> Grad Buje – Buie ostvaruje pravo na </w:t>
      </w:r>
      <w:r w:rsidR="000A28B3" w:rsidRPr="004A7618">
        <w:lastRenderedPageBreak/>
        <w:t>sredstva fiskalnog izravnanja jer je kapacitet ostvarenih poreznih prihoda Grada Buja – Buie manji od referentne vrijednosti kapaciteta poreznih prihoda na razini države. Sredstva fiskalnog izravnanja u 2020. godini isplaćivana su dnevnom raspodjelom prihoda od poreza na dohodak, dok s</w:t>
      </w:r>
      <w:r w:rsidR="001B158D">
        <w:t>u</w:t>
      </w:r>
      <w:r w:rsidR="000A28B3" w:rsidRPr="004A7618">
        <w:t xml:space="preserve"> na osnovi Izmjena Zakona, u 2021. godini ista isplaćivana mjesečno i evidentirana kao tekuće pomoći iz državnog proračuna. Razlika u načinu iskazivanja prihoda od sredstava fiskalnog izravnanja </w:t>
      </w:r>
      <w:r w:rsidR="00100AFD">
        <w:t>imala</w:t>
      </w:r>
      <w:r w:rsidR="00EF3C7A">
        <w:t xml:space="preserve"> je</w:t>
      </w:r>
      <w:r w:rsidR="000A28B3" w:rsidRPr="004A7618">
        <w:t xml:space="preserve"> utjec</w:t>
      </w:r>
      <w:r w:rsidR="00100AFD">
        <w:t>aja</w:t>
      </w:r>
      <w:r w:rsidR="000A28B3" w:rsidRPr="004A7618">
        <w:t xml:space="preserve"> na </w:t>
      </w:r>
      <w:r w:rsidR="00EF3C7A">
        <w:t xml:space="preserve">iskazanu </w:t>
      </w:r>
      <w:r w:rsidR="000A28B3" w:rsidRPr="004A7618">
        <w:t xml:space="preserve">manju realizaciju prihoda od poreza na dohodak. U prethodnoj godini po osnovi fiskalnog izravnanja ostvareni su prihodi u iznosu od 1.021.127 kuna, dok su u 2021. godini doznačena sredstva pomoći </w:t>
      </w:r>
      <w:r w:rsidR="00F312A5">
        <w:t>iznosila</w:t>
      </w:r>
      <w:r w:rsidR="000A28B3" w:rsidRPr="004A7618">
        <w:t xml:space="preserve"> 1.131.934 kuna.</w:t>
      </w:r>
    </w:p>
    <w:p w14:paraId="4EDEFA02" w14:textId="48D15D38" w:rsidR="005840E6" w:rsidRPr="004A7618" w:rsidRDefault="001B158D" w:rsidP="001B158D">
      <w:pPr>
        <w:ind w:left="1416"/>
      </w:pPr>
      <w:r>
        <w:t>Osim toga, p</w:t>
      </w:r>
      <w:r w:rsidR="005840E6" w:rsidRPr="004A7618">
        <w:t>ovrat poreza i prireza na dohodak po godišnj</w:t>
      </w:r>
      <w:r>
        <w:t>im</w:t>
      </w:r>
      <w:r w:rsidR="005840E6" w:rsidRPr="004A7618">
        <w:t xml:space="preserve"> prijav</w:t>
      </w:r>
      <w:r>
        <w:t>ama</w:t>
      </w:r>
      <w:r w:rsidR="005840E6" w:rsidRPr="004A7618">
        <w:t xml:space="preserve"> u prethodnoj godini iznosio je 900.718 kuna, dok je u 2021. godini 5</w:t>
      </w:r>
      <w:r w:rsidR="00342C36">
        <w:t>4</w:t>
      </w:r>
      <w:r w:rsidR="005840E6" w:rsidRPr="004A7618">
        <w:t xml:space="preserve">% veći i iznosi 1.384.602 kuna. Povećanje je rezultat primjene odredbi Zakona o izmjenama i dopunama Zakona o porezu na dohodak koje su stupile na snagu od 1. siječnja 2020. godine, a kojima je osim povećanja osobnog odbitka s 3.800 na 4.000 kuna, umanjena porezna obveza za 100% mladima do 25 godina života te za 50% mladima od 26 do 30 godina života. Navedena umanjenja realizirana su po godišnjim prijavama odnosno godišnjem obračunu </w:t>
      </w:r>
      <w:r w:rsidR="0081723E">
        <w:t xml:space="preserve">poreza i prireza na dohodak </w:t>
      </w:r>
      <w:r w:rsidR="005840E6" w:rsidRPr="004A7618">
        <w:t>za 2020. godinu</w:t>
      </w:r>
      <w:r>
        <w:t>,</w:t>
      </w:r>
      <w:r w:rsidR="005840E6" w:rsidRPr="004A7618">
        <w:t xml:space="preserve"> u 2021. godini.</w:t>
      </w:r>
    </w:p>
    <w:p w14:paraId="48666A5C" w14:textId="188B3574" w:rsidR="001B158D" w:rsidRDefault="005840E6" w:rsidP="001B158D">
      <w:pPr>
        <w:ind w:left="1416"/>
      </w:pPr>
      <w:r w:rsidRPr="004A7618">
        <w:t xml:space="preserve">Povrat poreza i prireza po godišnjim prijavama za 2020. godinu izvršen je na teret sredstava zajma iz državnog proračuna. Grad Buje – Buie je do kraja </w:t>
      </w:r>
      <w:r w:rsidR="00CB1A9B">
        <w:t xml:space="preserve">2021. </w:t>
      </w:r>
      <w:r w:rsidRPr="004A7618">
        <w:t>godine izvršio je povrat zajma u potpunosti.</w:t>
      </w:r>
      <w:r w:rsidRPr="004A7618">
        <w:tab/>
      </w:r>
    </w:p>
    <w:p w14:paraId="73EFBAD2" w14:textId="5AF67B8F" w:rsidR="005840E6" w:rsidRDefault="001B158D" w:rsidP="00261D0A">
      <w:pPr>
        <w:ind w:left="1413"/>
      </w:pPr>
      <w:r w:rsidRPr="00E80A17">
        <w:t xml:space="preserve">Od ukupno ostvarenih prihoda od poreza i prireza na dohodak </w:t>
      </w:r>
      <w:r w:rsidR="00CB1A9B">
        <w:t>7.250.472</w:t>
      </w:r>
      <w:r w:rsidRPr="00E80A17">
        <w:t xml:space="preserve"> kuna odnosi se na prihode od poreza na dohodak, </w:t>
      </w:r>
      <w:r w:rsidR="00CB1A9B">
        <w:t>587.876</w:t>
      </w:r>
      <w:r w:rsidRPr="00E80A17">
        <w:t xml:space="preserve"> kuna na prihode od prireza na porez na dohodak, iznos od </w:t>
      </w:r>
      <w:r w:rsidR="00CB1A9B">
        <w:t>97.982</w:t>
      </w:r>
      <w:r w:rsidRPr="00E80A17">
        <w:t xml:space="preserve"> kuna odnosi</w:t>
      </w:r>
      <w:r>
        <w:t xml:space="preserve"> se</w:t>
      </w:r>
      <w:r w:rsidRPr="00E80A17">
        <w:t xml:space="preserve"> na </w:t>
      </w:r>
      <w:r>
        <w:t xml:space="preserve">dodatni udjel u porezu na dohodak </w:t>
      </w:r>
      <w:r w:rsidRPr="00E80A17">
        <w:t xml:space="preserve">za decentralizirane </w:t>
      </w:r>
      <w:r>
        <w:t>funkcije</w:t>
      </w:r>
      <w:r w:rsidRPr="00E80A17">
        <w:t xml:space="preserve"> vatrogas</w:t>
      </w:r>
      <w:r>
        <w:t>tva</w:t>
      </w:r>
      <w:r w:rsidR="00261D0A">
        <w:t>, a iznos od 5.398 kuna na uplaćeni porez i prirez po osnovi odobrenih odgoda plaćanja poduzetnicima u prethodnoj godini</w:t>
      </w:r>
      <w:r>
        <w:t xml:space="preserve">. </w:t>
      </w:r>
      <w:r w:rsidR="005840E6" w:rsidRPr="004A7618">
        <w:t xml:space="preserve"> </w:t>
      </w:r>
    </w:p>
    <w:p w14:paraId="1905E665" w14:textId="77777777" w:rsidR="003828B3" w:rsidRPr="00E80A17" w:rsidRDefault="003828B3" w:rsidP="005712E4">
      <w:pPr>
        <w:ind w:left="1416"/>
        <w:rPr>
          <w:sz w:val="20"/>
          <w:szCs w:val="20"/>
        </w:rPr>
      </w:pPr>
    </w:p>
    <w:p w14:paraId="5D832F2B" w14:textId="77777777" w:rsidR="00D76A1D" w:rsidRDefault="005712E4" w:rsidP="003B5C8C">
      <w:pPr>
        <w:ind w:left="1416"/>
      </w:pPr>
      <w:r w:rsidRPr="00E80A17">
        <w:t xml:space="preserve">1.1.2. Porezi na imovinu ostvareni su u iznosu od </w:t>
      </w:r>
      <w:r w:rsidR="00261D0A">
        <w:t>5.112.353</w:t>
      </w:r>
      <w:r w:rsidRPr="00E80A17">
        <w:t xml:space="preserve"> kuna, odnosno </w:t>
      </w:r>
      <w:r w:rsidR="00261D0A">
        <w:t>25</w:t>
      </w:r>
      <w:r w:rsidRPr="00E80A17">
        <w:t xml:space="preserve">% </w:t>
      </w:r>
      <w:r w:rsidR="00261D0A">
        <w:t xml:space="preserve">više </w:t>
      </w:r>
      <w:r w:rsidRPr="00E80A17">
        <w:t>od planiranog za 20</w:t>
      </w:r>
      <w:r w:rsidR="001513A9">
        <w:t>2</w:t>
      </w:r>
      <w:r w:rsidR="0004004D">
        <w:t>1</w:t>
      </w:r>
      <w:r w:rsidRPr="00E80A17">
        <w:t>. godinu</w:t>
      </w:r>
      <w:r w:rsidR="00303E62" w:rsidRPr="00E80A17">
        <w:t xml:space="preserve"> i </w:t>
      </w:r>
      <w:r w:rsidR="00D76A1D">
        <w:t>90</w:t>
      </w:r>
      <w:r w:rsidRPr="00E80A17">
        <w:t xml:space="preserve">% </w:t>
      </w:r>
      <w:r w:rsidR="0004004D">
        <w:t>viš</w:t>
      </w:r>
      <w:r w:rsidR="00EE7EA3" w:rsidRPr="00E80A17">
        <w:t>e</w:t>
      </w:r>
      <w:r w:rsidRPr="00E80A17">
        <w:t xml:space="preserve"> u odnosu na </w:t>
      </w:r>
      <w:r w:rsidR="00734EDE" w:rsidRPr="00E80A17">
        <w:t>prethodnu</w:t>
      </w:r>
      <w:r w:rsidRPr="00E80A17">
        <w:t xml:space="preserve"> godin</w:t>
      </w:r>
      <w:r w:rsidR="00734EDE" w:rsidRPr="00E80A17">
        <w:t>u</w:t>
      </w:r>
      <w:r w:rsidRPr="00E80A17">
        <w:t xml:space="preserve">. </w:t>
      </w:r>
    </w:p>
    <w:p w14:paraId="08A466F4" w14:textId="102C7575" w:rsidR="00D76A1D" w:rsidRPr="004A7618" w:rsidRDefault="00D76A1D" w:rsidP="00D76A1D">
      <w:pPr>
        <w:ind w:left="1416"/>
      </w:pPr>
      <w:r w:rsidRPr="004A7618">
        <w:t>Prihodi od poreza na promet nekretnina ostvareni su u iznosu od 4.923.648 kuna što je za 9</w:t>
      </w:r>
      <w:r w:rsidR="00342C36">
        <w:t>6</w:t>
      </w:r>
      <w:r w:rsidRPr="004A7618">
        <w:t>% više</w:t>
      </w:r>
      <w:r w:rsidR="0081723E">
        <w:t xml:space="preserve"> u odnosu na 2020. godinu</w:t>
      </w:r>
      <w:r w:rsidRPr="004A7618">
        <w:t>, a na povećanje je utjecala snažna tržišna aktivnost nekretninama na području. Vrijednosno najznačajnije povećanje prihoda poslovanja u tekućoj godini u odnosu na prethodnu je upravo na prihodima od poreza na promet nekretnina.</w:t>
      </w:r>
    </w:p>
    <w:p w14:paraId="260E4B3A" w14:textId="4289373C" w:rsidR="00D76A1D" w:rsidRPr="004A7618" w:rsidRDefault="00D76A1D" w:rsidP="00D76A1D">
      <w:pPr>
        <w:ind w:left="1416"/>
      </w:pPr>
      <w:r w:rsidRPr="004A7618">
        <w:t>Prihodi od poreza na kuće za odmor realizirani su u iznosu od 1</w:t>
      </w:r>
      <w:r w:rsidR="00FE009E">
        <w:t>68.38</w:t>
      </w:r>
      <w:r w:rsidR="0081723E">
        <w:t>2</w:t>
      </w:r>
      <w:r w:rsidRPr="004A7618">
        <w:t xml:space="preserve"> kuna što je za </w:t>
      </w:r>
      <w:r w:rsidR="00FE009E">
        <w:t>6</w:t>
      </w:r>
      <w:r w:rsidRPr="004A7618">
        <w:t>% više u odnosu na prethodnu godinu</w:t>
      </w:r>
      <w:r w:rsidR="00FE009E">
        <w:t>, a prihodi od poreza na javne površine realizirani su u iznosu od 20.323 kuna.</w:t>
      </w:r>
    </w:p>
    <w:p w14:paraId="4F95318A" w14:textId="45458848" w:rsidR="005712E4" w:rsidRPr="00E80A17" w:rsidRDefault="005712E4" w:rsidP="00D76A1D">
      <w:pPr>
        <w:pStyle w:val="Uvuenotijeloteksta"/>
        <w:ind w:left="0"/>
        <w:rPr>
          <w:color w:val="FF0000"/>
        </w:rPr>
      </w:pPr>
    </w:p>
    <w:p w14:paraId="3994BC49" w14:textId="4438CA2E" w:rsidR="00FE009E" w:rsidRPr="004A7618" w:rsidRDefault="005712E4" w:rsidP="00FE009E">
      <w:pPr>
        <w:ind w:left="1416"/>
      </w:pPr>
      <w:r w:rsidRPr="00E80A17">
        <w:t xml:space="preserve">1.1.3. </w:t>
      </w:r>
      <w:r w:rsidR="00FE009E" w:rsidRPr="004A7618">
        <w:t xml:space="preserve">Porezi na robu i usluge odnose se na porez na potrošnju, a ostvareni su u iznosu od 284.257 kuna ili 17% od više u odnosu na prethodnu godinu. </w:t>
      </w:r>
    </w:p>
    <w:p w14:paraId="1A080B7F" w14:textId="20932B98" w:rsidR="00FE009E" w:rsidRPr="004A7618" w:rsidRDefault="00FE009E" w:rsidP="00FE009E">
      <w:pPr>
        <w:ind w:left="1416"/>
      </w:pPr>
      <w:r w:rsidRPr="004A7618">
        <w:t xml:space="preserve">Temeljem Odluke Stožera civilne zaštite RH o nužnim epidemiološkim mjerama, u većem dijelu prvog tromjesečja 2021. godine, ugostiteljskim objektima bio je zabranjen rad. Nakon toga uslijedilo je samo djelomično otvaranje i dozvoljeno im je pružanje usluga samo na otvorenim prostorima odnosno terasama. Do povećanja prihoda na godišnjoj razini je ipak došlo radi znatno boje turističke sezone i ublažavanja </w:t>
      </w:r>
      <w:r w:rsidR="006D5BD7">
        <w:t xml:space="preserve">epidemioloških </w:t>
      </w:r>
      <w:r w:rsidRPr="004A7618">
        <w:t>mjera u drugom dijelu godine.</w:t>
      </w:r>
    </w:p>
    <w:p w14:paraId="0FD68E2B" w14:textId="41ADCBD9" w:rsidR="00FE009E" w:rsidRDefault="00FE009E" w:rsidP="00D6250F">
      <w:pPr>
        <w:ind w:left="1416"/>
      </w:pPr>
    </w:p>
    <w:p w14:paraId="718FBBE8" w14:textId="7DB8176F" w:rsidR="005712E4" w:rsidRPr="00E80A17" w:rsidRDefault="005712E4" w:rsidP="005712E4">
      <w:pPr>
        <w:ind w:left="708"/>
      </w:pPr>
      <w:r w:rsidRPr="00E80A17">
        <w:t xml:space="preserve">1.2. Pomoći iz inozemstva i od subjekata unutar općeg proračuna ostvarene su u ukupnom iznosu od </w:t>
      </w:r>
      <w:r w:rsidR="004D7CEB">
        <w:t>7.513.355</w:t>
      </w:r>
      <w:r w:rsidR="00A65423" w:rsidRPr="00E80A17">
        <w:t xml:space="preserve"> </w:t>
      </w:r>
      <w:r w:rsidRPr="00E80A17">
        <w:t xml:space="preserve">kuna ili </w:t>
      </w:r>
      <w:r w:rsidR="004D7CEB">
        <w:t>10</w:t>
      </w:r>
      <w:r w:rsidRPr="00E80A17">
        <w:t xml:space="preserve">% </w:t>
      </w:r>
      <w:r w:rsidR="004D7CEB">
        <w:t xml:space="preserve">manje </w:t>
      </w:r>
      <w:r w:rsidR="000C569B" w:rsidRPr="00E80A17">
        <w:t>u odnosu na usporedn</w:t>
      </w:r>
      <w:r w:rsidR="004D7CEB">
        <w:t>u</w:t>
      </w:r>
      <w:r w:rsidR="00EB124D" w:rsidRPr="00E80A17">
        <w:t xml:space="preserve"> </w:t>
      </w:r>
      <w:r w:rsidR="00402818" w:rsidRPr="00E80A17">
        <w:t>20</w:t>
      </w:r>
      <w:r w:rsidR="00F52B92">
        <w:t>20</w:t>
      </w:r>
      <w:r w:rsidR="00402818" w:rsidRPr="00E80A17">
        <w:t>. godin</w:t>
      </w:r>
      <w:r w:rsidR="004D7CEB">
        <w:t>u</w:t>
      </w:r>
      <w:r w:rsidRPr="00E80A17">
        <w:t xml:space="preserve">. </w:t>
      </w:r>
    </w:p>
    <w:p w14:paraId="3228B97B" w14:textId="77777777" w:rsidR="005712E4" w:rsidRPr="00E80A17" w:rsidRDefault="005712E4" w:rsidP="005712E4">
      <w:pPr>
        <w:rPr>
          <w:sz w:val="20"/>
          <w:szCs w:val="20"/>
        </w:rPr>
      </w:pPr>
    </w:p>
    <w:p w14:paraId="62CC9C96" w14:textId="361E5EAD" w:rsidR="00EC681C" w:rsidRDefault="005712E4" w:rsidP="005712E4">
      <w:pPr>
        <w:ind w:left="1413"/>
      </w:pPr>
      <w:r w:rsidRPr="00E80A17">
        <w:t xml:space="preserve">1.2.1. Prihodi od pomoći od međunarodnih organizacija te institucija i tijela EU </w:t>
      </w:r>
      <w:r w:rsidR="00E156E6" w:rsidRPr="00E80A17">
        <w:t>u 20</w:t>
      </w:r>
      <w:r w:rsidR="00CC26AB">
        <w:t>2</w:t>
      </w:r>
      <w:r w:rsidR="00F52B92">
        <w:t>1</w:t>
      </w:r>
      <w:r w:rsidR="00E156E6" w:rsidRPr="00E80A17">
        <w:t>. godin</w:t>
      </w:r>
      <w:r w:rsidR="00EC681C">
        <w:t>i</w:t>
      </w:r>
      <w:r w:rsidR="00807B3A" w:rsidRPr="00E80A17">
        <w:t xml:space="preserve"> ostvareni su u iznosu od </w:t>
      </w:r>
      <w:r w:rsidR="00EC681C">
        <w:t>3</w:t>
      </w:r>
      <w:r w:rsidR="00545955">
        <w:t>57.264</w:t>
      </w:r>
      <w:r w:rsidR="00807B3A" w:rsidRPr="00E80A17">
        <w:t xml:space="preserve"> kuna</w:t>
      </w:r>
      <w:r w:rsidR="00EC681C">
        <w:t xml:space="preserve">. </w:t>
      </w:r>
      <w:r w:rsidR="00EC681C" w:rsidRPr="004A7618">
        <w:t xml:space="preserve">Od toga se iznos od 247.033 kuna odnosi na tekuću pomoć </w:t>
      </w:r>
      <w:proofErr w:type="spellStart"/>
      <w:r w:rsidR="00EC681C" w:rsidRPr="004A7618">
        <w:t>Regione</w:t>
      </w:r>
      <w:proofErr w:type="spellEnd"/>
      <w:r w:rsidR="00EC681C" w:rsidRPr="004A7618">
        <w:t xml:space="preserve"> </w:t>
      </w:r>
      <w:proofErr w:type="spellStart"/>
      <w:r w:rsidR="00EC681C" w:rsidRPr="004A7618">
        <w:t>Molise</w:t>
      </w:r>
      <w:proofErr w:type="spellEnd"/>
      <w:r w:rsidR="00EC681C" w:rsidRPr="004A7618">
        <w:t xml:space="preserve"> za refundaciju dijela troškova sudjelovanja u projektu „</w:t>
      </w:r>
      <w:proofErr w:type="spellStart"/>
      <w:r w:rsidR="00EC681C" w:rsidRPr="004A7618">
        <w:t>To</w:t>
      </w:r>
      <w:r w:rsidR="007D34F3">
        <w:t>ur</w:t>
      </w:r>
      <w:r w:rsidR="00EC681C" w:rsidRPr="004A7618">
        <w:t>ism</w:t>
      </w:r>
      <w:proofErr w:type="spellEnd"/>
      <w:r w:rsidR="00EC681C" w:rsidRPr="004A7618">
        <w:t xml:space="preserve"> 4 </w:t>
      </w:r>
      <w:proofErr w:type="spellStart"/>
      <w:r w:rsidR="00EC681C" w:rsidRPr="004A7618">
        <w:t>all</w:t>
      </w:r>
      <w:proofErr w:type="spellEnd"/>
      <w:r w:rsidR="00EC681C" w:rsidRPr="004A7618">
        <w:t xml:space="preserve">“, 74.102 kuna na kapitalnu pomoć od strane </w:t>
      </w:r>
      <w:proofErr w:type="spellStart"/>
      <w:r w:rsidR="00EC681C" w:rsidRPr="004A7618">
        <w:t>Regione</w:t>
      </w:r>
      <w:proofErr w:type="spellEnd"/>
      <w:r w:rsidR="00EC681C" w:rsidRPr="004A7618">
        <w:t xml:space="preserve"> del Veneto za refundaciju dijela troškova sanacije kaštela </w:t>
      </w:r>
      <w:proofErr w:type="spellStart"/>
      <w:r w:rsidR="00EC681C" w:rsidRPr="004A7618">
        <w:t>Rota</w:t>
      </w:r>
      <w:proofErr w:type="spellEnd"/>
      <w:r w:rsidR="00B84D15">
        <w:t>, a 36.129 kuna na kapitalnu pomoć koju je ostvarilo Pučko otvoreno učilište Buje kao potporu lokalnom razvoju u okviru inicijative LEADER</w:t>
      </w:r>
      <w:r w:rsidR="00EC681C" w:rsidRPr="004A7618">
        <w:t>.</w:t>
      </w:r>
    </w:p>
    <w:p w14:paraId="0FD3FC5C" w14:textId="77777777" w:rsidR="005712E4" w:rsidRPr="00E80A17" w:rsidRDefault="005712E4" w:rsidP="005712E4">
      <w:pPr>
        <w:ind w:left="1413"/>
        <w:rPr>
          <w:color w:val="FF0000"/>
          <w:sz w:val="20"/>
          <w:szCs w:val="20"/>
        </w:rPr>
      </w:pPr>
    </w:p>
    <w:p w14:paraId="52851722" w14:textId="2F9D50B3" w:rsidR="005712E4" w:rsidRPr="00E80A17" w:rsidRDefault="005712E4" w:rsidP="005712E4">
      <w:pPr>
        <w:ind w:left="1413"/>
      </w:pPr>
      <w:r w:rsidRPr="00E80A17">
        <w:t xml:space="preserve">1.2.2. Pomoći proračunu iz drugih proračuna ostvarene su u iznosu od </w:t>
      </w:r>
      <w:r w:rsidR="004C1120">
        <w:t>4.591.767</w:t>
      </w:r>
      <w:r w:rsidRPr="00E80A17">
        <w:t xml:space="preserve"> kuna</w:t>
      </w:r>
      <w:r w:rsidR="009B24DB">
        <w:t>,</w:t>
      </w:r>
      <w:r w:rsidRPr="00E80A17">
        <w:t xml:space="preserve"> što je </w:t>
      </w:r>
      <w:r w:rsidR="004C1120">
        <w:t>76</w:t>
      </w:r>
      <w:r w:rsidR="00B70598">
        <w:t>% više u odnosu na prethodn</w:t>
      </w:r>
      <w:r w:rsidR="004C1120">
        <w:t>u</w:t>
      </w:r>
      <w:r w:rsidR="00B70598">
        <w:t xml:space="preserve"> godin</w:t>
      </w:r>
      <w:r w:rsidR="004C1120">
        <w:t>u</w:t>
      </w:r>
      <w:r w:rsidR="00B70598">
        <w:t>, a</w:t>
      </w:r>
      <w:r w:rsidRPr="00E80A17">
        <w:t xml:space="preserve"> odnose se na:</w:t>
      </w:r>
    </w:p>
    <w:p w14:paraId="56D558A7" w14:textId="00E7D1C3" w:rsidR="004C2BE9" w:rsidRDefault="00D307DC" w:rsidP="00D307DC">
      <w:pPr>
        <w:numPr>
          <w:ilvl w:val="2"/>
          <w:numId w:val="1"/>
        </w:numPr>
      </w:pPr>
      <w:r w:rsidRPr="00E80A17">
        <w:t>tekuć</w:t>
      </w:r>
      <w:r w:rsidR="004C2BE9">
        <w:t>e</w:t>
      </w:r>
      <w:r w:rsidR="005712E4" w:rsidRPr="00E80A17">
        <w:t xml:space="preserve"> pomoć</w:t>
      </w:r>
      <w:r w:rsidR="009B24DB">
        <w:t>i</w:t>
      </w:r>
      <w:r w:rsidR="005712E4" w:rsidRPr="00E80A17">
        <w:t xml:space="preserve"> </w:t>
      </w:r>
      <w:r w:rsidR="001B3F3A" w:rsidRPr="00E80A17">
        <w:t>u</w:t>
      </w:r>
      <w:r w:rsidR="004C2BE9">
        <w:t xml:space="preserve"> sveukupnom</w:t>
      </w:r>
      <w:r w:rsidR="00E551D7" w:rsidRPr="00E80A17">
        <w:t xml:space="preserve"> </w:t>
      </w:r>
      <w:r w:rsidR="000E0706" w:rsidRPr="00E80A17">
        <w:t>i</w:t>
      </w:r>
      <w:r w:rsidR="001B3F3A" w:rsidRPr="00E80A17">
        <w:t xml:space="preserve">znosu od </w:t>
      </w:r>
      <w:r w:rsidR="004C1120">
        <w:t>1.355.474</w:t>
      </w:r>
      <w:r w:rsidR="004C2BE9">
        <w:t xml:space="preserve"> kuna</w:t>
      </w:r>
    </w:p>
    <w:p w14:paraId="51B6EEAF" w14:textId="2B16194E" w:rsidR="004C2BE9" w:rsidRDefault="004C2BE9" w:rsidP="004C2BE9">
      <w:pPr>
        <w:numPr>
          <w:ilvl w:val="3"/>
          <w:numId w:val="1"/>
        </w:numPr>
      </w:pPr>
      <w:r>
        <w:t xml:space="preserve">iz Državnog proračuna </w:t>
      </w:r>
      <w:r w:rsidR="00B70598">
        <w:t xml:space="preserve">temeljem Odluke o udjelu sredstava fiskalnog izravnanja u iznosu od </w:t>
      </w:r>
      <w:r w:rsidR="004C1120">
        <w:t>1.131.934</w:t>
      </w:r>
      <w:r>
        <w:t xml:space="preserve"> kuna</w:t>
      </w:r>
    </w:p>
    <w:p w14:paraId="71EF9E9D" w14:textId="637650F3" w:rsidR="00C15FA6" w:rsidRDefault="00C15FA6" w:rsidP="004C2BE9">
      <w:pPr>
        <w:numPr>
          <w:ilvl w:val="3"/>
          <w:numId w:val="1"/>
        </w:numPr>
      </w:pPr>
      <w:r>
        <w:t xml:space="preserve">od Istarske županije za sufinanciranje </w:t>
      </w:r>
      <w:r w:rsidR="00893B27">
        <w:t>pripreme i izdavanja</w:t>
      </w:r>
      <w:r>
        <w:t xml:space="preserve"> Statuta Grada Buja – Buie u iznosu od 86.18</w:t>
      </w:r>
      <w:r w:rsidR="004C1120">
        <w:t>8</w:t>
      </w:r>
    </w:p>
    <w:p w14:paraId="10A4F495" w14:textId="77777777" w:rsidR="004C2BE9" w:rsidRDefault="004C2BE9" w:rsidP="004C2BE9">
      <w:pPr>
        <w:numPr>
          <w:ilvl w:val="3"/>
          <w:numId w:val="1"/>
        </w:numPr>
      </w:pPr>
      <w:r>
        <w:t xml:space="preserve">od </w:t>
      </w:r>
      <w:r w:rsidR="00D307DC" w:rsidRPr="00E80A17">
        <w:t>Istarsk</w:t>
      </w:r>
      <w:r>
        <w:t>e</w:t>
      </w:r>
      <w:r w:rsidR="00D307DC" w:rsidRPr="00E80A17">
        <w:t xml:space="preserve"> županij</w:t>
      </w:r>
      <w:r>
        <w:t>e</w:t>
      </w:r>
      <w:r w:rsidR="00D307DC" w:rsidRPr="00E80A17">
        <w:t xml:space="preserve"> za sufinanciranje </w:t>
      </w:r>
      <w:r w:rsidR="00B70598">
        <w:t xml:space="preserve">manifestacije </w:t>
      </w:r>
      <w:r>
        <w:t xml:space="preserve">Festival </w:t>
      </w:r>
      <w:proofErr w:type="spellStart"/>
      <w:r>
        <w:t>dell'Istroveneto</w:t>
      </w:r>
      <w:proofErr w:type="spellEnd"/>
      <w:r>
        <w:t xml:space="preserve"> u iznosu od 50.000 kuna</w:t>
      </w:r>
    </w:p>
    <w:p w14:paraId="2347C23C" w14:textId="51B426A8" w:rsidR="00C15FA6" w:rsidRDefault="00C15FA6" w:rsidP="004C2BE9">
      <w:pPr>
        <w:numPr>
          <w:ilvl w:val="3"/>
          <w:numId w:val="1"/>
        </w:numPr>
      </w:pPr>
      <w:r>
        <w:t xml:space="preserve">od Istarske županije za podmirenje dijela troškova provedenih lokalnih izbora </w:t>
      </w:r>
      <w:r w:rsidR="004C1120">
        <w:t>84.952</w:t>
      </w:r>
      <w:r>
        <w:t xml:space="preserve"> kuna</w:t>
      </w:r>
    </w:p>
    <w:p w14:paraId="073BDA6B" w14:textId="6C23B552" w:rsidR="004C1120" w:rsidRDefault="004C1120" w:rsidP="004C2BE9">
      <w:pPr>
        <w:numPr>
          <w:ilvl w:val="3"/>
          <w:numId w:val="1"/>
        </w:numPr>
      </w:pPr>
      <w:r>
        <w:t>od Istarske županije za sufinanciranje materijalne zaštite boraca 2.400 kuna</w:t>
      </w:r>
    </w:p>
    <w:p w14:paraId="12F343ED" w14:textId="0D9B03D2" w:rsidR="005712E4" w:rsidRPr="00E80A17" w:rsidRDefault="005712E4" w:rsidP="005712E4">
      <w:pPr>
        <w:numPr>
          <w:ilvl w:val="2"/>
          <w:numId w:val="1"/>
        </w:numPr>
      </w:pPr>
      <w:r w:rsidRPr="00E80A17">
        <w:t xml:space="preserve">kapitalne pomoći u </w:t>
      </w:r>
      <w:r w:rsidR="003F1120">
        <w:t>sve</w:t>
      </w:r>
      <w:r w:rsidRPr="00E80A17">
        <w:t xml:space="preserve">ukupnom iznosu od </w:t>
      </w:r>
      <w:r w:rsidR="004C1120">
        <w:t>3.236.293</w:t>
      </w:r>
      <w:r w:rsidR="009E6F90">
        <w:t xml:space="preserve"> </w:t>
      </w:r>
      <w:r w:rsidRPr="00E80A17">
        <w:t xml:space="preserve">kuna </w:t>
      </w:r>
    </w:p>
    <w:p w14:paraId="1981A38E" w14:textId="77777777" w:rsidR="004465D0" w:rsidRDefault="007B1936" w:rsidP="000E0706">
      <w:pPr>
        <w:numPr>
          <w:ilvl w:val="3"/>
          <w:numId w:val="1"/>
        </w:numPr>
      </w:pPr>
      <w:r w:rsidRPr="00E80A17">
        <w:t xml:space="preserve">od Ministarstva </w:t>
      </w:r>
      <w:r w:rsidR="009E6F90">
        <w:t xml:space="preserve">regionalnog razvoja i fondova Europske unije za sufinanciranje projekta </w:t>
      </w:r>
      <w:r w:rsidR="00C15FA6">
        <w:t xml:space="preserve">Izgradnje </w:t>
      </w:r>
      <w:proofErr w:type="spellStart"/>
      <w:r w:rsidR="00C15FA6">
        <w:t>reciklažnog</w:t>
      </w:r>
      <w:proofErr w:type="spellEnd"/>
      <w:r w:rsidR="00C15FA6">
        <w:t xml:space="preserve"> dvorišta 245.572 kuna</w:t>
      </w:r>
      <w:r w:rsidRPr="00E80A17">
        <w:t xml:space="preserve"> </w:t>
      </w:r>
    </w:p>
    <w:p w14:paraId="1D6C4ADE" w14:textId="40418695" w:rsidR="00C15FA6" w:rsidRDefault="00C15FA6" w:rsidP="00C15FA6">
      <w:pPr>
        <w:numPr>
          <w:ilvl w:val="3"/>
          <w:numId w:val="1"/>
        </w:numPr>
      </w:pPr>
      <w:r w:rsidRPr="00E80A17">
        <w:t xml:space="preserve">od Ministarstva </w:t>
      </w:r>
      <w:r>
        <w:t xml:space="preserve">regionalnog razvoja i fondova Europske unije za sufinanciranje projekta Energetske obnove zgrade dječjeg vrtića </w:t>
      </w:r>
      <w:r w:rsidR="00972419">
        <w:t>2.378.071</w:t>
      </w:r>
      <w:r>
        <w:t xml:space="preserve"> kuna</w:t>
      </w:r>
      <w:r w:rsidRPr="00E80A17">
        <w:t xml:space="preserve"> </w:t>
      </w:r>
    </w:p>
    <w:p w14:paraId="2CD4C989" w14:textId="6EB594C0" w:rsidR="00972419" w:rsidRDefault="00972419" w:rsidP="00C15FA6">
      <w:pPr>
        <w:numPr>
          <w:ilvl w:val="3"/>
          <w:numId w:val="1"/>
        </w:numPr>
      </w:pPr>
      <w:r>
        <w:t xml:space="preserve">od Ministarstva kulture za sanaciju kaštela </w:t>
      </w:r>
      <w:proofErr w:type="spellStart"/>
      <w:r>
        <w:t>Rota</w:t>
      </w:r>
      <w:proofErr w:type="spellEnd"/>
      <w:r>
        <w:t xml:space="preserve"> 300.000 kuna</w:t>
      </w:r>
    </w:p>
    <w:p w14:paraId="170FB26B" w14:textId="301567F2" w:rsidR="00972419" w:rsidRDefault="00972419" w:rsidP="00972419">
      <w:pPr>
        <w:numPr>
          <w:ilvl w:val="3"/>
          <w:numId w:val="1"/>
        </w:numPr>
      </w:pPr>
      <w:r>
        <w:t>od Fonda za zaštitu okoliša i energetsku učinkovitost za sufinanciranje projekta Pametni gradovi 80.000 kuna</w:t>
      </w:r>
    </w:p>
    <w:p w14:paraId="5E80D6AD" w14:textId="77777777" w:rsidR="00C15FA6" w:rsidRDefault="00C15FA6" w:rsidP="00C15FA6">
      <w:pPr>
        <w:numPr>
          <w:ilvl w:val="3"/>
          <w:numId w:val="1"/>
        </w:numPr>
      </w:pPr>
      <w:r>
        <w:t>od Istarske županije za uređenje uredskog prostora u potkrovlju zgrade Uprave u iznosu od 82.650 kuna</w:t>
      </w:r>
    </w:p>
    <w:p w14:paraId="0FB89540" w14:textId="47187D54" w:rsidR="00C15FA6" w:rsidRDefault="00C15FA6" w:rsidP="00C15FA6">
      <w:pPr>
        <w:numPr>
          <w:ilvl w:val="3"/>
          <w:numId w:val="1"/>
        </w:numPr>
      </w:pPr>
      <w:r>
        <w:t xml:space="preserve">od Istarske županije za sufinanciranje projekta sanacije i uređenja kaštela </w:t>
      </w:r>
      <w:proofErr w:type="spellStart"/>
      <w:r>
        <w:t>Rota</w:t>
      </w:r>
      <w:proofErr w:type="spellEnd"/>
      <w:r>
        <w:t xml:space="preserve"> u iznosu od 100.000 kuna</w:t>
      </w:r>
    </w:p>
    <w:p w14:paraId="118CCD38" w14:textId="34A07C10" w:rsidR="00972419" w:rsidRDefault="00972419" w:rsidP="00C15FA6">
      <w:pPr>
        <w:numPr>
          <w:ilvl w:val="3"/>
          <w:numId w:val="1"/>
        </w:numPr>
      </w:pPr>
      <w:r>
        <w:t>od Istarske županije za sufinanciranje projekta sanacije spomenika Palim borcima 50.000 kuna</w:t>
      </w:r>
    </w:p>
    <w:p w14:paraId="42628FD9" w14:textId="77777777" w:rsidR="00C24553" w:rsidRPr="00E80A17" w:rsidRDefault="00C24553" w:rsidP="00236747">
      <w:pPr>
        <w:ind w:left="1416"/>
        <w:rPr>
          <w:sz w:val="20"/>
          <w:szCs w:val="20"/>
        </w:rPr>
      </w:pPr>
    </w:p>
    <w:p w14:paraId="5A355EEF" w14:textId="0246B43A" w:rsidR="005712E4" w:rsidRPr="00E80A17" w:rsidRDefault="005712E4" w:rsidP="005712E4">
      <w:pPr>
        <w:ind w:left="1416"/>
      </w:pPr>
      <w:r w:rsidRPr="00E80A17">
        <w:t>1.2.</w:t>
      </w:r>
      <w:r w:rsidR="0005555F">
        <w:t>3</w:t>
      </w:r>
      <w:r w:rsidRPr="00E80A17">
        <w:t xml:space="preserve">. Tekuće pomoći izravnanja za decentralizirane funkcije vatrogastva ostvarene su u iznosu od </w:t>
      </w:r>
      <w:r w:rsidR="008F3D85">
        <w:t>735.444</w:t>
      </w:r>
      <w:r w:rsidRPr="00E80A17">
        <w:t xml:space="preserve"> kuna</w:t>
      </w:r>
      <w:r w:rsidR="008F3D85">
        <w:t xml:space="preserve"> što gotovo odgovara realizaciji u prethodnoj godini</w:t>
      </w:r>
      <w:r w:rsidRPr="00E80A17">
        <w:t xml:space="preserve">. Navedena sredstva doznačuju se </w:t>
      </w:r>
      <w:r w:rsidR="00E018CC" w:rsidRPr="00E80A17">
        <w:t xml:space="preserve">iz državnog proračuna </w:t>
      </w:r>
      <w:r w:rsidRPr="00E80A17">
        <w:t xml:space="preserve">direktno na </w:t>
      </w:r>
      <w:r w:rsidR="00E018CC" w:rsidRPr="00E80A17">
        <w:t>transakcijski</w:t>
      </w:r>
      <w:r w:rsidRPr="00E80A17">
        <w:t xml:space="preserve"> račun Grada Umaga k</w:t>
      </w:r>
      <w:r w:rsidR="00F93FBE" w:rsidRPr="00E80A17">
        <w:t>oji je</w:t>
      </w:r>
      <w:r w:rsidRPr="00E80A17">
        <w:t xml:space="preserve"> nositelj financiranja JVP Umag.</w:t>
      </w:r>
    </w:p>
    <w:p w14:paraId="4C87CE44" w14:textId="77777777" w:rsidR="005712E4" w:rsidRPr="00E80A17" w:rsidRDefault="005712E4" w:rsidP="005712E4">
      <w:pPr>
        <w:ind w:left="1440"/>
        <w:rPr>
          <w:color w:val="FF0000"/>
          <w:sz w:val="20"/>
          <w:szCs w:val="20"/>
        </w:rPr>
      </w:pPr>
    </w:p>
    <w:p w14:paraId="1100DF92" w14:textId="5D39D22C" w:rsidR="005712E4" w:rsidRPr="00E80A17" w:rsidRDefault="005712E4" w:rsidP="005712E4">
      <w:pPr>
        <w:ind w:left="1440"/>
      </w:pPr>
      <w:r w:rsidRPr="00E80A17">
        <w:lastRenderedPageBreak/>
        <w:t>1.2.</w:t>
      </w:r>
      <w:r w:rsidR="00B75B07">
        <w:t>4</w:t>
      </w:r>
      <w:r w:rsidRPr="00E80A17">
        <w:t xml:space="preserve">. Pomoći proračunskim korisnicima iz proračuna koji im nije nadležan ostvarene su u ukupnom iznosu od </w:t>
      </w:r>
      <w:r w:rsidR="008F3D85">
        <w:t>620.107</w:t>
      </w:r>
      <w:r w:rsidRPr="00E80A17">
        <w:t xml:space="preserve"> kuna</w:t>
      </w:r>
      <w:r w:rsidR="00376616" w:rsidRPr="00E80A17">
        <w:t xml:space="preserve"> ili </w:t>
      </w:r>
      <w:r w:rsidR="0005555F">
        <w:t>5</w:t>
      </w:r>
      <w:r w:rsidR="00376616" w:rsidRPr="00E80A17">
        <w:t xml:space="preserve">% </w:t>
      </w:r>
      <w:r w:rsidR="008F3D85">
        <w:t>više od</w:t>
      </w:r>
      <w:r w:rsidR="00FA3D86" w:rsidRPr="00E80A17">
        <w:t xml:space="preserve"> </w:t>
      </w:r>
      <w:r w:rsidR="00376616" w:rsidRPr="00E80A17">
        <w:t>plana</w:t>
      </w:r>
      <w:r w:rsidR="007E1A73">
        <w:t xml:space="preserve"> i </w:t>
      </w:r>
      <w:r w:rsidR="008F3D85">
        <w:t>10</w:t>
      </w:r>
      <w:r w:rsidR="007E1A73">
        <w:t xml:space="preserve">% </w:t>
      </w:r>
      <w:r w:rsidR="008F3D85">
        <w:t>više</w:t>
      </w:r>
      <w:r w:rsidR="007E1A73">
        <w:t xml:space="preserve"> u odnosu na 20</w:t>
      </w:r>
      <w:r w:rsidR="0005555F">
        <w:t>20</w:t>
      </w:r>
      <w:r w:rsidR="007E1A73">
        <w:t>. godin</w:t>
      </w:r>
      <w:r w:rsidR="008F3D85">
        <w:t>u</w:t>
      </w:r>
      <w:r w:rsidR="007A43B0" w:rsidRPr="00E80A17">
        <w:t>.</w:t>
      </w:r>
      <w:r w:rsidR="007456D9" w:rsidRPr="00E80A17">
        <w:t xml:space="preserve"> </w:t>
      </w:r>
    </w:p>
    <w:p w14:paraId="698DA7D9" w14:textId="77777777" w:rsidR="00FA3D86" w:rsidRPr="00E80A17" w:rsidRDefault="00FA3D86" w:rsidP="005712E4">
      <w:pPr>
        <w:ind w:left="1440"/>
      </w:pPr>
    </w:p>
    <w:p w14:paraId="7A6D186E" w14:textId="78932B41" w:rsidR="005712E4" w:rsidRPr="00E80A17" w:rsidRDefault="005712E4" w:rsidP="005712E4">
      <w:pPr>
        <w:ind w:left="1440"/>
      </w:pPr>
      <w:r w:rsidRPr="00E80A17">
        <w:t xml:space="preserve">Dječji vrtić Buje ostvario je pomoći u ukupnom iznosu od </w:t>
      </w:r>
      <w:r w:rsidR="003B2F6E">
        <w:t>222.836</w:t>
      </w:r>
      <w:r w:rsidR="00336AC4" w:rsidRPr="00E80A17">
        <w:t xml:space="preserve"> </w:t>
      </w:r>
      <w:r w:rsidRPr="00E80A17">
        <w:t>kuna i to od:</w:t>
      </w:r>
    </w:p>
    <w:p w14:paraId="464F23AE" w14:textId="77777777" w:rsidR="005712E4" w:rsidRPr="00E80A17" w:rsidRDefault="005712E4" w:rsidP="005712E4">
      <w:pPr>
        <w:numPr>
          <w:ilvl w:val="3"/>
          <w:numId w:val="1"/>
        </w:numPr>
      </w:pPr>
      <w:r w:rsidRPr="00E80A17">
        <w:t>Ministarstva znanosti, obrazovanja i sporta za provođenje</w:t>
      </w:r>
    </w:p>
    <w:p w14:paraId="65189D74" w14:textId="2981A59D" w:rsidR="005712E4" w:rsidRPr="00E80A17" w:rsidRDefault="005712E4" w:rsidP="005712E4">
      <w:pPr>
        <w:ind w:left="2880"/>
      </w:pPr>
      <w:r w:rsidRPr="00E80A17">
        <w:t xml:space="preserve">programa </w:t>
      </w:r>
      <w:proofErr w:type="spellStart"/>
      <w:r w:rsidRPr="00E80A17">
        <w:t>predškole</w:t>
      </w:r>
      <w:proofErr w:type="spellEnd"/>
      <w:r w:rsidRPr="00E80A17">
        <w:t xml:space="preserve">                    </w:t>
      </w:r>
      <w:r w:rsidRPr="00E80A17">
        <w:tab/>
      </w:r>
      <w:r w:rsidRPr="00E80A17">
        <w:tab/>
        <w:t xml:space="preserve">  </w:t>
      </w:r>
      <w:r w:rsidR="006E7FDA" w:rsidRPr="00E80A17">
        <w:t xml:space="preserve">    </w:t>
      </w:r>
      <w:r w:rsidR="00D1134F" w:rsidRPr="00E80A17">
        <w:t xml:space="preserve">        </w:t>
      </w:r>
      <w:r w:rsidR="006E7FDA" w:rsidRPr="00E80A17">
        <w:t xml:space="preserve">  </w:t>
      </w:r>
      <w:r w:rsidR="003B2F6E">
        <w:t>5.760</w:t>
      </w:r>
    </w:p>
    <w:p w14:paraId="7C5D63C6" w14:textId="77777777" w:rsidR="003537B9" w:rsidRPr="00E80A17" w:rsidRDefault="003537B9" w:rsidP="003537B9">
      <w:pPr>
        <w:numPr>
          <w:ilvl w:val="3"/>
          <w:numId w:val="1"/>
        </w:numPr>
      </w:pPr>
      <w:r w:rsidRPr="00E80A17">
        <w:t>Ministarstva znanosti, obrazovanja i sporta za provođenje</w:t>
      </w:r>
    </w:p>
    <w:p w14:paraId="25C98DB4" w14:textId="42B758C9" w:rsidR="00914BC2" w:rsidRPr="00E80A17" w:rsidRDefault="003537B9" w:rsidP="003537B9">
      <w:pPr>
        <w:ind w:left="2880"/>
      </w:pPr>
      <w:r w:rsidRPr="00E80A17">
        <w:t xml:space="preserve">programa za djecu s teškoćama u integraciji     </w:t>
      </w:r>
      <w:r w:rsidR="00336AC4" w:rsidRPr="00E80A17">
        <w:t xml:space="preserve">  </w:t>
      </w:r>
      <w:r w:rsidR="00D1134F" w:rsidRPr="00E80A17">
        <w:t xml:space="preserve">         </w:t>
      </w:r>
      <w:r w:rsidR="003B2F6E">
        <w:t>6</w:t>
      </w:r>
      <w:r w:rsidR="00D1293A">
        <w:t>.400</w:t>
      </w:r>
    </w:p>
    <w:p w14:paraId="404E0616" w14:textId="110BC7D7" w:rsidR="009D69CA" w:rsidRPr="00E80A17" w:rsidRDefault="005712E4" w:rsidP="009D69CA">
      <w:pPr>
        <w:numPr>
          <w:ilvl w:val="3"/>
          <w:numId w:val="1"/>
        </w:numPr>
      </w:pPr>
      <w:r w:rsidRPr="00E80A17">
        <w:t xml:space="preserve">Općine Grožnjan za sufinanciranje vrtića        </w:t>
      </w:r>
      <w:r w:rsidR="00D1134F" w:rsidRPr="00E80A17">
        <w:t xml:space="preserve">    </w:t>
      </w:r>
      <w:r w:rsidRPr="00E80A17">
        <w:t xml:space="preserve"> </w:t>
      </w:r>
      <w:r w:rsidR="00D1134F" w:rsidRPr="00E80A17">
        <w:t xml:space="preserve">   </w:t>
      </w:r>
      <w:r w:rsidR="007874D7">
        <w:t xml:space="preserve"> </w:t>
      </w:r>
      <w:r w:rsidR="003B2F6E">
        <w:t>210.676</w:t>
      </w:r>
      <w:r w:rsidR="009D69CA" w:rsidRPr="00E80A17">
        <w:t xml:space="preserve"> </w:t>
      </w:r>
    </w:p>
    <w:p w14:paraId="0C4C4FB7" w14:textId="77777777" w:rsidR="005712E4" w:rsidRPr="00E80A17" w:rsidRDefault="005712E4" w:rsidP="005712E4">
      <w:pPr>
        <w:ind w:left="2880"/>
      </w:pPr>
    </w:p>
    <w:p w14:paraId="669ACB29" w14:textId="22D9077D" w:rsidR="005712E4" w:rsidRDefault="005712E4" w:rsidP="005712E4">
      <w:pPr>
        <w:ind w:left="1416"/>
      </w:pPr>
      <w:r w:rsidRPr="00E80A17">
        <w:t xml:space="preserve">Talijanski dječji vrtić Mrvica ostvario je pomoći u ukupnom iznosu od </w:t>
      </w:r>
      <w:r w:rsidR="0030532C">
        <w:t>2</w:t>
      </w:r>
      <w:r w:rsidR="005D444C">
        <w:t>90.25</w:t>
      </w:r>
      <w:r w:rsidR="00B6607F">
        <w:t>7</w:t>
      </w:r>
      <w:r w:rsidRPr="00E80A17">
        <w:t xml:space="preserve"> kuna i to od:</w:t>
      </w:r>
    </w:p>
    <w:p w14:paraId="5B70E020" w14:textId="77777777" w:rsidR="00D1293A" w:rsidRPr="00E80A17" w:rsidRDefault="00D1293A" w:rsidP="00D1293A">
      <w:pPr>
        <w:numPr>
          <w:ilvl w:val="3"/>
          <w:numId w:val="1"/>
        </w:numPr>
      </w:pPr>
      <w:r w:rsidRPr="00E80A17">
        <w:t>Ministarstva znanosti, obrazovanja i sporta za provođenje</w:t>
      </w:r>
    </w:p>
    <w:p w14:paraId="14530B9C" w14:textId="1C016833" w:rsidR="00D1293A" w:rsidRPr="00E80A17" w:rsidRDefault="00D1293A" w:rsidP="00D1293A">
      <w:pPr>
        <w:ind w:left="2880"/>
      </w:pPr>
      <w:r w:rsidRPr="00E80A17">
        <w:t xml:space="preserve">programa </w:t>
      </w:r>
      <w:proofErr w:type="spellStart"/>
      <w:r w:rsidRPr="00E80A17">
        <w:t>predškole</w:t>
      </w:r>
      <w:proofErr w:type="spellEnd"/>
      <w:r w:rsidRPr="00E80A17">
        <w:t xml:space="preserve">                    </w:t>
      </w:r>
      <w:r w:rsidRPr="00E80A17">
        <w:tab/>
      </w:r>
      <w:r w:rsidRPr="00E80A17">
        <w:tab/>
        <w:t xml:space="preserve">                </w:t>
      </w:r>
      <w:r w:rsidR="009B24DB">
        <w:t xml:space="preserve"> </w:t>
      </w:r>
      <w:r w:rsidR="005D444C">
        <w:t>2.240</w:t>
      </w:r>
    </w:p>
    <w:p w14:paraId="50F12D4C" w14:textId="77777777" w:rsidR="005712E4" w:rsidRPr="00E80A17" w:rsidRDefault="005712E4" w:rsidP="005712E4">
      <w:pPr>
        <w:numPr>
          <w:ilvl w:val="3"/>
          <w:numId w:val="1"/>
        </w:numPr>
      </w:pPr>
      <w:r w:rsidRPr="00E80A17">
        <w:t>Ministarstva znanosti, obrazovanja i sporta za rad vrtića</w:t>
      </w:r>
    </w:p>
    <w:p w14:paraId="4F639D57" w14:textId="36932730" w:rsidR="005712E4" w:rsidRPr="00E80A17" w:rsidRDefault="005712E4" w:rsidP="00336AC4">
      <w:pPr>
        <w:ind w:left="2880"/>
      </w:pPr>
      <w:r w:rsidRPr="00E80A17">
        <w:t xml:space="preserve">nacionalnih manjina                                      </w:t>
      </w:r>
      <w:r w:rsidR="005A73A0" w:rsidRPr="00E80A17">
        <w:t xml:space="preserve"> </w:t>
      </w:r>
      <w:r w:rsidR="00D1134F" w:rsidRPr="00E80A17">
        <w:t xml:space="preserve">    </w:t>
      </w:r>
      <w:r w:rsidR="005A73A0" w:rsidRPr="00E80A17">
        <w:t xml:space="preserve">    </w:t>
      </w:r>
      <w:r w:rsidR="00D1134F" w:rsidRPr="00E80A17">
        <w:t xml:space="preserve">    </w:t>
      </w:r>
      <w:r w:rsidR="005D444C">
        <w:t xml:space="preserve"> 42.000</w:t>
      </w:r>
      <w:r w:rsidRPr="00E80A17">
        <w:t xml:space="preserve"> </w:t>
      </w:r>
    </w:p>
    <w:p w14:paraId="3B97FF8D" w14:textId="3EC30D51" w:rsidR="005712E4" w:rsidRPr="00E80A17" w:rsidRDefault="005712E4" w:rsidP="005712E4">
      <w:pPr>
        <w:numPr>
          <w:ilvl w:val="3"/>
          <w:numId w:val="1"/>
        </w:numPr>
      </w:pPr>
      <w:r w:rsidRPr="00E80A17">
        <w:t>Općine Grožnjan z</w:t>
      </w:r>
      <w:r w:rsidR="006E7FDA" w:rsidRPr="00E80A17">
        <w:t xml:space="preserve">a sufinanciranje vrtića       </w:t>
      </w:r>
      <w:r w:rsidR="00336AC4" w:rsidRPr="00E80A17">
        <w:t xml:space="preserve">  </w:t>
      </w:r>
      <w:r w:rsidR="00D1134F" w:rsidRPr="00E80A17">
        <w:t xml:space="preserve">        </w:t>
      </w:r>
      <w:r w:rsidR="005D444C">
        <w:t>219.60</w:t>
      </w:r>
      <w:r w:rsidR="00B6607F">
        <w:t>5</w:t>
      </w:r>
      <w:r w:rsidR="00336AC4" w:rsidRPr="00E80A17">
        <w:t xml:space="preserve"> </w:t>
      </w:r>
    </w:p>
    <w:p w14:paraId="5133A21B" w14:textId="22F55169" w:rsidR="005712E4" w:rsidRPr="00E80A17" w:rsidRDefault="005712E4" w:rsidP="005712E4">
      <w:pPr>
        <w:numPr>
          <w:ilvl w:val="3"/>
          <w:numId w:val="1"/>
        </w:numPr>
      </w:pPr>
      <w:r w:rsidRPr="00E80A17">
        <w:t xml:space="preserve">Općine </w:t>
      </w:r>
      <w:r w:rsidR="009D69CA" w:rsidRPr="00E80A17">
        <w:t>Oprtalj</w:t>
      </w:r>
      <w:r w:rsidRPr="00E80A17">
        <w:t xml:space="preserve"> za </w:t>
      </w:r>
      <w:r w:rsidR="009D69CA" w:rsidRPr="00E80A17">
        <w:t>sufinanciranje vrtića</w:t>
      </w:r>
      <w:r w:rsidRPr="00E80A17">
        <w:t xml:space="preserve">       </w:t>
      </w:r>
      <w:r w:rsidR="00306660" w:rsidRPr="00E80A17">
        <w:t xml:space="preserve"> </w:t>
      </w:r>
      <w:r w:rsidRPr="00E80A17">
        <w:t xml:space="preserve">   </w:t>
      </w:r>
      <w:r w:rsidR="009D69CA" w:rsidRPr="00E80A17">
        <w:t xml:space="preserve"> </w:t>
      </w:r>
      <w:r w:rsidR="007456D9" w:rsidRPr="00E80A17">
        <w:t xml:space="preserve"> </w:t>
      </w:r>
      <w:r w:rsidR="00D1134F" w:rsidRPr="00E80A17">
        <w:t xml:space="preserve">        </w:t>
      </w:r>
      <w:r w:rsidR="005D444C">
        <w:t xml:space="preserve"> 26.412</w:t>
      </w:r>
    </w:p>
    <w:p w14:paraId="44DED680" w14:textId="77777777" w:rsidR="005712E4" w:rsidRPr="00E80A17" w:rsidRDefault="005712E4" w:rsidP="005712E4"/>
    <w:p w14:paraId="33D7CD89" w14:textId="63413784" w:rsidR="005712E4" w:rsidRPr="00E80A17" w:rsidRDefault="005712E4" w:rsidP="005712E4">
      <w:pPr>
        <w:ind w:left="1416"/>
      </w:pPr>
      <w:r w:rsidRPr="00E80A17">
        <w:t xml:space="preserve">Pučko otvoreno učilište ostvarilo je pomoći u ukupnom iznosu od </w:t>
      </w:r>
      <w:r w:rsidR="0026024F">
        <w:t>107.014</w:t>
      </w:r>
      <w:r w:rsidRPr="00E80A17">
        <w:t xml:space="preserve"> kuna i to od:</w:t>
      </w:r>
    </w:p>
    <w:p w14:paraId="78F4BCDC" w14:textId="77777777" w:rsidR="002C5216" w:rsidRPr="00E80A17" w:rsidRDefault="002C5216" w:rsidP="002C5216">
      <w:pPr>
        <w:numPr>
          <w:ilvl w:val="3"/>
          <w:numId w:val="1"/>
        </w:numPr>
      </w:pPr>
      <w:r w:rsidRPr="00E80A17">
        <w:t>Ministarstva kulture za nabavu knjiga za Gradsku</w:t>
      </w:r>
    </w:p>
    <w:p w14:paraId="5FFE37AF" w14:textId="1663FD5A" w:rsidR="002C5216" w:rsidRDefault="002C5216" w:rsidP="002C5216">
      <w:pPr>
        <w:ind w:left="2880"/>
      </w:pPr>
      <w:r w:rsidRPr="00E80A17">
        <w:t xml:space="preserve">knjižnicu                                                                    </w:t>
      </w:r>
      <w:r w:rsidR="0026024F">
        <w:t>20</w:t>
      </w:r>
      <w:r w:rsidRPr="00E80A17">
        <w:t xml:space="preserve">.000  </w:t>
      </w:r>
    </w:p>
    <w:p w14:paraId="14FB35A6" w14:textId="57973F63" w:rsidR="00751FB8" w:rsidRPr="00E80A17" w:rsidRDefault="004F1B5B" w:rsidP="00D9308C">
      <w:pPr>
        <w:pStyle w:val="Odlomakpopisa"/>
        <w:numPr>
          <w:ilvl w:val="3"/>
          <w:numId w:val="1"/>
        </w:numPr>
      </w:pPr>
      <w:r>
        <w:t xml:space="preserve">Agencije za plaćanja u poljoprivredi, ribarstvu i ruralnom razvoju </w:t>
      </w:r>
      <w:r w:rsidR="00D9308C">
        <w:t xml:space="preserve">kao potporu </w:t>
      </w:r>
      <w:r w:rsidR="00751FB8">
        <w:t>lokaln</w:t>
      </w:r>
      <w:r w:rsidR="00D9308C">
        <w:t>om</w:t>
      </w:r>
      <w:r w:rsidR="00751FB8">
        <w:t xml:space="preserve"> razvoj</w:t>
      </w:r>
      <w:r w:rsidR="00D9308C">
        <w:t>u</w:t>
      </w:r>
      <w:r w:rsidR="00751FB8">
        <w:t xml:space="preserve"> u </w:t>
      </w:r>
      <w:r w:rsidR="00D9308C">
        <w:t>okviru</w:t>
      </w:r>
      <w:r w:rsidR="00751FB8">
        <w:t xml:space="preserve"> inicijative LEADER           </w:t>
      </w:r>
      <w:r w:rsidR="00D9308C">
        <w:t xml:space="preserve">                                                          </w:t>
      </w:r>
      <w:r w:rsidR="00751FB8">
        <w:t>4.014</w:t>
      </w:r>
    </w:p>
    <w:p w14:paraId="36AB26D7" w14:textId="77777777" w:rsidR="007A1104" w:rsidRDefault="007A1104" w:rsidP="001F6909">
      <w:pPr>
        <w:numPr>
          <w:ilvl w:val="3"/>
          <w:numId w:val="1"/>
        </w:numPr>
      </w:pPr>
      <w:r>
        <w:t xml:space="preserve">Istarske županije za sufinanciranje manifestacije </w:t>
      </w:r>
    </w:p>
    <w:p w14:paraId="5EFDE005" w14:textId="77777777" w:rsidR="00AD4474" w:rsidRDefault="007A1104" w:rsidP="007A1104">
      <w:pPr>
        <w:ind w:left="2880"/>
      </w:pPr>
      <w:proofErr w:type="spellStart"/>
      <w:r>
        <w:t>Pišćaci</w:t>
      </w:r>
      <w:proofErr w:type="spellEnd"/>
      <w:r>
        <w:t xml:space="preserve"> i gunjci </w:t>
      </w:r>
      <w:r w:rsidR="00AD4474" w:rsidRPr="00E80A17">
        <w:t xml:space="preserve">          </w:t>
      </w:r>
      <w:r w:rsidR="00D1134F" w:rsidRPr="00E80A17">
        <w:t xml:space="preserve">  </w:t>
      </w:r>
      <w:r>
        <w:tab/>
      </w:r>
      <w:r>
        <w:tab/>
      </w:r>
      <w:r>
        <w:tab/>
      </w:r>
      <w:r>
        <w:tab/>
        <w:t xml:space="preserve"> 12.000</w:t>
      </w:r>
    </w:p>
    <w:p w14:paraId="4C87F875" w14:textId="77777777" w:rsidR="007A1104" w:rsidRDefault="007A1104" w:rsidP="007A1104">
      <w:pPr>
        <w:numPr>
          <w:ilvl w:val="3"/>
          <w:numId w:val="1"/>
        </w:numPr>
      </w:pPr>
      <w:r>
        <w:t xml:space="preserve">Istarske županije za sufinanciranje manifestacije </w:t>
      </w:r>
    </w:p>
    <w:p w14:paraId="175375C6" w14:textId="77777777" w:rsidR="007A1104" w:rsidRDefault="007A1104" w:rsidP="007A1104">
      <w:pPr>
        <w:ind w:left="2880"/>
      </w:pPr>
      <w:proofErr w:type="spellStart"/>
      <w:r>
        <w:t>Organum</w:t>
      </w:r>
      <w:proofErr w:type="spellEnd"/>
      <w:r>
        <w:t xml:space="preserve"> </w:t>
      </w:r>
      <w:proofErr w:type="spellStart"/>
      <w:r>
        <w:t>Histriae</w:t>
      </w:r>
      <w:proofErr w:type="spellEnd"/>
      <w:r>
        <w:t xml:space="preserve"> </w:t>
      </w:r>
      <w:r w:rsidRPr="00E80A17">
        <w:t xml:space="preserve">            </w:t>
      </w:r>
      <w:r>
        <w:tab/>
      </w:r>
      <w:r>
        <w:tab/>
      </w:r>
      <w:r>
        <w:tab/>
      </w:r>
      <w:r>
        <w:tab/>
        <w:t xml:space="preserve"> 40.000</w:t>
      </w:r>
    </w:p>
    <w:p w14:paraId="77D9FB87" w14:textId="77777777" w:rsidR="007A1104" w:rsidRDefault="007A1104" w:rsidP="007A1104">
      <w:pPr>
        <w:numPr>
          <w:ilvl w:val="3"/>
          <w:numId w:val="1"/>
        </w:numPr>
      </w:pPr>
      <w:r>
        <w:t xml:space="preserve">Istarske županije za sufinanciranje ciklusa </w:t>
      </w:r>
    </w:p>
    <w:p w14:paraId="009358A4" w14:textId="77777777" w:rsidR="007A1104" w:rsidRDefault="007A1104" w:rsidP="007A1104">
      <w:pPr>
        <w:ind w:left="2880"/>
      </w:pPr>
      <w:r>
        <w:t>radionica etno glazbe Istre</w:t>
      </w:r>
      <w:r>
        <w:tab/>
      </w:r>
      <w:r>
        <w:tab/>
        <w:t xml:space="preserve"> </w:t>
      </w:r>
      <w:r>
        <w:tab/>
      </w:r>
      <w:r>
        <w:tab/>
        <w:t xml:space="preserve"> 11.000</w:t>
      </w:r>
    </w:p>
    <w:p w14:paraId="2FBC42F4" w14:textId="77777777" w:rsidR="007A1104" w:rsidRDefault="007A1104" w:rsidP="007A1104">
      <w:pPr>
        <w:numPr>
          <w:ilvl w:val="3"/>
          <w:numId w:val="1"/>
        </w:numPr>
      </w:pPr>
      <w:r>
        <w:t>Istarske županije za sufinanciranje ciklusa</w:t>
      </w:r>
    </w:p>
    <w:p w14:paraId="64614708" w14:textId="296BFF6C" w:rsidR="007A1104" w:rsidRDefault="007A1104" w:rsidP="007A1104">
      <w:pPr>
        <w:ind w:left="2880"/>
      </w:pPr>
      <w:r>
        <w:t xml:space="preserve">predavanja kaštel </w:t>
      </w:r>
      <w:proofErr w:type="spellStart"/>
      <w:r>
        <w:t>Rota</w:t>
      </w:r>
      <w:proofErr w:type="spellEnd"/>
      <w:r>
        <w:t xml:space="preserve"> u </w:t>
      </w:r>
      <w:proofErr w:type="spellStart"/>
      <w:r>
        <w:t>Momjanu</w:t>
      </w:r>
      <w:proofErr w:type="spellEnd"/>
      <w:r>
        <w:t xml:space="preserve">            </w:t>
      </w:r>
      <w:r w:rsidR="00FB3075">
        <w:t xml:space="preserve">                </w:t>
      </w:r>
      <w:r>
        <w:t>10.000</w:t>
      </w:r>
    </w:p>
    <w:p w14:paraId="1AFED5F1" w14:textId="16D1426E" w:rsidR="00FB3075" w:rsidRDefault="00FB3075" w:rsidP="00FB3075">
      <w:pPr>
        <w:pStyle w:val="Odlomakpopisa"/>
        <w:numPr>
          <w:ilvl w:val="3"/>
          <w:numId w:val="1"/>
        </w:numPr>
      </w:pPr>
      <w:r>
        <w:t>Istarske županije za sufinanciranje projekta – umjetničke instalacije – Kaštel u cvatu                                         10.000</w:t>
      </w:r>
    </w:p>
    <w:p w14:paraId="23E0ED9B" w14:textId="77777777" w:rsidR="00D1293A" w:rsidRDefault="00D1293A" w:rsidP="005712E4">
      <w:pPr>
        <w:rPr>
          <w:sz w:val="20"/>
          <w:szCs w:val="20"/>
        </w:rPr>
      </w:pPr>
    </w:p>
    <w:p w14:paraId="07081879" w14:textId="7C8C15FD" w:rsidR="00B75B07" w:rsidRDefault="005712E4" w:rsidP="008D1244">
      <w:pPr>
        <w:ind w:left="1410"/>
      </w:pPr>
      <w:r w:rsidRPr="00E80A17">
        <w:t>1.2.</w:t>
      </w:r>
      <w:r w:rsidR="00B75B07">
        <w:t>5</w:t>
      </w:r>
      <w:r w:rsidRPr="00E80A17">
        <w:t xml:space="preserve">. Pomoći iz državnog proračuna temeljem prijenosa EU sredstava </w:t>
      </w:r>
      <w:r w:rsidR="008D1244">
        <w:t>u 202</w:t>
      </w:r>
      <w:r w:rsidR="00B75B07">
        <w:t>1</w:t>
      </w:r>
      <w:r w:rsidR="008D1244">
        <w:t>. godin</w:t>
      </w:r>
      <w:r w:rsidR="00D9308C">
        <w:t>i ostvarene su</w:t>
      </w:r>
      <w:r w:rsidR="008D1244">
        <w:t xml:space="preserve"> u iznosu od </w:t>
      </w:r>
      <w:r w:rsidR="00D9308C">
        <w:t>1.208.773</w:t>
      </w:r>
      <w:r w:rsidR="008D1244">
        <w:t xml:space="preserve"> kuna, a odnose se na refundaciju sredstava za projekt Energetske obnove zgrade </w:t>
      </w:r>
      <w:r w:rsidR="006B0F85">
        <w:t>G</w:t>
      </w:r>
      <w:r w:rsidR="008D1244">
        <w:t xml:space="preserve">radske uprave </w:t>
      </w:r>
      <w:r w:rsidR="00B75B07">
        <w:t xml:space="preserve">u iznosu od 145.540 kuna </w:t>
      </w:r>
      <w:r w:rsidR="008D1244">
        <w:t xml:space="preserve">i projekt Energetske obnove zgrade u </w:t>
      </w:r>
      <w:r w:rsidR="00B75B07">
        <w:t xml:space="preserve">dječjeg vrtića u iznosu od </w:t>
      </w:r>
      <w:r w:rsidR="00057F1E">
        <w:t>1.063.233</w:t>
      </w:r>
      <w:r w:rsidR="00B75B07">
        <w:t xml:space="preserve"> kuna</w:t>
      </w:r>
      <w:r w:rsidR="008D1244">
        <w:t xml:space="preserve">. </w:t>
      </w:r>
    </w:p>
    <w:p w14:paraId="6890AE52" w14:textId="6E2C2184" w:rsidR="00057F1E" w:rsidRPr="004A7618" w:rsidRDefault="00057F1E" w:rsidP="00057F1E">
      <w:pPr>
        <w:ind w:left="1410" w:firstLine="6"/>
      </w:pPr>
      <w:r w:rsidRPr="004A7618">
        <w:t>U odnosu na 2020. godinu</w:t>
      </w:r>
      <w:r>
        <w:t>,</w:t>
      </w:r>
      <w:r w:rsidRPr="004A7618">
        <w:t xml:space="preserve"> kada je realizirana glavnina </w:t>
      </w:r>
      <w:r>
        <w:t xml:space="preserve">prihoda </w:t>
      </w:r>
      <w:r w:rsidRPr="004A7618">
        <w:t xml:space="preserve">sredstava </w:t>
      </w:r>
      <w:r>
        <w:t xml:space="preserve">za </w:t>
      </w:r>
      <w:r w:rsidRPr="004A7618">
        <w:t>sufinanciranj</w:t>
      </w:r>
      <w:r>
        <w:t>e</w:t>
      </w:r>
      <w:r w:rsidRPr="004A7618">
        <w:t xml:space="preserve"> projekata energetske obnove javnih zgrada i projekta izgradnje </w:t>
      </w:r>
      <w:proofErr w:type="spellStart"/>
      <w:r w:rsidRPr="004A7618">
        <w:t>reciklažnog</w:t>
      </w:r>
      <w:proofErr w:type="spellEnd"/>
      <w:r w:rsidRPr="004A7618">
        <w:t xml:space="preserve"> dvorišta, smanjenje ove vrste prihoda iznosi 71%</w:t>
      </w:r>
      <w:r w:rsidR="003D33A0">
        <w:t xml:space="preserve"> i predstavlja vrijednosno najznač</w:t>
      </w:r>
      <w:r w:rsidR="005E63AE">
        <w:t>a</w:t>
      </w:r>
      <w:r w:rsidR="003D33A0">
        <w:t>jniju stavku smanjenja na prihodima u odnosu na prethodnu godinu</w:t>
      </w:r>
      <w:r w:rsidRPr="004A7618">
        <w:t>.</w:t>
      </w:r>
    </w:p>
    <w:p w14:paraId="2534759C" w14:textId="77777777" w:rsidR="00057F1E" w:rsidRDefault="00057F1E" w:rsidP="008D1244">
      <w:pPr>
        <w:ind w:left="1410"/>
      </w:pPr>
    </w:p>
    <w:p w14:paraId="71775C2E" w14:textId="77777777" w:rsidR="005712E4" w:rsidRPr="00E80A17" w:rsidRDefault="005712E4" w:rsidP="005712E4">
      <w:pPr>
        <w:pStyle w:val="Uvuenotijeloteksta"/>
        <w:ind w:left="0"/>
        <w:rPr>
          <w:color w:val="FF0000"/>
          <w:sz w:val="20"/>
          <w:szCs w:val="20"/>
        </w:rPr>
      </w:pPr>
    </w:p>
    <w:p w14:paraId="0B1851D1" w14:textId="1061E61E" w:rsidR="005712E4" w:rsidRPr="00E80A17" w:rsidRDefault="005712E4" w:rsidP="005712E4">
      <w:pPr>
        <w:pStyle w:val="Uvuenotijeloteksta"/>
      </w:pPr>
      <w:r w:rsidRPr="00E80A17">
        <w:t xml:space="preserve">1.3. Prihodi od imovine ostvareni su u ukupnom iznosu od </w:t>
      </w:r>
      <w:r w:rsidR="003D33A0">
        <w:t>1.472.417</w:t>
      </w:r>
      <w:r w:rsidRPr="00E80A17">
        <w:t xml:space="preserve"> kuna ili </w:t>
      </w:r>
      <w:r w:rsidR="003D33A0">
        <w:t>3</w:t>
      </w:r>
      <w:r w:rsidRPr="00E80A17">
        <w:t xml:space="preserve">% </w:t>
      </w:r>
      <w:r w:rsidR="003D33A0">
        <w:t xml:space="preserve">manje od </w:t>
      </w:r>
      <w:r w:rsidRPr="00E80A17">
        <w:t xml:space="preserve">plana i </w:t>
      </w:r>
      <w:r w:rsidR="00964057">
        <w:t>7</w:t>
      </w:r>
      <w:r w:rsidRPr="00E80A17">
        <w:t xml:space="preserve">% </w:t>
      </w:r>
      <w:r w:rsidR="00964057">
        <w:t>manje</w:t>
      </w:r>
      <w:r w:rsidRPr="00E80A17">
        <w:t xml:space="preserve"> u odnosu na</w:t>
      </w:r>
      <w:r w:rsidR="00192681" w:rsidRPr="00E80A17">
        <w:t xml:space="preserve"> </w:t>
      </w:r>
      <w:r w:rsidRPr="00E80A17">
        <w:t>prethodn</w:t>
      </w:r>
      <w:r w:rsidR="00964057">
        <w:t>u</w:t>
      </w:r>
      <w:r w:rsidRPr="00E80A17">
        <w:t xml:space="preserve"> godin</w:t>
      </w:r>
      <w:r w:rsidR="00964057">
        <w:t>u</w:t>
      </w:r>
      <w:r w:rsidRPr="00E80A17">
        <w:t xml:space="preserve">. </w:t>
      </w:r>
    </w:p>
    <w:p w14:paraId="3F077134" w14:textId="77777777" w:rsidR="005712E4" w:rsidRPr="00E80A17" w:rsidRDefault="005712E4" w:rsidP="005712E4">
      <w:pPr>
        <w:pStyle w:val="Uvuenotijeloteksta"/>
      </w:pPr>
    </w:p>
    <w:p w14:paraId="50A888A9" w14:textId="0D7EFA05" w:rsidR="00394CC8" w:rsidRPr="004A7618" w:rsidRDefault="005712E4" w:rsidP="00394CC8">
      <w:pPr>
        <w:pStyle w:val="Uvuenotijeloteksta"/>
        <w:ind w:left="1416"/>
      </w:pPr>
      <w:r w:rsidRPr="00E80A17">
        <w:t xml:space="preserve">1.3.1. </w:t>
      </w:r>
      <w:r w:rsidR="00394CC8" w:rsidRPr="004A7618">
        <w:t xml:space="preserve">Prihodi od financijske imovine ostvareni su u iznosu od </w:t>
      </w:r>
      <w:r w:rsidR="00601D01">
        <w:t>124.482</w:t>
      </w:r>
      <w:r w:rsidR="00394CC8" w:rsidRPr="004A7618">
        <w:t xml:space="preserve"> kuna ili za </w:t>
      </w:r>
      <w:r w:rsidR="00394CC8">
        <w:t>59</w:t>
      </w:r>
      <w:r w:rsidR="00394CC8" w:rsidRPr="004A7618">
        <w:t>% više u odnosu na prethodn</w:t>
      </w:r>
      <w:r w:rsidR="00394CC8">
        <w:t>u</w:t>
      </w:r>
      <w:r w:rsidR="00394CC8" w:rsidRPr="004A7618">
        <w:t xml:space="preserve"> godin</w:t>
      </w:r>
      <w:r w:rsidR="00394CC8">
        <w:t>u</w:t>
      </w:r>
      <w:r w:rsidR="00394CC8" w:rsidRPr="004A7618">
        <w:t>, a odnose se uglavnom na prihod od zateznih kamata.</w:t>
      </w:r>
    </w:p>
    <w:p w14:paraId="4B95CC7E" w14:textId="380AE46A" w:rsidR="005712E4" w:rsidRDefault="00394CC8" w:rsidP="00394CC8">
      <w:pPr>
        <w:pStyle w:val="Uvuenotijeloteksta"/>
        <w:ind w:left="1416"/>
      </w:pPr>
      <w:r w:rsidRPr="004A7618">
        <w:t>Na osnovi Zakona o dopuni Zakona o provedbi ovrhe na novčanim sredstvima (NN 47/20) i Odluke o produženju roka trajanja posebnih okolnosti (NN 83/20) u jednom dijelu prethodne godine nisu se provodili ovršni postupci</w:t>
      </w:r>
      <w:r>
        <w:t>.</w:t>
      </w:r>
    </w:p>
    <w:p w14:paraId="14E9943F" w14:textId="2E0EBCEA" w:rsidR="00394CC8" w:rsidRDefault="00394CC8" w:rsidP="00394CC8">
      <w:pPr>
        <w:pStyle w:val="Uvuenotijeloteksta"/>
        <w:ind w:left="1416"/>
      </w:pPr>
      <w:r>
        <w:t xml:space="preserve">Po osnovi </w:t>
      </w:r>
      <w:r w:rsidR="007540A6">
        <w:t xml:space="preserve">isplaćene </w:t>
      </w:r>
      <w:r>
        <w:t>dobiti trgovačk</w:t>
      </w:r>
      <w:r w:rsidR="007540A6">
        <w:t>i</w:t>
      </w:r>
      <w:r>
        <w:t>h društava u suvlasništvu realizi</w:t>
      </w:r>
      <w:r w:rsidR="005E63AE">
        <w:t>r</w:t>
      </w:r>
      <w:r>
        <w:t>ano je 3.730 kuna</w:t>
      </w:r>
      <w:r w:rsidR="007540A6">
        <w:t xml:space="preserve"> i to od trgovačkog društva Istarska autocesta d.o.o.</w:t>
      </w:r>
    </w:p>
    <w:p w14:paraId="42FCC4A0" w14:textId="77777777" w:rsidR="00394CC8" w:rsidRPr="00E80A17" w:rsidRDefault="00394CC8" w:rsidP="00394CC8">
      <w:pPr>
        <w:pStyle w:val="Uvuenotijeloteksta"/>
        <w:ind w:left="1416"/>
      </w:pPr>
    </w:p>
    <w:p w14:paraId="6D1E6919" w14:textId="58D3AA44" w:rsidR="00827F71" w:rsidRDefault="005712E4" w:rsidP="009A1FE9">
      <w:pPr>
        <w:ind w:left="1416"/>
      </w:pPr>
      <w:r w:rsidRPr="00E80A17">
        <w:t xml:space="preserve">1.3.2. Prihodi od nefinancijske imovine ostvareni su u iznosu od </w:t>
      </w:r>
      <w:r w:rsidR="007540A6">
        <w:t xml:space="preserve">1.322.518 </w:t>
      </w:r>
      <w:r w:rsidRPr="00E80A17">
        <w:t xml:space="preserve">kuna ili </w:t>
      </w:r>
      <w:r w:rsidR="007540A6">
        <w:t>97</w:t>
      </w:r>
      <w:r w:rsidRPr="00E80A17">
        <w:t xml:space="preserve">% od </w:t>
      </w:r>
      <w:r w:rsidR="00B977CE" w:rsidRPr="00E80A17">
        <w:t xml:space="preserve"> </w:t>
      </w:r>
      <w:r w:rsidRPr="00E80A17">
        <w:t>plan</w:t>
      </w:r>
      <w:r w:rsidR="00192681" w:rsidRPr="00E80A17">
        <w:t xml:space="preserve">a </w:t>
      </w:r>
      <w:r w:rsidRPr="00E80A17">
        <w:t xml:space="preserve">i </w:t>
      </w:r>
      <w:r w:rsidR="007540A6">
        <w:t>11%</w:t>
      </w:r>
      <w:r w:rsidRPr="00E80A17">
        <w:t xml:space="preserve"> </w:t>
      </w:r>
      <w:r w:rsidR="007540A6">
        <w:t>manje</w:t>
      </w:r>
      <w:r w:rsidRPr="00E80A17">
        <w:t xml:space="preserve"> u odnosu na usporedn</w:t>
      </w:r>
      <w:r w:rsidR="007540A6">
        <w:t>u</w:t>
      </w:r>
      <w:r w:rsidR="00192681" w:rsidRPr="00E80A17">
        <w:t xml:space="preserve"> </w:t>
      </w:r>
      <w:r w:rsidRPr="00E80A17">
        <w:t>20</w:t>
      </w:r>
      <w:r w:rsidR="002B3765">
        <w:t>20</w:t>
      </w:r>
      <w:r w:rsidR="008F6CA0" w:rsidRPr="00E80A17">
        <w:t>. godin</w:t>
      </w:r>
      <w:r w:rsidR="007540A6">
        <w:t>u</w:t>
      </w:r>
      <w:r w:rsidR="008F6CA0" w:rsidRPr="00E80A17">
        <w:t>, a odnose se na naknade za koncesije, prihode od zakupa i iznajmljivanja imovine te ostale prihode i naknade za korištenje nefinancijske imovine.</w:t>
      </w:r>
      <w:r w:rsidR="0005034D">
        <w:t xml:space="preserve"> U 2021. godini realizirano je manje prihoda od zakupa poljoprivrednog zemljišta i naknada za služnost.</w:t>
      </w:r>
    </w:p>
    <w:p w14:paraId="52C2AFE2" w14:textId="77777777" w:rsidR="009A1FE9" w:rsidRPr="001D7B63" w:rsidRDefault="009A1FE9" w:rsidP="005712E4">
      <w:pPr>
        <w:pStyle w:val="Uvuenotijeloteksta"/>
        <w:ind w:left="1416"/>
      </w:pPr>
      <w:r w:rsidRPr="001D7B63">
        <w:t>Radi posebnih okolnosti uzrokovanih korona virusom, kao mjeru pomoći gospodarstvenicima, Gradsko vijeće je 26.11.2020. godine donijelo Odluku o oslobađanju plaćanja zakupnine poslovnih prostora u vlasništvu Grada Buja – Buie i javnih površina ispred poslovnih objekata od prosinca 2020. godine do ožujka 2021. godine. Mjera oslobađanja plaćanja odnosno smanjenja iznosa bila je na snazi i u razdoblju ožujak – svibanj 2020. godine.</w:t>
      </w:r>
    </w:p>
    <w:p w14:paraId="32B7E1D5" w14:textId="77777777" w:rsidR="009A1FE9" w:rsidRPr="00E80A17" w:rsidRDefault="009A1FE9" w:rsidP="00827F71">
      <w:pPr>
        <w:pStyle w:val="Uvuenotijeloteksta"/>
        <w:ind w:left="0"/>
        <w:rPr>
          <w:sz w:val="20"/>
          <w:szCs w:val="20"/>
        </w:rPr>
      </w:pPr>
    </w:p>
    <w:p w14:paraId="535F8A16" w14:textId="254D6773" w:rsidR="005712E4" w:rsidRPr="00E80A17" w:rsidRDefault="005712E4" w:rsidP="005712E4">
      <w:pPr>
        <w:pStyle w:val="Uvuenotijeloteksta"/>
        <w:ind w:left="1416"/>
      </w:pPr>
      <w:r w:rsidRPr="00E80A17">
        <w:t>1.3.3. Prihodi od kamata na dane zajmove odnose se na prihode od ugovorenih kamata po osnovi odobrenih obročnih otplata temeljem sklopljenih ugovora o kupoprodaji nekretnina i izdanih rješenja o komunalnom doprinos</w:t>
      </w:r>
      <w:r w:rsidR="00827F71">
        <w:t>u</w:t>
      </w:r>
      <w:r w:rsidR="00C103CD">
        <w:t>,</w:t>
      </w:r>
      <w:r w:rsidRPr="00E80A17">
        <w:t xml:space="preserve"> </w:t>
      </w:r>
      <w:r w:rsidR="00827F71" w:rsidRPr="004A7618">
        <w:t>a realiziran</w:t>
      </w:r>
      <w:r w:rsidR="00C103CD">
        <w:t>i</w:t>
      </w:r>
      <w:r w:rsidR="00827F71" w:rsidRPr="004A7618">
        <w:t xml:space="preserve"> su u iznosu od 25.417 kuna što je za 7.808 kuna više od ostvaren</w:t>
      </w:r>
      <w:r w:rsidR="00C103CD">
        <w:t>ih</w:t>
      </w:r>
      <w:r w:rsidR="00827F71" w:rsidRPr="004A7618">
        <w:t xml:space="preserve"> u 2020. godini.</w:t>
      </w:r>
    </w:p>
    <w:p w14:paraId="13414270" w14:textId="77777777" w:rsidR="005712E4" w:rsidRPr="00E80A17" w:rsidRDefault="005712E4" w:rsidP="005712E4">
      <w:pPr>
        <w:pStyle w:val="Uvuenotijeloteksta"/>
        <w:ind w:left="0"/>
        <w:rPr>
          <w:color w:val="FF0000"/>
          <w:sz w:val="20"/>
          <w:szCs w:val="20"/>
        </w:rPr>
      </w:pPr>
    </w:p>
    <w:p w14:paraId="499E915D" w14:textId="692DD2B0" w:rsidR="005712E4" w:rsidRDefault="005712E4" w:rsidP="005712E4">
      <w:pPr>
        <w:pStyle w:val="Uvuenotijeloteksta"/>
      </w:pPr>
      <w:r w:rsidRPr="00E80A17">
        <w:t>1.4. Prihodi od upravnih i administrativnih pristojbi i po posebnim propisima ostvareni su u ukupnom iznosu od</w:t>
      </w:r>
      <w:r w:rsidR="00F33FA8">
        <w:t xml:space="preserve"> 9.376.232</w:t>
      </w:r>
      <w:r w:rsidRPr="00E80A17">
        <w:t xml:space="preserve"> kuna </w:t>
      </w:r>
      <w:r w:rsidR="00F33FA8">
        <w:t>što gotovo odgovara realizaciji u prethodnoj godini. U od ukupno planiranog iznosa prihoda za 2021. godinu realizirano je 87</w:t>
      </w:r>
      <w:r w:rsidRPr="00E80A17">
        <w:t>%</w:t>
      </w:r>
      <w:r w:rsidR="00F33FA8">
        <w:t>.</w:t>
      </w:r>
      <w:r w:rsidRPr="00E80A17">
        <w:t xml:space="preserve"> </w:t>
      </w:r>
    </w:p>
    <w:p w14:paraId="1DF88D4B" w14:textId="77777777" w:rsidR="0075228A" w:rsidRDefault="0075228A" w:rsidP="005712E4">
      <w:pPr>
        <w:pStyle w:val="Uvuenotijeloteksta"/>
      </w:pPr>
    </w:p>
    <w:p w14:paraId="780C71D2" w14:textId="3FA0B85C" w:rsidR="007B117B" w:rsidRPr="004A7618" w:rsidRDefault="0075228A" w:rsidP="0075228A">
      <w:pPr>
        <w:ind w:left="1416"/>
      </w:pPr>
      <w:r>
        <w:t xml:space="preserve">1.4.1. </w:t>
      </w:r>
      <w:r w:rsidR="007B117B" w:rsidRPr="004A7618">
        <w:t xml:space="preserve">Upravne i administrativne pristojbe odnose se na prihod od prodaje državnih biljega, ostale naknade utvrđene </w:t>
      </w:r>
      <w:r w:rsidR="00C103CD">
        <w:t>g</w:t>
      </w:r>
      <w:r w:rsidR="007B117B" w:rsidRPr="004A7618">
        <w:t xml:space="preserve">radskom </w:t>
      </w:r>
      <w:r w:rsidR="00C103CD">
        <w:t>O</w:t>
      </w:r>
      <w:r w:rsidR="007B117B" w:rsidRPr="004A7618">
        <w:t xml:space="preserve">dlukom i </w:t>
      </w:r>
      <w:r w:rsidR="00C103CD">
        <w:t xml:space="preserve">na </w:t>
      </w:r>
      <w:r w:rsidR="007B117B" w:rsidRPr="004A7618">
        <w:t>boravišne pristojbe, a ostvarene su u iznosu od 330.875 kuna ili 28% više u odnosu na 2020. godinu. U prethodnoj godini realizirano je više prihoda od naknada za prekopavanje asfaltiranih površina i od prodaje državnih biljega, dok je u tekućoj godini uslijed uspješ</w:t>
      </w:r>
      <w:r w:rsidR="007B117B">
        <w:t>nije</w:t>
      </w:r>
      <w:r w:rsidR="007B117B" w:rsidRPr="004A7618">
        <w:t xml:space="preserve"> turističke sezone došlo je do povećanja prihoda po osnovi boravišnih pristojbi.</w:t>
      </w:r>
    </w:p>
    <w:p w14:paraId="10778100" w14:textId="77777777" w:rsidR="007B117B" w:rsidRPr="004A7618" w:rsidRDefault="007B117B" w:rsidP="007B117B"/>
    <w:p w14:paraId="539C8C47" w14:textId="4C7889CB" w:rsidR="007B117B" w:rsidRPr="004A7618" w:rsidRDefault="0075228A" w:rsidP="0075228A">
      <w:pPr>
        <w:ind w:left="1416"/>
      </w:pPr>
      <w:r>
        <w:t xml:space="preserve">1.4.2. </w:t>
      </w:r>
      <w:r w:rsidR="007B117B" w:rsidRPr="004A7618">
        <w:t xml:space="preserve">Prihodi po posebnim propisima ostvareni su u iznosu od </w:t>
      </w:r>
      <w:r w:rsidR="007B117B">
        <w:t>1.261.054</w:t>
      </w:r>
      <w:r w:rsidR="007B117B" w:rsidRPr="004A7618">
        <w:t xml:space="preserve"> kuna što je za </w:t>
      </w:r>
      <w:r w:rsidR="007B117B">
        <w:t>55%</w:t>
      </w:r>
      <w:r w:rsidR="007B117B" w:rsidRPr="004A7618">
        <w:t xml:space="preserve"> više u odnosu na prethodnu godinu. </w:t>
      </w:r>
      <w:r w:rsidR="007B117B">
        <w:t>Najveći dio ovih prihoda</w:t>
      </w:r>
      <w:r w:rsidR="00C103CD">
        <w:t>, odnosno iznos od</w:t>
      </w:r>
      <w:r>
        <w:t xml:space="preserve"> </w:t>
      </w:r>
      <w:r w:rsidR="007B117B">
        <w:t>1.009.765 kuna</w:t>
      </w:r>
      <w:r w:rsidR="00C103CD">
        <w:t>,</w:t>
      </w:r>
      <w:r w:rsidR="007B117B">
        <w:t xml:space="preserve"> </w:t>
      </w:r>
      <w:r>
        <w:t>prihod</w:t>
      </w:r>
      <w:r w:rsidR="00C103CD">
        <w:t xml:space="preserve"> je</w:t>
      </w:r>
      <w:r>
        <w:t xml:space="preserve"> proračunskih korisnika po osnovi participacija. U </w:t>
      </w:r>
      <w:r w:rsidR="00C103CD">
        <w:t>usporedbi</w:t>
      </w:r>
      <w:r>
        <w:t xml:space="preserve"> na prethod</w:t>
      </w:r>
      <w:r w:rsidR="005E63AE">
        <w:t>n</w:t>
      </w:r>
      <w:r>
        <w:t>u godinu pr</w:t>
      </w:r>
      <w:r w:rsidR="00436346">
        <w:t>i</w:t>
      </w:r>
      <w:r>
        <w:t>hodi od participacija roditelja u cijene usluge povećani su za 39%. U 2020. godini, ti su prihodi bili znatno smanjeni zbog prekida rada vrtića u drugom t</w:t>
      </w:r>
      <w:r w:rsidR="005E63AE">
        <w:t>r</w:t>
      </w:r>
      <w:r>
        <w:t xml:space="preserve">omjesečju temeljem Odluke Stožera civilne zaštite te zbog primjene Odluke Gradskog vijeća o </w:t>
      </w:r>
      <w:r>
        <w:lastRenderedPageBreak/>
        <w:t>visini učešća roditelja u cijeni programa vrtića za razdoblje od siječnja do lipnja 2020. godine kojom je visina participacije bila smanjena za 25%.</w:t>
      </w:r>
    </w:p>
    <w:p w14:paraId="37BE713C" w14:textId="77777777" w:rsidR="007B117B" w:rsidRPr="004A7618" w:rsidRDefault="007B117B" w:rsidP="00436346">
      <w:pPr>
        <w:ind w:left="1416"/>
      </w:pPr>
      <w:r w:rsidRPr="004A7618">
        <w:t xml:space="preserve">U 2021. godini realizirani su prihodi od osiguranja za naknadu šteta  na nerazvrstanim cestama i drugoj javnoj infrastrukturi zbog odrona nastalih uslijed snažnog kišnog nevremena u iznosu od 178.355 kuna.  </w:t>
      </w:r>
    </w:p>
    <w:p w14:paraId="62FCCBD5" w14:textId="77777777" w:rsidR="00436346" w:rsidRDefault="00436346" w:rsidP="007B117B"/>
    <w:p w14:paraId="5CF7D2A0" w14:textId="47973BCE" w:rsidR="007B117B" w:rsidRPr="004A7618" w:rsidRDefault="00436346" w:rsidP="00436346">
      <w:pPr>
        <w:ind w:left="1416"/>
      </w:pPr>
      <w:r>
        <w:t xml:space="preserve">1.4.3. </w:t>
      </w:r>
      <w:r w:rsidR="007B117B" w:rsidRPr="004A7618">
        <w:t xml:space="preserve">Komunalni doprinosi i naknade naplaćeni su u ukupnom iznosu od 7.784.302 kuna što je </w:t>
      </w:r>
      <w:r>
        <w:t>6</w:t>
      </w:r>
      <w:r w:rsidR="007B117B" w:rsidRPr="004A7618">
        <w:t>% manje u odnosu na 2020. godinu</w:t>
      </w:r>
      <w:r>
        <w:t xml:space="preserve"> i 13% manje od plana</w:t>
      </w:r>
      <w:r w:rsidR="007B117B" w:rsidRPr="004A7618">
        <w:t xml:space="preserve">. </w:t>
      </w:r>
    </w:p>
    <w:p w14:paraId="2A583BA3" w14:textId="23BEE357" w:rsidR="007B117B" w:rsidRPr="004A7618" w:rsidRDefault="007B117B" w:rsidP="00436346">
      <w:pPr>
        <w:ind w:left="1416"/>
      </w:pPr>
      <w:r w:rsidRPr="004A7618">
        <w:t xml:space="preserve">Prihodi od komunalne naknade </w:t>
      </w:r>
      <w:r w:rsidR="002F47E4">
        <w:t xml:space="preserve">u 2021. godini </w:t>
      </w:r>
      <w:r w:rsidRPr="004A7618">
        <w:t xml:space="preserve">smanjeni su za </w:t>
      </w:r>
      <w:r w:rsidR="009A0B8C">
        <w:t>2</w:t>
      </w:r>
      <w:r w:rsidRPr="004A7618">
        <w:t xml:space="preserve">%, dok su prihodi od komunalnog doprinosa manji za </w:t>
      </w:r>
      <w:r w:rsidR="009A0B8C">
        <w:t>10</w:t>
      </w:r>
      <w:r w:rsidRPr="004A7618">
        <w:t>%. U usporednoj</w:t>
      </w:r>
      <w:r w:rsidR="00436346">
        <w:t>,</w:t>
      </w:r>
      <w:r w:rsidRPr="004A7618">
        <w:t xml:space="preserve"> prethodnoj godini </w:t>
      </w:r>
      <w:r w:rsidR="002F47E4">
        <w:t>na</w:t>
      </w:r>
      <w:r w:rsidRPr="004A7618">
        <w:t>plaćen</w:t>
      </w:r>
      <w:r w:rsidR="002F47E4">
        <w:t xml:space="preserve"> je</w:t>
      </w:r>
      <w:r w:rsidRPr="004A7618">
        <w:t xml:space="preserve"> </w:t>
      </w:r>
      <w:r w:rsidR="002F47E4">
        <w:t>komunalni doprinos za nekoliko v</w:t>
      </w:r>
      <w:r w:rsidRPr="004A7618">
        <w:t>eć</w:t>
      </w:r>
      <w:r w:rsidR="002F47E4">
        <w:t>ih</w:t>
      </w:r>
      <w:r w:rsidRPr="004A7618">
        <w:t xml:space="preserve"> investicijsk</w:t>
      </w:r>
      <w:r w:rsidR="002F47E4">
        <w:t>ih</w:t>
      </w:r>
      <w:r w:rsidRPr="004A7618">
        <w:t xml:space="preserve"> projek</w:t>
      </w:r>
      <w:r w:rsidR="002F47E4">
        <w:t>a</w:t>
      </w:r>
      <w:r w:rsidRPr="004A7618">
        <w:t xml:space="preserve">ta turističke namjene. </w:t>
      </w:r>
    </w:p>
    <w:p w14:paraId="2C8F1002" w14:textId="77777777" w:rsidR="005712E4" w:rsidRPr="00E80A17" w:rsidRDefault="005712E4" w:rsidP="005712E4">
      <w:pPr>
        <w:pStyle w:val="Uvuenotijeloteksta"/>
        <w:ind w:left="0"/>
        <w:rPr>
          <w:color w:val="FF0000"/>
          <w:sz w:val="20"/>
          <w:szCs w:val="20"/>
        </w:rPr>
      </w:pPr>
    </w:p>
    <w:p w14:paraId="0765F0CD" w14:textId="08AFE1AE" w:rsidR="00470FC6" w:rsidRDefault="005712E4" w:rsidP="005712E4">
      <w:pPr>
        <w:pStyle w:val="Uvuenotijeloteksta"/>
      </w:pPr>
      <w:r w:rsidRPr="00E80A17">
        <w:t>1.5. Prihodi od prodaje proizvoda i roba te pruženi</w:t>
      </w:r>
      <w:r w:rsidR="00601284" w:rsidRPr="00E80A17">
        <w:t xml:space="preserve">h usluga i prihodi od donacija </w:t>
      </w:r>
      <w:r w:rsidRPr="00E80A17">
        <w:t xml:space="preserve">realizirani su u iznosu od </w:t>
      </w:r>
      <w:r w:rsidR="009A0B8C">
        <w:t>428.777</w:t>
      </w:r>
      <w:r w:rsidR="0024565A" w:rsidRPr="00E80A17">
        <w:t xml:space="preserve"> kuna</w:t>
      </w:r>
      <w:r w:rsidR="00B05BD4">
        <w:t xml:space="preserve">. </w:t>
      </w:r>
    </w:p>
    <w:p w14:paraId="5E71851C" w14:textId="77777777" w:rsidR="005304D8" w:rsidRDefault="005304D8" w:rsidP="005712E4">
      <w:pPr>
        <w:pStyle w:val="Uvuenotijeloteksta"/>
      </w:pPr>
    </w:p>
    <w:p w14:paraId="6CD3944E" w14:textId="6D243D85" w:rsidR="00470FC6" w:rsidRDefault="00526B06" w:rsidP="00541AD2">
      <w:pPr>
        <w:pStyle w:val="Uvuenotijeloteksta"/>
        <w:ind w:left="1416"/>
      </w:pPr>
      <w:r>
        <w:t xml:space="preserve">1.5.1. Prihodi od prodaje proizvoda i pruženih usluga ostvareni su u iznosu od 206.023 kuna. </w:t>
      </w:r>
      <w:r w:rsidR="00470FC6">
        <w:t xml:space="preserve">Od toga </w:t>
      </w:r>
      <w:r w:rsidR="00500E0F">
        <w:t xml:space="preserve">se </w:t>
      </w:r>
      <w:r>
        <w:t>148.477</w:t>
      </w:r>
      <w:r w:rsidR="00470FC6">
        <w:t xml:space="preserve"> kuna odnosi na naknadu za obavljanje poslova naplate naknade za uređenje voda temeljem Zakona o financiranju vodnog gospodarstva i Ugovora s Hrvatskim vodama, a iznos od </w:t>
      </w:r>
      <w:r>
        <w:t>57.546</w:t>
      </w:r>
      <w:r w:rsidR="00470FC6">
        <w:t xml:space="preserve"> kuna na vlastite prihode proračunskih korisnika. </w:t>
      </w:r>
    </w:p>
    <w:p w14:paraId="22590B02" w14:textId="77777777" w:rsidR="002F47E4" w:rsidRDefault="002F47E4" w:rsidP="00541AD2">
      <w:pPr>
        <w:pStyle w:val="Uvuenotijeloteksta"/>
        <w:ind w:left="1416"/>
      </w:pPr>
    </w:p>
    <w:p w14:paraId="0BED5825" w14:textId="38AA6539" w:rsidR="001B6459" w:rsidRPr="00E80A17" w:rsidRDefault="00610228" w:rsidP="00541AD2">
      <w:pPr>
        <w:pStyle w:val="Uvuenotijeloteksta"/>
        <w:ind w:left="1416"/>
      </w:pPr>
      <w:r>
        <w:t xml:space="preserve">1.5.2. </w:t>
      </w:r>
      <w:r w:rsidR="00470FC6">
        <w:t xml:space="preserve">Prihodi od donacija </w:t>
      </w:r>
      <w:r w:rsidR="00500E0F">
        <w:t xml:space="preserve">u </w:t>
      </w:r>
      <w:r w:rsidR="00526B06">
        <w:t>2021. godini re</w:t>
      </w:r>
      <w:r>
        <w:t xml:space="preserve">alizirani su u ukupnom iznosu od 222.754 kuna. Od toga se iznos od 33.109 kuna odnosi na donacije koje su realizirali proračunski korisnici, a iznos od 189.645 kuna na </w:t>
      </w:r>
      <w:r w:rsidR="00E55F0E">
        <w:t xml:space="preserve">kapitalnu </w:t>
      </w:r>
      <w:r>
        <w:t xml:space="preserve">donaciju tvrtke </w:t>
      </w:r>
      <w:proofErr w:type="spellStart"/>
      <w:r>
        <w:t>Camper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d.o.o. </w:t>
      </w:r>
      <w:r w:rsidR="00E55F0E">
        <w:t>odnosno</w:t>
      </w:r>
      <w:r>
        <w:t xml:space="preserve"> </w:t>
      </w:r>
      <w:r w:rsidR="00CC5331">
        <w:t xml:space="preserve">na </w:t>
      </w:r>
      <w:r>
        <w:t xml:space="preserve">izgradnju potpornog zida uz parkiralište u </w:t>
      </w:r>
      <w:proofErr w:type="spellStart"/>
      <w:r>
        <w:t>Momjanu</w:t>
      </w:r>
      <w:proofErr w:type="spellEnd"/>
      <w:r>
        <w:t>.</w:t>
      </w:r>
      <w:r w:rsidR="005712E4" w:rsidRPr="00E80A17">
        <w:t xml:space="preserve"> </w:t>
      </w:r>
    </w:p>
    <w:p w14:paraId="2B5B34D2" w14:textId="77777777" w:rsidR="005712E4" w:rsidRPr="00E80A17" w:rsidRDefault="005712E4" w:rsidP="005712E4">
      <w:pPr>
        <w:ind w:left="2832" w:hanging="1422"/>
      </w:pPr>
    </w:p>
    <w:p w14:paraId="65062AAA" w14:textId="4BFAA0A4" w:rsidR="005712E4" w:rsidRPr="00E80A17" w:rsidRDefault="005712E4" w:rsidP="005712E4">
      <w:pPr>
        <w:pStyle w:val="Uvuenotijeloteksta"/>
      </w:pPr>
      <w:r w:rsidRPr="00E80A17">
        <w:t>1.6. Prihodi od kazni</w:t>
      </w:r>
      <w:r w:rsidR="00976146">
        <w:t>,</w:t>
      </w:r>
      <w:r w:rsidRPr="00E80A17">
        <w:t xml:space="preserve"> upravnih mjera </w:t>
      </w:r>
      <w:r w:rsidR="00976146">
        <w:t xml:space="preserve">i ostali prihodi </w:t>
      </w:r>
      <w:r w:rsidRPr="00E80A17">
        <w:t xml:space="preserve">ostvareni su u iznosu od </w:t>
      </w:r>
      <w:r w:rsidR="00E55F0E">
        <w:t>45.574</w:t>
      </w:r>
      <w:r w:rsidRPr="00E80A17">
        <w:t xml:space="preserve"> kuna</w:t>
      </w:r>
      <w:r w:rsidR="009A12A9" w:rsidRPr="00E80A17">
        <w:t>, a o</w:t>
      </w:r>
      <w:r w:rsidRPr="00E80A17">
        <w:t>dnose se na kazne prometnog redarstva</w:t>
      </w:r>
      <w:r w:rsidR="004D2F80" w:rsidRPr="00E80A17">
        <w:t xml:space="preserve"> </w:t>
      </w:r>
      <w:r w:rsidR="003774CC">
        <w:t xml:space="preserve">u iznosu od </w:t>
      </w:r>
      <w:r w:rsidR="00E55F0E">
        <w:t>19.182</w:t>
      </w:r>
      <w:r w:rsidR="003774CC">
        <w:t xml:space="preserve"> kuna,</w:t>
      </w:r>
      <w:r w:rsidR="00976146">
        <w:t xml:space="preserve"> </w:t>
      </w:r>
      <w:r w:rsidR="009A12A9" w:rsidRPr="00E80A17">
        <w:t xml:space="preserve">na </w:t>
      </w:r>
      <w:r w:rsidR="003774CC">
        <w:t>naknadu materijalnih troškova vezanih uz obavljanje poslova naplate naknade za uređenje voda u iznosu od</w:t>
      </w:r>
      <w:r w:rsidR="00F93484">
        <w:t xml:space="preserve"> 408</w:t>
      </w:r>
      <w:r w:rsidR="003774CC">
        <w:t xml:space="preserve"> kuna</w:t>
      </w:r>
      <w:r w:rsidR="00F93484">
        <w:t xml:space="preserve">, </w:t>
      </w:r>
      <w:r w:rsidR="00B86A08">
        <w:t xml:space="preserve">na </w:t>
      </w:r>
      <w:r w:rsidR="000466B8">
        <w:t>prihode</w:t>
      </w:r>
      <w:r w:rsidR="00F93484">
        <w:t xml:space="preserve"> proračunski</w:t>
      </w:r>
      <w:r w:rsidR="000466B8">
        <w:t>h</w:t>
      </w:r>
      <w:r w:rsidR="00F93484">
        <w:t xml:space="preserve"> korisni</w:t>
      </w:r>
      <w:r w:rsidR="000466B8">
        <w:t>ka</w:t>
      </w:r>
      <w:r w:rsidR="003774CC">
        <w:t xml:space="preserve"> </w:t>
      </w:r>
      <w:r w:rsidR="00B86A08">
        <w:t xml:space="preserve">u iznosu od </w:t>
      </w:r>
      <w:r w:rsidR="000466B8">
        <w:t>1.322</w:t>
      </w:r>
      <w:r w:rsidR="00F93484">
        <w:t xml:space="preserve"> kuna </w:t>
      </w:r>
      <w:r w:rsidR="003774CC">
        <w:t xml:space="preserve">te </w:t>
      </w:r>
      <w:r w:rsidR="00B86A08">
        <w:t xml:space="preserve">na </w:t>
      </w:r>
      <w:r w:rsidR="00F93484">
        <w:t xml:space="preserve">prihod od </w:t>
      </w:r>
      <w:proofErr w:type="spellStart"/>
      <w:r w:rsidR="00F93484">
        <w:t>ošasne</w:t>
      </w:r>
      <w:proofErr w:type="spellEnd"/>
      <w:r w:rsidR="00F93484">
        <w:t xml:space="preserve"> imovine u iznosu od 24.662 kuna.</w:t>
      </w:r>
      <w:r w:rsidR="003774CC">
        <w:t xml:space="preserve"> </w:t>
      </w:r>
    </w:p>
    <w:p w14:paraId="389F9573" w14:textId="77777777" w:rsidR="005712E4" w:rsidRPr="00E80A17" w:rsidRDefault="005712E4" w:rsidP="005712E4">
      <w:pPr>
        <w:pStyle w:val="Uvuenotijeloteksta"/>
        <w:ind w:left="0"/>
        <w:rPr>
          <w:color w:val="FF0000"/>
          <w:sz w:val="20"/>
          <w:szCs w:val="20"/>
        </w:rPr>
      </w:pPr>
    </w:p>
    <w:p w14:paraId="0E0313DA" w14:textId="35601ACA" w:rsidR="00AD4392" w:rsidRDefault="005712E4" w:rsidP="00541AD2">
      <w:pPr>
        <w:pStyle w:val="Uvuenotijeloteksta"/>
        <w:ind w:left="0"/>
      </w:pPr>
      <w:r w:rsidRPr="00E80A17">
        <w:t>2. Prihodi od prodaje nefinancijske imovine</w:t>
      </w:r>
      <w:r w:rsidR="005A7459" w:rsidRPr="00E80A17">
        <w:t xml:space="preserve"> </w:t>
      </w:r>
      <w:r w:rsidR="004D2F80" w:rsidRPr="00E80A17">
        <w:t>u</w:t>
      </w:r>
      <w:r w:rsidR="009A12A9" w:rsidRPr="00E80A17">
        <w:t xml:space="preserve"> </w:t>
      </w:r>
      <w:r w:rsidR="004D2F80" w:rsidRPr="00E80A17">
        <w:t>20</w:t>
      </w:r>
      <w:r w:rsidR="007120AA">
        <w:t>2</w:t>
      </w:r>
      <w:r w:rsidR="00F93484">
        <w:t>1</w:t>
      </w:r>
      <w:r w:rsidR="004D2F80" w:rsidRPr="00E80A17">
        <w:t>. godin</w:t>
      </w:r>
      <w:r w:rsidR="00785B7A">
        <w:t>i</w:t>
      </w:r>
      <w:r w:rsidR="005A7459" w:rsidRPr="00E80A17">
        <w:t xml:space="preserve"> </w:t>
      </w:r>
      <w:r w:rsidRPr="00E80A17">
        <w:t xml:space="preserve">ostvareni su u iznosu od </w:t>
      </w:r>
      <w:r w:rsidR="00785B7A">
        <w:t>4.580.232</w:t>
      </w:r>
      <w:r w:rsidR="00445343" w:rsidRPr="00E80A17">
        <w:t xml:space="preserve"> kuna što je </w:t>
      </w:r>
      <w:r w:rsidR="00785B7A">
        <w:t>70</w:t>
      </w:r>
      <w:r w:rsidRPr="00E80A17">
        <w:t>% od plan</w:t>
      </w:r>
      <w:r w:rsidR="004D2F80" w:rsidRPr="00E80A17">
        <w:t>iranog</w:t>
      </w:r>
      <w:r w:rsidRPr="00E80A17">
        <w:t xml:space="preserve"> </w:t>
      </w:r>
      <w:r w:rsidR="00AD4392">
        <w:t xml:space="preserve">iznosa </w:t>
      </w:r>
      <w:r w:rsidR="007120AA">
        <w:t xml:space="preserve">i </w:t>
      </w:r>
      <w:r w:rsidR="00785B7A">
        <w:t>1</w:t>
      </w:r>
      <w:r w:rsidR="007120AA">
        <w:t xml:space="preserve">% </w:t>
      </w:r>
      <w:r w:rsidR="00F93484">
        <w:t>viš</w:t>
      </w:r>
      <w:r w:rsidR="007120AA">
        <w:t>e u odnosu na ostvareno u prethodn</w:t>
      </w:r>
      <w:r w:rsidR="00785B7A">
        <w:t>oj</w:t>
      </w:r>
      <w:r w:rsidR="007120AA">
        <w:t xml:space="preserve"> godin</w:t>
      </w:r>
      <w:r w:rsidR="00785B7A">
        <w:t>i</w:t>
      </w:r>
      <w:r w:rsidR="009A12A9" w:rsidRPr="00E80A17">
        <w:t>.</w:t>
      </w:r>
      <w:r w:rsidR="007120AA">
        <w:t xml:space="preserve"> </w:t>
      </w:r>
    </w:p>
    <w:p w14:paraId="42F09485" w14:textId="77777777" w:rsidR="00541AD2" w:rsidRPr="004A7618" w:rsidRDefault="00541AD2" w:rsidP="00541AD2">
      <w:pPr>
        <w:pStyle w:val="Uvuenotijeloteksta"/>
        <w:ind w:left="0"/>
      </w:pPr>
    </w:p>
    <w:p w14:paraId="271D5585" w14:textId="100C2A15" w:rsidR="00AD4392" w:rsidRPr="004A7618" w:rsidRDefault="00A86AF0" w:rsidP="00541AD2">
      <w:pPr>
        <w:ind w:left="708"/>
      </w:pPr>
      <w:r w:rsidRPr="00A86AF0">
        <w:t>2.1.</w:t>
      </w:r>
      <w:r w:rsidR="00541AD2">
        <w:t xml:space="preserve"> </w:t>
      </w:r>
      <w:r w:rsidR="00AD4392" w:rsidRPr="004A7618">
        <w:t xml:space="preserve">Prihodi od prodaje </w:t>
      </w:r>
      <w:proofErr w:type="spellStart"/>
      <w:r>
        <w:t>neproizvedene</w:t>
      </w:r>
      <w:proofErr w:type="spellEnd"/>
      <w:r>
        <w:t xml:space="preserve"> dugotrajne imovine</w:t>
      </w:r>
      <w:r w:rsidR="00AD4392" w:rsidRPr="004A7618">
        <w:t xml:space="preserve"> ostvareni su u iznosu od 3.471.904 kuna ili </w:t>
      </w:r>
      <w:r>
        <w:t>4</w:t>
      </w:r>
      <w:r w:rsidR="00AD4392" w:rsidRPr="004A7618">
        <w:t xml:space="preserve">% više u odnosu na usporednu 2020. godinu. Od ostvarenih prihoda 623.870 kuna odnosi se na udio u zajedničkom prihodu od prodaje poljoprivrednog zemljišta, dok se 2.848.034 kuna odnosi na prihod od prodaje građevinskog zemljišta u vlasništvu Grada Buja – Buie. </w:t>
      </w:r>
    </w:p>
    <w:p w14:paraId="2B669DCE" w14:textId="0B6B0BE9" w:rsidR="00AD4392" w:rsidRPr="004A7618" w:rsidRDefault="00AD4392" w:rsidP="00541AD2">
      <w:pPr>
        <w:ind w:left="708"/>
      </w:pPr>
      <w:r w:rsidRPr="004A7618">
        <w:t xml:space="preserve">Prihodi od prodaje nekretnina u vlasništvu Grada povećani su za </w:t>
      </w:r>
      <w:r w:rsidR="00A86AF0">
        <w:t>2</w:t>
      </w:r>
      <w:r w:rsidRPr="004A7618">
        <w:t xml:space="preserve">%, dok je realizacija prihoda od prodaje poljoprivrednog zemljišta u vlasništvu RH porasla za </w:t>
      </w:r>
      <w:r w:rsidR="00A86AF0">
        <w:t>13</w:t>
      </w:r>
      <w:r w:rsidRPr="004A7618">
        <w:t xml:space="preserve">% i to slijedom provedenog natječaja </w:t>
      </w:r>
      <w:r w:rsidR="00541AD2">
        <w:t xml:space="preserve">za prodaju </w:t>
      </w:r>
      <w:r w:rsidRPr="004A7618">
        <w:t xml:space="preserve">i sklopljenih novih Ugovora kao i radi </w:t>
      </w:r>
      <w:r w:rsidR="00CC5331">
        <w:t>prijevremenog plaćanja po</w:t>
      </w:r>
      <w:r w:rsidRPr="004A7618">
        <w:t xml:space="preserve"> Ugovor</w:t>
      </w:r>
      <w:r w:rsidR="00CC5331">
        <w:t>ima</w:t>
      </w:r>
      <w:r w:rsidRPr="004A7618">
        <w:t xml:space="preserve"> o prodaji </w:t>
      </w:r>
      <w:r w:rsidR="00CC5331">
        <w:t xml:space="preserve">s </w:t>
      </w:r>
      <w:r w:rsidRPr="004A7618">
        <w:t>obročn</w:t>
      </w:r>
      <w:r w:rsidR="00CC5331">
        <w:t>om</w:t>
      </w:r>
      <w:r w:rsidRPr="004A7618">
        <w:t xml:space="preserve"> otplat</w:t>
      </w:r>
      <w:r w:rsidR="00CC5331">
        <w:t>om</w:t>
      </w:r>
      <w:r w:rsidRPr="004A7618">
        <w:t>.</w:t>
      </w:r>
    </w:p>
    <w:p w14:paraId="1AC0B8CC" w14:textId="77777777" w:rsidR="00AD4392" w:rsidRPr="004A7618" w:rsidRDefault="00AD4392" w:rsidP="00AD4392"/>
    <w:p w14:paraId="018A0B12" w14:textId="328CCE63" w:rsidR="00AD4392" w:rsidRDefault="00A86AF0" w:rsidP="00541AD2">
      <w:pPr>
        <w:ind w:left="708"/>
        <w:rPr>
          <w:color w:val="FF0000"/>
          <w:sz w:val="20"/>
          <w:szCs w:val="20"/>
        </w:rPr>
      </w:pPr>
      <w:r w:rsidRPr="00A86AF0">
        <w:t>2.2.</w:t>
      </w:r>
      <w:r>
        <w:t xml:space="preserve"> </w:t>
      </w:r>
      <w:r w:rsidR="00AD4392" w:rsidRPr="004A7618">
        <w:t xml:space="preserve">Prihodi od prodaje građevinskih objekata ostvareni su u iznosu od 1.108.328 kuna ili </w:t>
      </w:r>
      <w:r>
        <w:t>5</w:t>
      </w:r>
      <w:r w:rsidR="00AD4392" w:rsidRPr="004A7618">
        <w:t>% manje u odnosu na 2020. godinu.</w:t>
      </w:r>
      <w:r>
        <w:t xml:space="preserve"> </w:t>
      </w:r>
      <w:r w:rsidR="00AD4392" w:rsidRPr="004A7618">
        <w:t>Prihodi od prodaje stanova sa stanarskim pravom ostvareni su u iznosu od 132.44</w:t>
      </w:r>
      <w:r w:rsidR="00037A21">
        <w:t>4</w:t>
      </w:r>
      <w:r w:rsidR="00AD4392" w:rsidRPr="004A7618">
        <w:t xml:space="preserve"> kuna, dok je prihod od prodaje ostalih zgrada </w:t>
      </w:r>
      <w:r w:rsidR="00AD4392" w:rsidRPr="004A7618">
        <w:lastRenderedPageBreak/>
        <w:t xml:space="preserve">u vlasništvu Grada Buja – Buie ostvaren u iznosu od 975.884 kuna. </w:t>
      </w:r>
      <w:r w:rsidR="008F0B4E">
        <w:t>U</w:t>
      </w:r>
      <w:r w:rsidR="008F0B4E" w:rsidRPr="004A7618">
        <w:t xml:space="preserve"> odnosu na prethodnu godinu </w:t>
      </w:r>
      <w:r w:rsidR="008F0B4E">
        <w:t>p</w:t>
      </w:r>
      <w:r w:rsidR="00AD4392" w:rsidRPr="004A7618">
        <w:t>rihodi od prodaje stanova sa stanarskim pravom smanjeni su za 30% radi smanjivanja broja Ugovora koji su još uvijek u otplati, dok su prihodi od prodaje zgrada u vlasništvu Grada ostali gotovo isti.</w:t>
      </w:r>
    </w:p>
    <w:p w14:paraId="10AD0F30" w14:textId="77777777" w:rsidR="00D33D43" w:rsidRPr="00E80A17" w:rsidRDefault="00D33D43" w:rsidP="005712E4">
      <w:pPr>
        <w:pStyle w:val="Uvuenotijeloteksta"/>
        <w:ind w:left="0"/>
        <w:rPr>
          <w:color w:val="FF0000"/>
          <w:sz w:val="20"/>
          <w:szCs w:val="20"/>
        </w:rPr>
      </w:pPr>
    </w:p>
    <w:p w14:paraId="01D2E577" w14:textId="310C47D5" w:rsidR="00976D82" w:rsidRDefault="005712E4" w:rsidP="005712E4">
      <w:pPr>
        <w:pStyle w:val="Uvuenotijeloteksta"/>
        <w:ind w:left="0"/>
      </w:pPr>
      <w:r w:rsidRPr="00E80A17">
        <w:t xml:space="preserve">3. Primici od financijske imovine i zaduživanja </w:t>
      </w:r>
      <w:r w:rsidR="00394BEF" w:rsidRPr="00E80A17">
        <w:t xml:space="preserve">u </w:t>
      </w:r>
      <w:r w:rsidR="00976D82">
        <w:t>2021. godini</w:t>
      </w:r>
      <w:r w:rsidR="002A5865">
        <w:t xml:space="preserve"> realizirani su u</w:t>
      </w:r>
      <w:r w:rsidR="00976D82">
        <w:t xml:space="preserve"> ukupnom</w:t>
      </w:r>
      <w:r w:rsidR="002A5865">
        <w:t xml:space="preserve"> iznosu od 2.</w:t>
      </w:r>
      <w:r w:rsidR="00976D82">
        <w:t>514.605</w:t>
      </w:r>
      <w:r w:rsidR="002A5865">
        <w:t xml:space="preserve"> kuna, a odnose se na </w:t>
      </w:r>
      <w:r w:rsidR="00BF7CCA">
        <w:t>korištenje sredstava dugoročnih kredita za realizaciju projekta zamjene javne rasvjete LED rasvjetom</w:t>
      </w:r>
      <w:r w:rsidR="009E54A8">
        <w:t xml:space="preserve"> i</w:t>
      </w:r>
      <w:r w:rsidR="00BF7CCA">
        <w:t xml:space="preserve"> to kod Hrvatske banke za obnovu i razvitak </w:t>
      </w:r>
      <w:r w:rsidR="009E54A8">
        <w:t xml:space="preserve">u iznosu od </w:t>
      </w:r>
      <w:r w:rsidR="00BF7CCA">
        <w:t>1.654.4</w:t>
      </w:r>
      <w:r w:rsidR="008F0B4E">
        <w:t>89</w:t>
      </w:r>
      <w:r w:rsidR="00BF7CCA">
        <w:t xml:space="preserve"> kuna i kod Istarske kreditne banke Umag d.d. </w:t>
      </w:r>
      <w:r w:rsidR="009E54A8">
        <w:t xml:space="preserve">u iznosu od </w:t>
      </w:r>
      <w:r w:rsidR="00976D82">
        <w:t>840.116</w:t>
      </w:r>
      <w:r w:rsidR="00BF7CCA">
        <w:t xml:space="preserve"> kuna</w:t>
      </w:r>
      <w:r w:rsidR="009E54A8">
        <w:t xml:space="preserve">. </w:t>
      </w:r>
    </w:p>
    <w:p w14:paraId="5A2C50DE" w14:textId="08112898" w:rsidR="00394BEF" w:rsidRDefault="00342C36" w:rsidP="005712E4">
      <w:pPr>
        <w:pStyle w:val="Uvuenotijeloteksta"/>
        <w:ind w:left="0"/>
      </w:pPr>
      <w:r>
        <w:t>Slijedom</w:t>
      </w:r>
      <w:r w:rsidR="009E54A8">
        <w:t xml:space="preserve"> brisanja trgovačkog društva Business </w:t>
      </w:r>
      <w:proofErr w:type="spellStart"/>
      <w:r w:rsidR="009E54A8">
        <w:t>Education</w:t>
      </w:r>
      <w:proofErr w:type="spellEnd"/>
      <w:r w:rsidR="009E54A8">
        <w:t xml:space="preserve"> centre d.o.o. iz Sudskog registra, izvršen je p</w:t>
      </w:r>
      <w:r w:rsidR="00BF7CCA">
        <w:t>ovrat sredstava osnivačkog uloga u iznosu od 20.000 kuna</w:t>
      </w:r>
      <w:r w:rsidR="009E54A8">
        <w:t>.</w:t>
      </w:r>
      <w:r w:rsidR="00BF7CCA">
        <w:t xml:space="preserve"> </w:t>
      </w:r>
    </w:p>
    <w:p w14:paraId="712749D5" w14:textId="77777777" w:rsidR="005712E4" w:rsidRPr="00E80A17" w:rsidRDefault="005712E4" w:rsidP="005712E4">
      <w:pPr>
        <w:pStyle w:val="Uvuenotijeloteksta"/>
        <w:ind w:left="0"/>
        <w:rPr>
          <w:color w:val="FF0000"/>
        </w:rPr>
      </w:pPr>
    </w:p>
    <w:p w14:paraId="0B4873E2" w14:textId="4F8F1818" w:rsidR="005712E4" w:rsidRPr="00E80A17" w:rsidRDefault="005712E4" w:rsidP="005712E4">
      <w:pPr>
        <w:pStyle w:val="Uvuenotijeloteksta"/>
        <w:ind w:left="0"/>
      </w:pPr>
      <w:r w:rsidRPr="00E80A17">
        <w:t xml:space="preserve">4. Preneseni </w:t>
      </w:r>
      <w:r w:rsidR="00BF7CCA">
        <w:t>manjak</w:t>
      </w:r>
      <w:r w:rsidRPr="00E80A17">
        <w:t xml:space="preserve"> prihoda </w:t>
      </w:r>
      <w:r w:rsidR="00BF7CCA">
        <w:t xml:space="preserve">i primitaka </w:t>
      </w:r>
      <w:r w:rsidRPr="00E80A17">
        <w:t>iz 20</w:t>
      </w:r>
      <w:r w:rsidR="00BF7CCA">
        <w:t>20</w:t>
      </w:r>
      <w:r w:rsidRPr="00E80A17">
        <w:t xml:space="preserve">. godine sveukupno iznosi </w:t>
      </w:r>
      <w:r w:rsidR="00BF7CCA">
        <w:t>6</w:t>
      </w:r>
      <w:r w:rsidR="00CB2EDC">
        <w:t>07.157</w:t>
      </w:r>
      <w:r w:rsidRPr="00E80A17">
        <w:t xml:space="preserve"> kuna. Od toga se iznos od </w:t>
      </w:r>
      <w:r w:rsidR="00CB2EDC">
        <w:t>590.932</w:t>
      </w:r>
      <w:r w:rsidRPr="00E80A17">
        <w:t xml:space="preserve"> kuna odnosi na </w:t>
      </w:r>
      <w:r w:rsidR="00BF7CCA">
        <w:t>manj</w:t>
      </w:r>
      <w:r w:rsidRPr="00E80A17">
        <w:t>ak Grada Buja</w:t>
      </w:r>
      <w:r w:rsidR="00D205B8" w:rsidRPr="00E80A17">
        <w:t xml:space="preserve"> - Buie</w:t>
      </w:r>
      <w:r w:rsidRPr="00E80A17">
        <w:t xml:space="preserve">, </w:t>
      </w:r>
      <w:r w:rsidR="00BF7CCA">
        <w:t xml:space="preserve">23.161 </w:t>
      </w:r>
      <w:r w:rsidRPr="00E80A17">
        <w:t xml:space="preserve">kuna na </w:t>
      </w:r>
      <w:r w:rsidR="00D205B8" w:rsidRPr="00E80A17">
        <w:t>manj</w:t>
      </w:r>
      <w:r w:rsidRPr="00E80A17">
        <w:t xml:space="preserve">ak Dječjeg vrtića Buje, </w:t>
      </w:r>
      <w:r w:rsidR="00BF7CCA">
        <w:t>23.019</w:t>
      </w:r>
      <w:r w:rsidRPr="00E80A17">
        <w:t xml:space="preserve"> </w:t>
      </w:r>
      <w:r w:rsidR="009E59F8" w:rsidRPr="00E80A17">
        <w:t xml:space="preserve">kuna </w:t>
      </w:r>
      <w:r w:rsidRPr="00E80A17">
        <w:t xml:space="preserve">na </w:t>
      </w:r>
      <w:r w:rsidR="00BF7CCA">
        <w:t>manj</w:t>
      </w:r>
      <w:r w:rsidRPr="00E80A17">
        <w:t xml:space="preserve">ak Talijanskog dječjeg vrtića Mrvica i </w:t>
      </w:r>
      <w:r w:rsidR="00BF7CCA">
        <w:t>29.955</w:t>
      </w:r>
      <w:r w:rsidRPr="00E80A17">
        <w:t xml:space="preserve"> kuna na </w:t>
      </w:r>
      <w:r w:rsidR="00BF7CCA">
        <w:t>viš</w:t>
      </w:r>
      <w:r w:rsidR="00A23921">
        <w:t>ak</w:t>
      </w:r>
      <w:r w:rsidRPr="00E80A17">
        <w:t xml:space="preserve"> Pučkog otvorenog učilišta Buje. </w:t>
      </w:r>
    </w:p>
    <w:p w14:paraId="7592502F" w14:textId="77777777" w:rsidR="00FB6F9D" w:rsidRDefault="00FB6F9D" w:rsidP="005712E4">
      <w:pPr>
        <w:pStyle w:val="Uvuenotijeloteksta"/>
        <w:ind w:left="0"/>
      </w:pPr>
    </w:p>
    <w:p w14:paraId="091B05ED" w14:textId="08F0291E" w:rsidR="004F085F" w:rsidRDefault="005712E4" w:rsidP="005712E4">
      <w:pPr>
        <w:pStyle w:val="Uvuenotijeloteksta"/>
        <w:ind w:left="0"/>
      </w:pPr>
      <w:r w:rsidRPr="00E80A17">
        <w:t>Struktura ostvarenih prihoda i primitaka u</w:t>
      </w:r>
      <w:r w:rsidR="00117C13" w:rsidRPr="00E80A17">
        <w:t xml:space="preserve"> </w:t>
      </w:r>
      <w:r w:rsidRPr="00E80A17">
        <w:t>20</w:t>
      </w:r>
      <w:r w:rsidR="00041CAB">
        <w:t>2</w:t>
      </w:r>
      <w:r w:rsidR="00BF7CCA">
        <w:t>1</w:t>
      </w:r>
      <w:r w:rsidRPr="00E80A17">
        <w:t>. godin</w:t>
      </w:r>
      <w:r w:rsidR="00C07B9D">
        <w:t>i</w:t>
      </w:r>
    </w:p>
    <w:p w14:paraId="00518AEC" w14:textId="534B293E" w:rsidR="00C07B9D" w:rsidRDefault="00C07B9D" w:rsidP="005712E4">
      <w:pPr>
        <w:pStyle w:val="Uvuenotijeloteksta"/>
        <w:ind w:left="0"/>
      </w:pPr>
    </w:p>
    <w:p w14:paraId="057A217F" w14:textId="41981729" w:rsidR="00C07B9D" w:rsidRDefault="00C07B9D" w:rsidP="005712E4">
      <w:pPr>
        <w:pStyle w:val="Uvuenotijeloteksta"/>
        <w:ind w:left="0"/>
      </w:pPr>
      <w:r>
        <w:rPr>
          <w:noProof/>
        </w:rPr>
        <w:drawing>
          <wp:inline distT="0" distB="0" distL="0" distR="0" wp14:anchorId="02BD5804" wp14:editId="6E7C4069">
            <wp:extent cx="5200650" cy="3276600"/>
            <wp:effectExtent l="0" t="0" r="0" b="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46FD0441-3A50-4490-B46E-EB4472CC9A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BF0978" w14:textId="77777777" w:rsidR="00041CAB" w:rsidRDefault="00041CAB" w:rsidP="005712E4">
      <w:pPr>
        <w:pStyle w:val="Uvuenotijeloteksta"/>
        <w:ind w:left="0"/>
      </w:pPr>
    </w:p>
    <w:p w14:paraId="77DB3F85" w14:textId="49BF8E9A" w:rsidR="00974477" w:rsidRDefault="00974477" w:rsidP="005712E4">
      <w:pPr>
        <w:pStyle w:val="Uvuenotijeloteksta"/>
        <w:ind w:left="0"/>
      </w:pPr>
    </w:p>
    <w:p w14:paraId="54CE8F79" w14:textId="1362F385" w:rsidR="006B5E4E" w:rsidRDefault="006B5E4E" w:rsidP="005712E4">
      <w:pPr>
        <w:pStyle w:val="Uvuenotijeloteksta"/>
        <w:ind w:left="0"/>
      </w:pPr>
    </w:p>
    <w:p w14:paraId="5624F1A2" w14:textId="6256B628" w:rsidR="006B5E4E" w:rsidRDefault="006B5E4E" w:rsidP="005712E4">
      <w:pPr>
        <w:pStyle w:val="Uvuenotijeloteksta"/>
        <w:ind w:left="0"/>
      </w:pPr>
    </w:p>
    <w:p w14:paraId="3397025C" w14:textId="4342577E" w:rsidR="006B5E4E" w:rsidRDefault="006B5E4E" w:rsidP="005712E4">
      <w:pPr>
        <w:pStyle w:val="Uvuenotijeloteksta"/>
        <w:ind w:left="0"/>
      </w:pPr>
    </w:p>
    <w:p w14:paraId="63234EF8" w14:textId="5C9963E6" w:rsidR="006B5E4E" w:rsidRDefault="006B5E4E" w:rsidP="005712E4">
      <w:pPr>
        <w:pStyle w:val="Uvuenotijeloteksta"/>
        <w:ind w:left="0"/>
      </w:pPr>
    </w:p>
    <w:p w14:paraId="039A464D" w14:textId="50879FFC" w:rsidR="006B5E4E" w:rsidRDefault="006B5E4E" w:rsidP="005712E4">
      <w:pPr>
        <w:pStyle w:val="Uvuenotijeloteksta"/>
        <w:ind w:left="0"/>
      </w:pPr>
    </w:p>
    <w:p w14:paraId="7E11603C" w14:textId="7BA5C7E4" w:rsidR="006B5E4E" w:rsidRDefault="006B5E4E" w:rsidP="005712E4">
      <w:pPr>
        <w:pStyle w:val="Uvuenotijeloteksta"/>
        <w:ind w:left="0"/>
      </w:pPr>
    </w:p>
    <w:p w14:paraId="21F27DD3" w14:textId="6ED1D533" w:rsidR="006B5E4E" w:rsidRDefault="006B5E4E" w:rsidP="005712E4">
      <w:pPr>
        <w:pStyle w:val="Uvuenotijeloteksta"/>
        <w:ind w:left="0"/>
      </w:pPr>
    </w:p>
    <w:p w14:paraId="02ED05A9" w14:textId="59FEC8E2" w:rsidR="006B5E4E" w:rsidRDefault="006B5E4E" w:rsidP="005712E4">
      <w:pPr>
        <w:pStyle w:val="Uvuenotijeloteksta"/>
        <w:ind w:left="0"/>
      </w:pPr>
    </w:p>
    <w:p w14:paraId="1E6D718E" w14:textId="77777777" w:rsidR="006B5E4E" w:rsidRDefault="006B5E4E" w:rsidP="005712E4">
      <w:pPr>
        <w:pStyle w:val="Uvuenotijeloteksta"/>
        <w:ind w:left="0"/>
      </w:pPr>
    </w:p>
    <w:p w14:paraId="3120C621" w14:textId="77777777" w:rsidR="00974477" w:rsidRDefault="00974477" w:rsidP="005712E4">
      <w:pPr>
        <w:pStyle w:val="Uvuenotijeloteksta"/>
        <w:ind w:left="0"/>
      </w:pPr>
    </w:p>
    <w:p w14:paraId="515DC0B8" w14:textId="67AA0AD5" w:rsidR="00C57C94" w:rsidRDefault="005712E4" w:rsidP="005712E4">
      <w:pPr>
        <w:pStyle w:val="Uvuenotijeloteksta"/>
        <w:ind w:left="0"/>
      </w:pPr>
      <w:r w:rsidRPr="00E80A17">
        <w:lastRenderedPageBreak/>
        <w:t>Ost</w:t>
      </w:r>
      <w:r w:rsidR="004160E9" w:rsidRPr="00E80A17">
        <w:t>varenje prihoda</w:t>
      </w:r>
      <w:r w:rsidR="00612DE2" w:rsidRPr="00E80A17">
        <w:t xml:space="preserve"> i primitaka</w:t>
      </w:r>
      <w:r w:rsidR="004160E9" w:rsidRPr="00E80A17">
        <w:t xml:space="preserve"> proračuna u</w:t>
      </w:r>
      <w:r w:rsidR="00601D24" w:rsidRPr="00E80A17">
        <w:t xml:space="preserve"> </w:t>
      </w:r>
      <w:r w:rsidR="004160E9" w:rsidRPr="00E80A17">
        <w:t>20</w:t>
      </w:r>
      <w:r w:rsidR="00041CAB">
        <w:t>2</w:t>
      </w:r>
      <w:r w:rsidR="00974477">
        <w:t>1</w:t>
      </w:r>
      <w:r w:rsidRPr="00E80A17">
        <w:t xml:space="preserve"> godin</w:t>
      </w:r>
      <w:r w:rsidR="00C07B9D">
        <w:t>i</w:t>
      </w:r>
      <w:r w:rsidRPr="00E80A17">
        <w:t xml:space="preserve"> u odnosu na plan </w:t>
      </w:r>
      <w:r w:rsidR="002A5905">
        <w:t>za 20</w:t>
      </w:r>
      <w:r w:rsidR="00041CAB">
        <w:t>2</w:t>
      </w:r>
      <w:r w:rsidR="00974477">
        <w:t>1</w:t>
      </w:r>
      <w:r w:rsidR="002A5905">
        <w:t xml:space="preserve">. godinu </w:t>
      </w:r>
      <w:r w:rsidRPr="00E80A17">
        <w:t xml:space="preserve">i </w:t>
      </w:r>
      <w:r w:rsidR="00B9460E">
        <w:t xml:space="preserve">na </w:t>
      </w:r>
      <w:r w:rsidRPr="00E80A17">
        <w:rPr>
          <w:noProof/>
        </w:rPr>
        <w:t>20</w:t>
      </w:r>
      <w:r w:rsidR="00974477">
        <w:rPr>
          <w:noProof/>
        </w:rPr>
        <w:t>20</w:t>
      </w:r>
      <w:r w:rsidR="00C07B9D">
        <w:rPr>
          <w:noProof/>
        </w:rPr>
        <w:t>.</w:t>
      </w:r>
      <w:r w:rsidRPr="00E80A17">
        <w:t xml:space="preserve"> </w:t>
      </w:r>
      <w:r w:rsidR="00C57C94" w:rsidRPr="00E80A17">
        <w:t>godin</w:t>
      </w:r>
      <w:r w:rsidR="00C07B9D">
        <w:t>u</w:t>
      </w:r>
    </w:p>
    <w:p w14:paraId="016E7AB4" w14:textId="77777777" w:rsidR="006B5E4E" w:rsidRDefault="006B5E4E" w:rsidP="005712E4">
      <w:pPr>
        <w:pStyle w:val="Uvuenotijeloteksta"/>
        <w:ind w:left="0"/>
      </w:pPr>
    </w:p>
    <w:p w14:paraId="14B73FCB" w14:textId="7562E4DB" w:rsidR="00B9460E" w:rsidRDefault="00B92992" w:rsidP="005712E4">
      <w:pPr>
        <w:pStyle w:val="Uvuenotijeloteksta"/>
        <w:ind w:left="0"/>
      </w:pPr>
      <w:r>
        <w:rPr>
          <w:noProof/>
        </w:rPr>
        <w:drawing>
          <wp:inline distT="0" distB="0" distL="0" distR="0" wp14:anchorId="6DF2A862" wp14:editId="7B11FA41">
            <wp:extent cx="5295900" cy="424815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16EA10F-ABD8-4E5A-AF44-507077400E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170644" w14:textId="7336F0EE" w:rsidR="00041CAB" w:rsidRDefault="00041CAB" w:rsidP="005712E4">
      <w:pPr>
        <w:pStyle w:val="Uvuenotijeloteksta"/>
        <w:ind w:left="0"/>
      </w:pPr>
    </w:p>
    <w:p w14:paraId="6F584F65" w14:textId="77777777" w:rsidR="00117C13" w:rsidRPr="00CA1081" w:rsidRDefault="00117C13" w:rsidP="005712E4">
      <w:pPr>
        <w:pStyle w:val="Uvuenotijeloteksta"/>
        <w:ind w:left="0"/>
      </w:pPr>
    </w:p>
    <w:p w14:paraId="11EDE670" w14:textId="77777777" w:rsidR="00342C36" w:rsidRDefault="00342C36" w:rsidP="00CC15C6">
      <w:pPr>
        <w:ind w:left="1080"/>
        <w:rPr>
          <w:b/>
          <w:bCs/>
        </w:rPr>
      </w:pPr>
    </w:p>
    <w:p w14:paraId="12037B6B" w14:textId="77777777" w:rsidR="006B5E4E" w:rsidRDefault="006B5E4E" w:rsidP="00CC15C6">
      <w:pPr>
        <w:ind w:left="1080"/>
        <w:rPr>
          <w:b/>
          <w:bCs/>
        </w:rPr>
      </w:pPr>
    </w:p>
    <w:p w14:paraId="29EAB6BA" w14:textId="0665FF65" w:rsidR="005712E4" w:rsidRPr="00E80A17" w:rsidRDefault="005712E4" w:rsidP="00CC15C6">
      <w:pPr>
        <w:ind w:left="1080"/>
        <w:rPr>
          <w:b/>
          <w:bCs/>
        </w:rPr>
      </w:pPr>
      <w:r w:rsidRPr="00E80A17">
        <w:rPr>
          <w:b/>
          <w:bCs/>
        </w:rPr>
        <w:t xml:space="preserve">RASHODI I IZDACI </w:t>
      </w:r>
    </w:p>
    <w:p w14:paraId="2C70B9BD" w14:textId="77777777" w:rsidR="005712E4" w:rsidRPr="00E80A17" w:rsidRDefault="005712E4" w:rsidP="005712E4">
      <w:pPr>
        <w:rPr>
          <w:b/>
          <w:bCs/>
        </w:rPr>
      </w:pPr>
    </w:p>
    <w:p w14:paraId="7B925C07" w14:textId="77777777" w:rsidR="005712E4" w:rsidRPr="00E80A17" w:rsidRDefault="005712E4" w:rsidP="005712E4">
      <w:pPr>
        <w:rPr>
          <w:b/>
          <w:bCs/>
        </w:rPr>
      </w:pPr>
    </w:p>
    <w:p w14:paraId="38E1669D" w14:textId="51B122F2" w:rsidR="009E3BC9" w:rsidRPr="00E80A17" w:rsidRDefault="009E3BC9" w:rsidP="009E3BC9">
      <w:pPr>
        <w:rPr>
          <w:bCs/>
        </w:rPr>
      </w:pPr>
      <w:r w:rsidRPr="00E80A17">
        <w:rPr>
          <w:bCs/>
        </w:rPr>
        <w:t>Grad Buje ima tri proračunska korisnika</w:t>
      </w:r>
      <w:r w:rsidR="00CC66A3" w:rsidRPr="00E80A17">
        <w:rPr>
          <w:bCs/>
        </w:rPr>
        <w:t xml:space="preserve"> </w:t>
      </w:r>
      <w:r w:rsidRPr="00E80A17">
        <w:rPr>
          <w:bCs/>
        </w:rPr>
        <w:t>Dječji vrtić Buje, Talijanski dječji vrtić Mrvica i Pučko otvoreno učilište Buje koji su upisani u Registar proračunskih i izvanproračunskih korisnika. Sukladno odredbama Zakona o proračunu</w:t>
      </w:r>
      <w:r w:rsidR="00342C36">
        <w:rPr>
          <w:bCs/>
        </w:rPr>
        <w:t>,</w:t>
      </w:r>
      <w:r w:rsidRPr="00E80A17">
        <w:rPr>
          <w:bCs/>
        </w:rPr>
        <w:t xml:space="preserve"> Vijeće talijanske nacionalne manjine Grada Buja i mjesni odbori također imaju status proračunskih korisnika Grada.</w:t>
      </w:r>
    </w:p>
    <w:p w14:paraId="3A2A686E" w14:textId="77777777" w:rsidR="005712E4" w:rsidRPr="00E80A17" w:rsidRDefault="005712E4" w:rsidP="005712E4">
      <w:pPr>
        <w:rPr>
          <w:b/>
          <w:bCs/>
        </w:rPr>
      </w:pPr>
      <w:r w:rsidRPr="00E80A17">
        <w:t xml:space="preserve">Ukupne rashode </w:t>
      </w:r>
      <w:r w:rsidR="00CC66A3" w:rsidRPr="00E80A17">
        <w:t xml:space="preserve">i izdatke </w:t>
      </w:r>
      <w:r w:rsidRPr="00E80A17">
        <w:t>proračuna Grada Buja</w:t>
      </w:r>
      <w:r w:rsidR="00516D53" w:rsidRPr="00E80A17">
        <w:t xml:space="preserve"> – Buie </w:t>
      </w:r>
      <w:r w:rsidRPr="00E80A17">
        <w:t>čine rashodi</w:t>
      </w:r>
      <w:r w:rsidR="00CC66A3" w:rsidRPr="00E80A17">
        <w:t xml:space="preserve"> i izdaci</w:t>
      </w:r>
      <w:r w:rsidRPr="00E80A17">
        <w:t xml:space="preserve"> Grada </w:t>
      </w:r>
      <w:r w:rsidR="008D6EB9">
        <w:t xml:space="preserve">i svih </w:t>
      </w:r>
      <w:r w:rsidR="00CC66A3" w:rsidRPr="00E80A17">
        <w:t>njegovih</w:t>
      </w:r>
      <w:r w:rsidRPr="00E80A17">
        <w:t xml:space="preserve"> proračunskih korisnika</w:t>
      </w:r>
    </w:p>
    <w:p w14:paraId="07F5242C" w14:textId="77777777" w:rsidR="005712E4" w:rsidRPr="00E80A17" w:rsidRDefault="005712E4" w:rsidP="005712E4">
      <w:pPr>
        <w:ind w:right="70"/>
        <w:rPr>
          <w:b/>
          <w:bCs/>
        </w:rPr>
      </w:pPr>
    </w:p>
    <w:p w14:paraId="62796826" w14:textId="2AA27FE9" w:rsidR="00CB0A0E" w:rsidRDefault="005712E4" w:rsidP="005712E4">
      <w:pPr>
        <w:ind w:right="70"/>
      </w:pPr>
      <w:r w:rsidRPr="00E80A17">
        <w:t xml:space="preserve">U </w:t>
      </w:r>
      <w:r w:rsidR="008665D6">
        <w:t xml:space="preserve">sljedećoj tablici </w:t>
      </w:r>
      <w:r w:rsidRPr="00E80A17">
        <w:t>daje se pregled ostvarenih rashoda i izdataka Proračuna Grada Buja</w:t>
      </w:r>
      <w:r w:rsidR="001415AB" w:rsidRPr="00E80A17">
        <w:t xml:space="preserve"> - Buie</w:t>
      </w:r>
      <w:r w:rsidR="00D97B50" w:rsidRPr="00E80A17">
        <w:t xml:space="preserve"> u </w:t>
      </w:r>
      <w:r w:rsidRPr="00E80A17">
        <w:t>20</w:t>
      </w:r>
      <w:r w:rsidR="00116690">
        <w:t>2</w:t>
      </w:r>
      <w:r w:rsidR="00926453">
        <w:t>1</w:t>
      </w:r>
      <w:r w:rsidRPr="00E80A17">
        <w:t>. godin</w:t>
      </w:r>
      <w:r w:rsidR="00D97B50" w:rsidRPr="00E80A17">
        <w:t>i</w:t>
      </w:r>
      <w:r w:rsidR="00CC66A3" w:rsidRPr="00E80A17">
        <w:t xml:space="preserve"> </w:t>
      </w:r>
      <w:r w:rsidR="00D92E40">
        <w:t>u odnosu na Plan za 20</w:t>
      </w:r>
      <w:r w:rsidR="00116690">
        <w:t>2</w:t>
      </w:r>
      <w:r w:rsidR="00926453">
        <w:t>1</w:t>
      </w:r>
      <w:r w:rsidR="00D92E40">
        <w:t xml:space="preserve">. godinu </w:t>
      </w:r>
      <w:r w:rsidR="00926453">
        <w:t xml:space="preserve">i u odnosu na rashode i izdatke ostvarene </w:t>
      </w:r>
      <w:r w:rsidR="005E63AE">
        <w:t>u</w:t>
      </w:r>
      <w:r w:rsidR="00CC66A3" w:rsidRPr="00E80A17">
        <w:t xml:space="preserve"> </w:t>
      </w:r>
      <w:r w:rsidR="00926453">
        <w:t>prethodn</w:t>
      </w:r>
      <w:r w:rsidR="005E63AE">
        <w:t>oj</w:t>
      </w:r>
      <w:r w:rsidR="00524CE1" w:rsidRPr="00E80A17">
        <w:t xml:space="preserve"> godin</w:t>
      </w:r>
      <w:r w:rsidR="005E63AE">
        <w:t>i</w:t>
      </w:r>
      <w:r w:rsidR="00CC66A3" w:rsidRPr="00E80A17">
        <w:t>,</w:t>
      </w:r>
      <w:r w:rsidR="00524CE1" w:rsidRPr="00E80A17">
        <w:t xml:space="preserve"> </w:t>
      </w:r>
      <w:r w:rsidRPr="00E80A17">
        <w:t xml:space="preserve">po osnovnim </w:t>
      </w:r>
      <w:r w:rsidR="00565A71">
        <w:t>kategorijama</w:t>
      </w:r>
      <w:r w:rsidRPr="00E80A17">
        <w:t>.</w:t>
      </w:r>
    </w:p>
    <w:p w14:paraId="3711E584" w14:textId="449EDD22" w:rsidR="006B5E4E" w:rsidRDefault="006B5E4E" w:rsidP="005712E4">
      <w:pPr>
        <w:ind w:right="70"/>
      </w:pPr>
    </w:p>
    <w:p w14:paraId="1D963593" w14:textId="2692022D" w:rsidR="006B5E4E" w:rsidRDefault="006B5E4E" w:rsidP="005712E4">
      <w:pPr>
        <w:ind w:right="70"/>
      </w:pPr>
    </w:p>
    <w:p w14:paraId="4A6A2D8C" w14:textId="66622C59" w:rsidR="006B5E4E" w:rsidRDefault="006B5E4E" w:rsidP="005712E4">
      <w:pPr>
        <w:ind w:right="70"/>
      </w:pPr>
    </w:p>
    <w:p w14:paraId="5F4C4007" w14:textId="77777777" w:rsidR="006B5E4E" w:rsidRDefault="006B5E4E" w:rsidP="005712E4">
      <w:pPr>
        <w:ind w:right="70"/>
      </w:pPr>
    </w:p>
    <w:p w14:paraId="3DDDF5FC" w14:textId="224787D4" w:rsidR="000C766A" w:rsidRDefault="000C766A" w:rsidP="005712E4">
      <w:pPr>
        <w:ind w:right="70"/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621"/>
        <w:gridCol w:w="2356"/>
        <w:gridCol w:w="1218"/>
        <w:gridCol w:w="1026"/>
        <w:gridCol w:w="1218"/>
        <w:gridCol w:w="785"/>
        <w:gridCol w:w="991"/>
        <w:gridCol w:w="991"/>
      </w:tblGrid>
      <w:tr w:rsidR="000C766A" w14:paraId="3DAEF59C" w14:textId="77777777" w:rsidTr="003D2DE7">
        <w:trPr>
          <w:trHeight w:val="615"/>
        </w:trPr>
        <w:tc>
          <w:tcPr>
            <w:tcW w:w="9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93C6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Ostvareni rashodi i izdaci u 2021. godini u odnosu na 2020. godinu i na plan za 2021. godinu</w:t>
            </w:r>
          </w:p>
        </w:tc>
      </w:tr>
      <w:tr w:rsidR="000C766A" w14:paraId="48B8E945" w14:textId="77777777" w:rsidTr="003D2DE7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3F9" w14:textId="77777777" w:rsidR="000C766A" w:rsidRDefault="000C766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B3A6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B74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3F1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143C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9EA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0DC" w14:textId="77777777" w:rsidR="000C766A" w:rsidRDefault="000C76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35E" w14:textId="77777777" w:rsidR="000C766A" w:rsidRDefault="000C766A">
            <w:pPr>
              <w:rPr>
                <w:sz w:val="20"/>
                <w:szCs w:val="20"/>
              </w:rPr>
            </w:pPr>
          </w:p>
        </w:tc>
      </w:tr>
      <w:tr w:rsidR="000C766A" w14:paraId="7BA9D077" w14:textId="77777777" w:rsidTr="003D2DE7">
        <w:trPr>
          <w:trHeight w:val="675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9DA19" w14:textId="77777777" w:rsidR="000C766A" w:rsidRDefault="000C7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br/>
              <w:t>br.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EFB6" w14:textId="77777777" w:rsidR="000C766A" w:rsidRDefault="000C7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8F20F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ostvareno </w:t>
            </w:r>
            <w:r>
              <w:rPr>
                <w:sz w:val="18"/>
                <w:szCs w:val="18"/>
              </w:rPr>
              <w:br/>
              <w:t xml:space="preserve">2020.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F43A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plan 2021.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398D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ostvareno </w:t>
            </w:r>
            <w:r>
              <w:rPr>
                <w:sz w:val="18"/>
                <w:szCs w:val="18"/>
              </w:rPr>
              <w:br/>
              <w:t xml:space="preserve">2021.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49FF3" w14:textId="77777777" w:rsidR="000C766A" w:rsidRDefault="000C7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udio</w:t>
            </w:r>
            <w:r>
              <w:rPr>
                <w:sz w:val="16"/>
                <w:szCs w:val="16"/>
              </w:rPr>
              <w:br/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92349" w14:textId="77777777" w:rsidR="000C766A" w:rsidRDefault="000C7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indeks</w:t>
            </w:r>
            <w:r>
              <w:rPr>
                <w:sz w:val="16"/>
                <w:szCs w:val="16"/>
              </w:rPr>
              <w:br/>
              <w:t>(5/3*100)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BAAF2" w14:textId="77777777" w:rsidR="000C766A" w:rsidRDefault="000C7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indeks</w:t>
            </w:r>
            <w:r>
              <w:rPr>
                <w:sz w:val="16"/>
                <w:szCs w:val="16"/>
              </w:rPr>
              <w:br/>
              <w:t>(5/4*100)</w:t>
            </w:r>
          </w:p>
        </w:tc>
      </w:tr>
      <w:tr w:rsidR="000C766A" w14:paraId="56EE96DA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F5B2B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56DD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38BF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D6C5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262D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4152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D0BC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B65B" w14:textId="77777777" w:rsidR="000C766A" w:rsidRDefault="000C7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766A" w14:paraId="34E3CF33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A1E0236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0C47A35E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3530725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23.591.328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345E08C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29.202.218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AC426FC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26.175.140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218805D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1016281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D2CA5DB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0C766A" w14:paraId="717CB29B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90AF1F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39AF8B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zaposlene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43CCF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8.059.363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1ABC5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9.001.747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8B15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8.468.839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7959D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7835C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B4786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0C766A" w14:paraId="41DC9417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95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D635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Plaće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86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6.775.122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08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7.392.474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2FB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6.990.209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73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10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5F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0C766A" w14:paraId="5A88E10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045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FFB5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rashodi za zaposlene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980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CC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389.487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CF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343.773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E1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72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CA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0C766A" w14:paraId="477F687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C8C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5E61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Doprinosi na plaće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8B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1.094.240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DC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1.219.786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0D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1.134.857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16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49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4F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0C766A" w14:paraId="3D3DD1A3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D7C94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A511157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13162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10.476.170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452D4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13.081.462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E6103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11.991.377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092CF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0F5DB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8C239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0C766A" w14:paraId="7A740EDA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12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B3CE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troškova zaposlenima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02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448.594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7F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564.511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0B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473.463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C9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79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CB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0C766A" w14:paraId="30627B08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CC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FFD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materijal i energiju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E9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1.812.216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FE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1.757.868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644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1.593.727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B9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48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3B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0C766A" w14:paraId="36B47C1B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3CD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ADC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usluge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06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8E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9.664.233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16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9.003.537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EC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0D7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68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0C766A" w14:paraId="6A10524C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E12A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DB6E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troškova osobama izvan radnog odnosa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64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B73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C0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44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F7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EF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0C766A" w14:paraId="5F25FDF0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A38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A5C72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A6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705.686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6E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1.082.450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3C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912.406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30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A2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32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0C766A" w14:paraId="0DDFB00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8BDC6B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4393D4DB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59A33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135.108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D622C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163.766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0225C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70478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7569D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69A4A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0C766A" w14:paraId="39D12E4F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04E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FD286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Kamate za primljene kredite i zajmove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57F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61A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86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36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D2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22B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0C766A" w14:paraId="1B39E59F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66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CE1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financijski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1D7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6BE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90.766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CA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4F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B6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2E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C766A" w14:paraId="2B2773A6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2ABD1C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DA5A56D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Subvencije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C820A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99D9F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4BF27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A24E6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A6603E" w14:textId="44FC89AF" w:rsidR="000C766A" w:rsidRDefault="00D23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C7056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766A" w14:paraId="17721A04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D5D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5C41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Subvencije </w:t>
            </w:r>
            <w:proofErr w:type="spellStart"/>
            <w:r>
              <w:rPr>
                <w:sz w:val="18"/>
                <w:szCs w:val="18"/>
              </w:rPr>
              <w:t>trg.društvima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poljoprivr.i</w:t>
            </w:r>
            <w:proofErr w:type="spellEnd"/>
            <w:r>
              <w:rPr>
                <w:sz w:val="18"/>
                <w:szCs w:val="18"/>
              </w:rPr>
              <w:t xml:space="preserve"> obrtnicima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0C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3C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77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B0F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C14" w14:textId="502E0DD7" w:rsidR="000C766A" w:rsidRDefault="00D23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CD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766A" w14:paraId="1FEACB75" w14:textId="77777777" w:rsidTr="003D2DE7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5CC80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7571527B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Pomoći dane u inozemstvo i unutar </w:t>
            </w:r>
            <w:r>
              <w:rPr>
                <w:sz w:val="18"/>
                <w:szCs w:val="18"/>
              </w:rPr>
              <w:br/>
              <w:t>općeg proračuna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76388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2.945.939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62CEE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3.422.286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A97C6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3.070.658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15F2C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10809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21B35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C766A" w14:paraId="2188C4BD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4B9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DF00B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unutar općeg proračuna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0B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1.228.264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4D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1.300.126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0B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1.080.606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CF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E29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96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C766A" w14:paraId="33991F53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4EE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0FC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99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1.717.675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37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2.122.160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FF6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1.990.052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DF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BE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43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0C766A" w14:paraId="5965B9E5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53843A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63046D1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građanima i kućanstvima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D9611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480.720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6EC4D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739.300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822DE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27701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045AF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23183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0C766A" w14:paraId="537DBB65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8F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BF53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naknade građanima i kućanstvima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42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480.720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3E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739.300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A2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64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B6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7E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0C766A" w14:paraId="1B86A3D1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8B0529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551A5DA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Ostali rashodi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54594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1.493.919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F13A9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2.263.657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6208E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1.924.062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FD43E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233D5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F57B4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0C766A" w14:paraId="124CD3AE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0AD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E5B8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donacije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88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1.474.919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D2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1.800.520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3D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1.760.925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6A0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71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B7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C766A" w14:paraId="5CC448FE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8212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A76F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Kazne, penali i naknade štete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E5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73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FC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77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872" w14:textId="4B58F971" w:rsidR="000C766A" w:rsidRDefault="00D23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380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C766A" w14:paraId="0D5EA7E5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ED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39E7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Izvanredni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B9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4F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9E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EA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17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86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766A" w14:paraId="111B7CF6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9D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1.7.4.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CEE1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Kapitalne pomoći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5A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23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77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15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DF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31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766A" w14:paraId="19963544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695A2E9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1597B1AB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787AB9C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14.238.309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ACF6C3F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9.268.384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72786801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9.739.905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03AD445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BEE0FBE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36DEBA19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0C766A" w14:paraId="2DD40D6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861F8F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5E759115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sz w:val="18"/>
                <w:szCs w:val="18"/>
              </w:rPr>
              <w:t>neproizvedene</w:t>
            </w:r>
            <w:proofErr w:type="spellEnd"/>
            <w:r>
              <w:rPr>
                <w:sz w:val="18"/>
                <w:szCs w:val="18"/>
              </w:rPr>
              <w:t xml:space="preserve"> imovine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4BAE3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66664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357.252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6F129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282.607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288E9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F3BE3C" w14:textId="78AE22E5" w:rsidR="000C766A" w:rsidRDefault="00D23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D5A2D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0C766A" w14:paraId="60253E9A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BB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B70E8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Materijalna imovina - zemljište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98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DDA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357.252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A1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282.607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E4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856" w14:textId="6D7BC44D" w:rsidR="000C766A" w:rsidRDefault="00D23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AB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0C766A" w14:paraId="27DCCEB9" w14:textId="77777777" w:rsidTr="003D2DE7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DF712A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A051C39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Rashodi za nabavu proizvedene dugotrajne </w:t>
            </w:r>
            <w:r>
              <w:rPr>
                <w:sz w:val="18"/>
                <w:szCs w:val="18"/>
              </w:rPr>
              <w:br/>
              <w:t xml:space="preserve">imovine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18608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5.520.919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3B8F6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3.323.224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FA42E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3.885.873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E4A7D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089DA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94FDE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0C766A" w14:paraId="511AEC37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03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924A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Građevinski objekti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143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4.287.874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0F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2.370.955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FD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3.131.766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83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82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59D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0C766A" w14:paraId="0F77D8A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E3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75AA9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0F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861.425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F7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460.273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279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330.351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C7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C2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26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0C766A" w14:paraId="2E3872C9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A90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36E82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53E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65.745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D9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95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2D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44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68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0C766A" w14:paraId="505DD13F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406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3D3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14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305.875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1C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442.096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53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377.721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B3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E826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6FA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0C766A" w14:paraId="467B6C19" w14:textId="77777777" w:rsidTr="003D2DE7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314237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0EC61A2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dodatna ulaganja na nefinancijskoj</w:t>
            </w:r>
            <w:r>
              <w:rPr>
                <w:sz w:val="18"/>
                <w:szCs w:val="18"/>
              </w:rPr>
              <w:br/>
              <w:t>imovini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E5889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8.662.150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B67E9E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5.587.908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246B3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5.571.425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31BB1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E3AF0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BEB6E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C766A" w14:paraId="0AD78C14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D0F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60FC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 na građevinskim objektima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7A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8.662.150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EE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5.587.908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1A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5.571.425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F251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313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BD7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C766A" w14:paraId="3BC88EAD" w14:textId="77777777" w:rsidTr="003D2DE7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A258DFF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14:paraId="5DC521FD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Izdaci za financijsku imovinu i </w:t>
            </w:r>
            <w:r>
              <w:rPr>
                <w:b/>
                <w:bCs/>
                <w:sz w:val="18"/>
                <w:szCs w:val="18"/>
              </w:rPr>
              <w:br/>
              <w:t>otplate kredita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EB5C325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3.814.804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E0C5348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2.225.142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9E3E046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2.186.397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61FC594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BEBAB09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B0D642B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  <w:tr w:rsidR="000C766A" w14:paraId="560156CD" w14:textId="77777777" w:rsidTr="003D2DE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166083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2D813704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dionice i udjele u glavnici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285B7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87.808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4A8562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EBB235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20582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E35D50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7F8AEC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0C766A" w14:paraId="0DC2CBDE" w14:textId="77777777" w:rsidTr="003D2DE7">
        <w:trPr>
          <w:trHeight w:val="4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6BD2DD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F851A57" w14:textId="77777777" w:rsidR="000C766A" w:rsidRDefault="000C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503BF8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3.726.996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19740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2.137.142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862A8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2.099.009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1B71E4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ECE54F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25EB5B" w14:textId="77777777" w:rsidR="000C766A" w:rsidRDefault="000C7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0C766A" w14:paraId="347F15FC" w14:textId="77777777" w:rsidTr="003D2DE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B3E8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97DDB" w14:textId="77777777" w:rsidR="000C766A" w:rsidRDefault="000C76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UKUPNI RASHODI I IZDACI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2BB4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41.644.441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F5682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40.695.744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82F6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38.101.442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C0A6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A3BB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077C" w14:textId="77777777" w:rsidR="000C766A" w:rsidRDefault="000C7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</w:tbl>
    <w:p w14:paraId="4CEE2E1F" w14:textId="77777777" w:rsidR="006B5E4E" w:rsidRDefault="006B5E4E" w:rsidP="005712E4"/>
    <w:p w14:paraId="18C56910" w14:textId="77777777" w:rsidR="006B5E4E" w:rsidRDefault="006B5E4E" w:rsidP="005712E4"/>
    <w:p w14:paraId="2D811F37" w14:textId="686C2B48" w:rsidR="001415AB" w:rsidRPr="00E80A17" w:rsidRDefault="005712E4" w:rsidP="005712E4">
      <w:r w:rsidRPr="00E80A17">
        <w:t xml:space="preserve">Ukupni rashodi i izdaci u </w:t>
      </w:r>
      <w:r w:rsidR="00692039">
        <w:t>2</w:t>
      </w:r>
      <w:r w:rsidRPr="00E80A17">
        <w:t>0</w:t>
      </w:r>
      <w:r w:rsidR="001F6909">
        <w:t>2</w:t>
      </w:r>
      <w:r w:rsidR="007052CE">
        <w:t>1</w:t>
      </w:r>
      <w:r w:rsidRPr="00E80A17">
        <w:t>. godin</w:t>
      </w:r>
      <w:r w:rsidR="00692039">
        <w:t>i</w:t>
      </w:r>
      <w:r w:rsidRPr="00E80A17">
        <w:t xml:space="preserve"> </w:t>
      </w:r>
      <w:r w:rsidR="00B75BFC" w:rsidRPr="00E80A17">
        <w:t xml:space="preserve">ostvareni su u </w:t>
      </w:r>
      <w:r w:rsidR="00B4643A" w:rsidRPr="00E80A17">
        <w:t xml:space="preserve">iznosu od </w:t>
      </w:r>
      <w:r w:rsidR="00692039">
        <w:t>38.</w:t>
      </w:r>
      <w:r w:rsidR="00342C36">
        <w:t>101</w:t>
      </w:r>
      <w:r w:rsidR="00692039">
        <w:t>.442</w:t>
      </w:r>
      <w:r w:rsidR="00B4643A" w:rsidRPr="00E80A17">
        <w:t xml:space="preserve"> kuna</w:t>
      </w:r>
      <w:r w:rsidR="00B75BFC" w:rsidRPr="00E80A17">
        <w:t xml:space="preserve"> ili </w:t>
      </w:r>
      <w:r w:rsidR="00692039">
        <w:t>6</w:t>
      </w:r>
      <w:r w:rsidR="00B75BFC" w:rsidRPr="00E80A17">
        <w:t xml:space="preserve">% </w:t>
      </w:r>
      <w:r w:rsidR="00692039">
        <w:t xml:space="preserve">manje </w:t>
      </w:r>
      <w:r w:rsidR="00B75BFC" w:rsidRPr="00E80A17">
        <w:t>od plan</w:t>
      </w:r>
      <w:r w:rsidR="00CB0A0E" w:rsidRPr="00E80A17">
        <w:t>a</w:t>
      </w:r>
      <w:r w:rsidR="00B75BFC" w:rsidRPr="00E80A17">
        <w:t>.</w:t>
      </w:r>
      <w:r w:rsidRPr="00E80A17">
        <w:t xml:space="preserve"> U odnosu na 20</w:t>
      </w:r>
      <w:r w:rsidR="007052CE">
        <w:t>2</w:t>
      </w:r>
      <w:r w:rsidR="00F34077">
        <w:t>1</w:t>
      </w:r>
      <w:r w:rsidRPr="00E80A17">
        <w:t>. godin</w:t>
      </w:r>
      <w:r w:rsidR="00F34077">
        <w:t>u</w:t>
      </w:r>
      <w:r w:rsidRPr="00E80A17">
        <w:t>,</w:t>
      </w:r>
      <w:r w:rsidR="00B80437" w:rsidRPr="00E80A17">
        <w:t xml:space="preserve"> ostvareni</w:t>
      </w:r>
      <w:r w:rsidRPr="00E80A17">
        <w:t xml:space="preserve"> rashodi i izdaci </w:t>
      </w:r>
      <w:r w:rsidR="00692039">
        <w:t>manji</w:t>
      </w:r>
      <w:r w:rsidR="00B75BFC" w:rsidRPr="00E80A17">
        <w:t xml:space="preserve"> su za </w:t>
      </w:r>
      <w:r w:rsidR="00125554">
        <w:t>9</w:t>
      </w:r>
      <w:r w:rsidRPr="00E80A17">
        <w:t xml:space="preserve">%. </w:t>
      </w:r>
    </w:p>
    <w:p w14:paraId="4D973B59" w14:textId="77777777" w:rsidR="00915F81" w:rsidRPr="00E80A17" w:rsidRDefault="00915F81" w:rsidP="005712E4"/>
    <w:p w14:paraId="3DCCB247" w14:textId="26F4DDD0" w:rsidR="005712E4" w:rsidRPr="00E80A17" w:rsidRDefault="005712E4" w:rsidP="005712E4">
      <w:r w:rsidRPr="00E80A17">
        <w:t>U strukturi</w:t>
      </w:r>
      <w:r w:rsidR="00B80437" w:rsidRPr="00E80A17">
        <w:t xml:space="preserve"> realiziranih</w:t>
      </w:r>
      <w:r w:rsidRPr="00E80A17">
        <w:t xml:space="preserve"> rashoda </w:t>
      </w:r>
      <w:r w:rsidR="00B80437" w:rsidRPr="00E80A17">
        <w:t xml:space="preserve">i izdataka </w:t>
      </w:r>
      <w:r w:rsidRPr="00E80A17">
        <w:t xml:space="preserve">prevladavaju rashodi poslovanja s udjelom od </w:t>
      </w:r>
      <w:r w:rsidR="007052CE">
        <w:t>6</w:t>
      </w:r>
      <w:r w:rsidR="00125554">
        <w:t>8,70</w:t>
      </w:r>
      <w:r w:rsidRPr="00E80A17">
        <w:t xml:space="preserve">%, slijede rashodi za nabavu nefinancijske imovine koji imaju udjel od </w:t>
      </w:r>
      <w:r w:rsidR="00CB0A0E" w:rsidRPr="00E80A17">
        <w:t>2</w:t>
      </w:r>
      <w:r w:rsidR="00125554">
        <w:t>5,56</w:t>
      </w:r>
      <w:r w:rsidRPr="00E80A17">
        <w:t xml:space="preserve">% te izdaci za financijsku imovinu i otplate kredita s udjelom od </w:t>
      </w:r>
      <w:r w:rsidR="00125554">
        <w:t>5,74</w:t>
      </w:r>
      <w:r w:rsidRPr="00E80A17">
        <w:t xml:space="preserve">% </w:t>
      </w:r>
      <w:r w:rsidR="00277F78">
        <w:t xml:space="preserve">u </w:t>
      </w:r>
      <w:r w:rsidRPr="00E80A17">
        <w:t>ukupni</w:t>
      </w:r>
      <w:r w:rsidR="00277F78">
        <w:t>m</w:t>
      </w:r>
      <w:r w:rsidRPr="00E80A17">
        <w:t xml:space="preserve"> rashod</w:t>
      </w:r>
      <w:r w:rsidR="00277F78">
        <w:t>ima</w:t>
      </w:r>
      <w:r w:rsidRPr="00E80A17">
        <w:t xml:space="preserve"> i izda</w:t>
      </w:r>
      <w:r w:rsidR="00277F78">
        <w:t>cima</w:t>
      </w:r>
      <w:r w:rsidRPr="00E80A17">
        <w:t xml:space="preserve">. </w:t>
      </w:r>
    </w:p>
    <w:p w14:paraId="70E02BAD" w14:textId="77777777" w:rsidR="005712E4" w:rsidRPr="00E80A17" w:rsidRDefault="005712E4" w:rsidP="005712E4">
      <w:pPr>
        <w:rPr>
          <w:color w:val="FF0000"/>
        </w:rPr>
      </w:pPr>
    </w:p>
    <w:p w14:paraId="62F87C8A" w14:textId="6C3E0586" w:rsidR="005712E4" w:rsidRPr="00E80A17" w:rsidRDefault="005712E4" w:rsidP="005712E4">
      <w:r w:rsidRPr="00E80A17">
        <w:t xml:space="preserve">1. Rashodi poslovanja ostvareni su u ukupnom iznosu od </w:t>
      </w:r>
      <w:r w:rsidR="001A424C">
        <w:t>26.175.140</w:t>
      </w:r>
      <w:r w:rsidRPr="00E80A17">
        <w:t xml:space="preserve"> kuna ili </w:t>
      </w:r>
      <w:r w:rsidR="001A424C">
        <w:t>90</w:t>
      </w:r>
      <w:r w:rsidRPr="00E80A17">
        <w:t xml:space="preserve">% </w:t>
      </w:r>
      <w:r w:rsidR="00B75BFC" w:rsidRPr="00E80A17">
        <w:t xml:space="preserve">od </w:t>
      </w:r>
      <w:r w:rsidRPr="00E80A17">
        <w:t>plan</w:t>
      </w:r>
      <w:r w:rsidR="001A424C">
        <w:t>iranog</w:t>
      </w:r>
      <w:r w:rsidR="007052CE">
        <w:t xml:space="preserve"> i </w:t>
      </w:r>
      <w:r w:rsidR="001A424C">
        <w:t>11</w:t>
      </w:r>
      <w:r w:rsidR="007052CE">
        <w:t>% više u odnosu na prethodn</w:t>
      </w:r>
      <w:r w:rsidR="001A424C">
        <w:t>u</w:t>
      </w:r>
      <w:r w:rsidR="007052CE">
        <w:t xml:space="preserve"> godin</w:t>
      </w:r>
      <w:r w:rsidR="001A424C">
        <w:t>u</w:t>
      </w:r>
      <w:r w:rsidRPr="00E80A17">
        <w:t>.</w:t>
      </w:r>
    </w:p>
    <w:p w14:paraId="71CE9B2A" w14:textId="77777777" w:rsidR="005712E4" w:rsidRPr="00E80A17" w:rsidRDefault="005712E4" w:rsidP="005712E4"/>
    <w:p w14:paraId="1E237CB7" w14:textId="533D5E29" w:rsidR="005712E4" w:rsidRPr="00E80A17" w:rsidRDefault="005712E4" w:rsidP="005712E4">
      <w:pPr>
        <w:ind w:left="708"/>
      </w:pPr>
      <w:r w:rsidRPr="00E80A17">
        <w:t xml:space="preserve">1.1. Rashodi za zaposlene ostvareni su u </w:t>
      </w:r>
      <w:r w:rsidR="00084BAD" w:rsidRPr="00E80A17">
        <w:t xml:space="preserve">ukupnom </w:t>
      </w:r>
      <w:r w:rsidRPr="00E80A17">
        <w:t xml:space="preserve">iznosu od </w:t>
      </w:r>
      <w:r w:rsidR="001A424C">
        <w:t>8.468.839</w:t>
      </w:r>
      <w:r w:rsidR="001F6909">
        <w:t xml:space="preserve"> </w:t>
      </w:r>
      <w:r w:rsidRPr="00E80A17">
        <w:t xml:space="preserve">kuna ili </w:t>
      </w:r>
      <w:r w:rsidR="001A424C">
        <w:t>94</w:t>
      </w:r>
      <w:r w:rsidRPr="00E80A17">
        <w:t>% od plana</w:t>
      </w:r>
      <w:r w:rsidR="007052CE">
        <w:t xml:space="preserve"> i </w:t>
      </w:r>
      <w:r w:rsidR="001A424C">
        <w:t>5</w:t>
      </w:r>
      <w:r w:rsidR="007052CE">
        <w:t>% više u odnosu na prethodn</w:t>
      </w:r>
      <w:r w:rsidR="001A424C">
        <w:t>u</w:t>
      </w:r>
      <w:r w:rsidR="007052CE">
        <w:t xml:space="preserve"> godin</w:t>
      </w:r>
      <w:r w:rsidR="001A424C">
        <w:t>u</w:t>
      </w:r>
      <w:r w:rsidR="001F6909">
        <w:t>.</w:t>
      </w:r>
      <w:r w:rsidR="007052CE">
        <w:t xml:space="preserve"> Radi pada prihoda</w:t>
      </w:r>
      <w:r w:rsidR="00140CA4">
        <w:t xml:space="preserve"> u uvjetima </w:t>
      </w:r>
      <w:r w:rsidR="007052CE">
        <w:t>pandemije koro</w:t>
      </w:r>
      <w:r w:rsidR="00CC12EA">
        <w:t>na virusa u drugom tromjesečju prethodne godine plaće su bile smanjene za 10%.</w:t>
      </w:r>
      <w:r w:rsidRPr="00E80A17">
        <w:t xml:space="preserve">  </w:t>
      </w:r>
    </w:p>
    <w:p w14:paraId="52744608" w14:textId="34C56565" w:rsidR="005712E4" w:rsidRPr="00E80A17" w:rsidRDefault="005712E4" w:rsidP="005712E4">
      <w:pPr>
        <w:ind w:left="708"/>
      </w:pPr>
      <w:r w:rsidRPr="00E80A17">
        <w:t xml:space="preserve">Rashodi za zaposlene u Gradskoj upravi ostvareni su u iznosu od </w:t>
      </w:r>
      <w:r w:rsidR="00E85195">
        <w:t>3.103.456</w:t>
      </w:r>
      <w:r w:rsidRPr="00E80A17">
        <w:t xml:space="preserve"> kuna, dok su rashodi za zaposlene kod proračunskih korisnika izvršeni u iznosu od </w:t>
      </w:r>
      <w:r w:rsidR="00A63472">
        <w:t>5.365.383</w:t>
      </w:r>
      <w:r w:rsidRPr="00E80A17">
        <w:t xml:space="preserve"> kuna. </w:t>
      </w:r>
      <w:r w:rsidR="00494238" w:rsidRPr="00E80A17">
        <w:t>Prosječan b</w:t>
      </w:r>
      <w:r w:rsidR="004F0160" w:rsidRPr="00E80A17">
        <w:t xml:space="preserve">roj zaposlenih </w:t>
      </w:r>
      <w:r w:rsidR="00392924" w:rsidRPr="00E80A17">
        <w:t xml:space="preserve">u </w:t>
      </w:r>
      <w:r w:rsidR="00494238" w:rsidRPr="00E80A17">
        <w:t>20</w:t>
      </w:r>
      <w:r w:rsidR="00223518">
        <w:t>2</w:t>
      </w:r>
      <w:r w:rsidR="007052CE">
        <w:t>1</w:t>
      </w:r>
      <w:r w:rsidR="00494238" w:rsidRPr="00E80A17">
        <w:t>. godin</w:t>
      </w:r>
      <w:r w:rsidR="00A63472">
        <w:t>i</w:t>
      </w:r>
      <w:r w:rsidR="00494238" w:rsidRPr="00E80A17">
        <w:t xml:space="preserve"> </w:t>
      </w:r>
      <w:r w:rsidR="004F0160" w:rsidRPr="00E80A17">
        <w:t xml:space="preserve">u Gradskoj upravi </w:t>
      </w:r>
      <w:r w:rsidR="00494238" w:rsidRPr="00E80A17">
        <w:t>bio</w:t>
      </w:r>
      <w:r w:rsidR="004F0160" w:rsidRPr="00E80A17">
        <w:t xml:space="preserve"> je 18 zaposlenih, dok je kod proračunskih korisnika </w:t>
      </w:r>
      <w:r w:rsidR="009578AB" w:rsidRPr="00E80A17">
        <w:t xml:space="preserve">ukupan </w:t>
      </w:r>
      <w:r w:rsidR="00494238" w:rsidRPr="00E80A17">
        <w:t xml:space="preserve">prosječan </w:t>
      </w:r>
      <w:r w:rsidR="004F0160" w:rsidRPr="00E80A17">
        <w:t xml:space="preserve">broj zaposlenih </w:t>
      </w:r>
      <w:r w:rsidR="00494238" w:rsidRPr="00E80A17">
        <w:t xml:space="preserve">bio </w:t>
      </w:r>
      <w:r w:rsidR="00392924" w:rsidRPr="00E80A17">
        <w:t>5</w:t>
      </w:r>
      <w:r w:rsidR="00E85195">
        <w:t>1</w:t>
      </w:r>
      <w:r w:rsidR="004F0160" w:rsidRPr="00E80A17">
        <w:t>.</w:t>
      </w:r>
    </w:p>
    <w:p w14:paraId="51AF7AAB" w14:textId="77777777" w:rsidR="00084BAD" w:rsidRPr="00E80A17" w:rsidRDefault="00084BAD" w:rsidP="005712E4">
      <w:pPr>
        <w:ind w:left="708"/>
        <w:rPr>
          <w:sz w:val="20"/>
          <w:szCs w:val="20"/>
        </w:rPr>
      </w:pPr>
    </w:p>
    <w:p w14:paraId="5401E330" w14:textId="4E42D4D3" w:rsidR="005712E4" w:rsidRPr="00E80A17" w:rsidRDefault="005712E4" w:rsidP="005712E4">
      <w:pPr>
        <w:ind w:left="708"/>
      </w:pPr>
      <w:r w:rsidRPr="00E80A17">
        <w:t xml:space="preserve">1.2. Materijalni rashodi ostvareni su u iznosu od </w:t>
      </w:r>
      <w:r w:rsidR="008925E3">
        <w:t>11.991.377</w:t>
      </w:r>
      <w:r w:rsidRPr="00E80A17">
        <w:t xml:space="preserve"> kuna ili </w:t>
      </w:r>
      <w:r w:rsidR="008925E3">
        <w:t>92</w:t>
      </w:r>
      <w:r w:rsidRPr="00E80A17">
        <w:t xml:space="preserve">% od </w:t>
      </w:r>
      <w:r w:rsidR="008925E3">
        <w:t>p</w:t>
      </w:r>
      <w:r w:rsidRPr="00E80A17">
        <w:t xml:space="preserve">lana i </w:t>
      </w:r>
      <w:r w:rsidR="00392924" w:rsidRPr="00E80A17">
        <w:t>1</w:t>
      </w:r>
      <w:r w:rsidR="008925E3">
        <w:t>4</w:t>
      </w:r>
      <w:r w:rsidR="00494238" w:rsidRPr="00E80A17">
        <w:t xml:space="preserve">% </w:t>
      </w:r>
      <w:r w:rsidR="00CC12EA">
        <w:t>više</w:t>
      </w:r>
      <w:r w:rsidR="00494238" w:rsidRPr="00E80A17">
        <w:t xml:space="preserve"> od </w:t>
      </w:r>
      <w:r w:rsidR="004F0160" w:rsidRPr="00E80A17">
        <w:t>iznos</w:t>
      </w:r>
      <w:r w:rsidR="00494238" w:rsidRPr="00E80A17">
        <w:t>a</w:t>
      </w:r>
      <w:r w:rsidR="004F0160" w:rsidRPr="00E80A17">
        <w:t xml:space="preserve"> ostvareno</w:t>
      </w:r>
      <w:r w:rsidR="00494238" w:rsidRPr="00E80A17">
        <w:t>g</w:t>
      </w:r>
      <w:r w:rsidR="004F0160" w:rsidRPr="00E80A17">
        <w:t xml:space="preserve"> u prethodn</w:t>
      </w:r>
      <w:r w:rsidR="008925E3">
        <w:t>oj</w:t>
      </w:r>
      <w:r w:rsidR="004F0160" w:rsidRPr="00E80A17">
        <w:t xml:space="preserve"> godin</w:t>
      </w:r>
      <w:r w:rsidR="008925E3">
        <w:t>i</w:t>
      </w:r>
      <w:r w:rsidR="004F0160" w:rsidRPr="00E80A17">
        <w:t>.</w:t>
      </w:r>
    </w:p>
    <w:p w14:paraId="677585F2" w14:textId="77777777" w:rsidR="005712E4" w:rsidRPr="00E80A17" w:rsidRDefault="005712E4" w:rsidP="005712E4">
      <w:pPr>
        <w:ind w:left="708"/>
        <w:rPr>
          <w:color w:val="FF0000"/>
        </w:rPr>
      </w:pPr>
    </w:p>
    <w:p w14:paraId="22A08921" w14:textId="75A5721E" w:rsidR="005712E4" w:rsidRPr="00E80A17" w:rsidRDefault="005712E4" w:rsidP="005712E4">
      <w:pPr>
        <w:ind w:left="708"/>
      </w:pPr>
      <w:r w:rsidRPr="00E80A17">
        <w:t xml:space="preserve">U strukturi materijalnih rashoda najveći je udjel rashoda za usluge </w:t>
      </w:r>
      <w:r w:rsidR="008925E3">
        <w:t>75,08</w:t>
      </w:r>
      <w:r w:rsidRPr="00E80A17">
        <w:t xml:space="preserve">%, slijede rashodi za materijal i energiju </w:t>
      </w:r>
      <w:r w:rsidR="00CC12EA">
        <w:t>1</w:t>
      </w:r>
      <w:r w:rsidR="008925E3">
        <w:t>3,29</w:t>
      </w:r>
      <w:r w:rsidRPr="00E80A17">
        <w:t xml:space="preserve">%, ostali rashodi poslovanja </w:t>
      </w:r>
      <w:r w:rsidR="00CC12EA">
        <w:t>7,</w:t>
      </w:r>
      <w:r w:rsidR="008925E3">
        <w:t>61</w:t>
      </w:r>
      <w:r w:rsidRPr="00E80A17">
        <w:t xml:space="preserve">%, naknade troškova zaposlenima sa </w:t>
      </w:r>
      <w:r w:rsidR="008925E3">
        <w:t>3,95</w:t>
      </w:r>
      <w:r w:rsidRPr="00E80A17">
        <w:t>% te naknade troškova</w:t>
      </w:r>
      <w:r w:rsidR="00494238" w:rsidRPr="00E80A17">
        <w:t xml:space="preserve"> osobama izvan radnog odnosa 0,</w:t>
      </w:r>
      <w:r w:rsidR="00223518">
        <w:t>0</w:t>
      </w:r>
      <w:r w:rsidR="008925E3">
        <w:t>7</w:t>
      </w:r>
      <w:r w:rsidRPr="00E80A17">
        <w:t>%.</w:t>
      </w:r>
    </w:p>
    <w:p w14:paraId="03B98644" w14:textId="77777777" w:rsidR="005712E4" w:rsidRPr="00E80A17" w:rsidRDefault="005712E4" w:rsidP="005712E4">
      <w:pPr>
        <w:ind w:left="708"/>
        <w:rPr>
          <w:sz w:val="20"/>
          <w:szCs w:val="20"/>
        </w:rPr>
      </w:pPr>
    </w:p>
    <w:p w14:paraId="7F6098EB" w14:textId="1D778239" w:rsidR="005712E4" w:rsidRPr="00E80A17" w:rsidRDefault="005712E4" w:rsidP="005712E4">
      <w:pPr>
        <w:ind w:left="1416"/>
      </w:pPr>
      <w:r w:rsidRPr="00E80A17">
        <w:t xml:space="preserve">1.2.1. Naknade troškova zaposlenima ostvarene su u iznosu od </w:t>
      </w:r>
      <w:r w:rsidR="008925E3">
        <w:t>473.463</w:t>
      </w:r>
      <w:r w:rsidRPr="00E80A17">
        <w:t xml:space="preserve"> kuna ili </w:t>
      </w:r>
      <w:r w:rsidR="008925E3">
        <w:t>84</w:t>
      </w:r>
      <w:r w:rsidRPr="00E80A17">
        <w:t>% od plana</w:t>
      </w:r>
      <w:r w:rsidR="00B92D1E">
        <w:t xml:space="preserve"> i </w:t>
      </w:r>
      <w:r w:rsidR="008925E3">
        <w:t>6</w:t>
      </w:r>
      <w:r w:rsidR="00B92D1E">
        <w:t>% više u odnosu na 202</w:t>
      </w:r>
      <w:r w:rsidR="00140CA4">
        <w:t>0</w:t>
      </w:r>
      <w:r w:rsidR="00B92D1E">
        <w:t>. godin</w:t>
      </w:r>
      <w:r w:rsidR="008925E3">
        <w:t>u</w:t>
      </w:r>
      <w:r w:rsidRPr="00E80A17">
        <w:t>, a radi se o naknadama troškova zaposlenima u upravi i kod proračunskih korisnika za troškove prijevoza na posao i s posla, troškova službenih putovanja, stručnog usavršavanja i ostal</w:t>
      </w:r>
      <w:r w:rsidR="006C588C">
        <w:t>ih</w:t>
      </w:r>
      <w:r w:rsidRPr="00E80A17">
        <w:t xml:space="preserve"> naknada troškova.</w:t>
      </w:r>
      <w:r w:rsidR="00224826">
        <w:t xml:space="preserve"> </w:t>
      </w:r>
      <w:r w:rsidR="00CC12EA">
        <w:t xml:space="preserve">U </w:t>
      </w:r>
      <w:r w:rsidR="008925E3">
        <w:t>p</w:t>
      </w:r>
      <w:r w:rsidR="00CC12EA">
        <w:t>rethodn</w:t>
      </w:r>
      <w:r w:rsidR="008925E3">
        <w:t>oj</w:t>
      </w:r>
      <w:r w:rsidR="00CC12EA">
        <w:t xml:space="preserve"> godin</w:t>
      </w:r>
      <w:r w:rsidR="008925E3">
        <w:t>i</w:t>
      </w:r>
      <w:r w:rsidR="00B92D1E">
        <w:t xml:space="preserve"> ostvareno je manje </w:t>
      </w:r>
      <w:r w:rsidR="00224826">
        <w:t>rashod</w:t>
      </w:r>
      <w:r w:rsidR="00B92D1E">
        <w:t>a</w:t>
      </w:r>
      <w:r w:rsidR="00224826">
        <w:t xml:space="preserve"> za troškove prijevoza na posao i s posla kod proračunskih korisnika radi </w:t>
      </w:r>
      <w:r w:rsidR="006C57EC">
        <w:t xml:space="preserve">privremenog </w:t>
      </w:r>
      <w:r w:rsidR="00224826">
        <w:t xml:space="preserve">prekida </w:t>
      </w:r>
      <w:r w:rsidR="003D731F">
        <w:t>rada</w:t>
      </w:r>
      <w:r w:rsidR="006C57EC">
        <w:t xml:space="preserve"> dječjih vrtića</w:t>
      </w:r>
      <w:r w:rsidR="003D731F">
        <w:t xml:space="preserve"> usl</w:t>
      </w:r>
      <w:r w:rsidR="008533F8">
        <w:t>i</w:t>
      </w:r>
      <w:r w:rsidR="003D731F">
        <w:t>jed posebnih okolnosti vezan</w:t>
      </w:r>
      <w:r w:rsidR="004C55FA">
        <w:t>ih</w:t>
      </w:r>
      <w:r w:rsidR="003D731F">
        <w:t xml:space="preserve"> za </w:t>
      </w:r>
      <w:r w:rsidR="0006013F">
        <w:t xml:space="preserve">pandemiju </w:t>
      </w:r>
      <w:r w:rsidR="003D731F">
        <w:t>korona</w:t>
      </w:r>
      <w:r w:rsidR="00FF2A98">
        <w:t xml:space="preserve"> </w:t>
      </w:r>
      <w:r w:rsidR="003D731F">
        <w:t>virus</w:t>
      </w:r>
      <w:r w:rsidR="0006013F">
        <w:t>a</w:t>
      </w:r>
      <w:r w:rsidR="003D731F">
        <w:t>.</w:t>
      </w:r>
    </w:p>
    <w:p w14:paraId="37D774BF" w14:textId="77777777" w:rsidR="005712E4" w:rsidRPr="00E80A17" w:rsidRDefault="005712E4" w:rsidP="005712E4">
      <w:pPr>
        <w:ind w:left="1416"/>
      </w:pPr>
    </w:p>
    <w:p w14:paraId="5FA68326" w14:textId="5D6661EA" w:rsidR="005712E4" w:rsidRPr="00E80A17" w:rsidRDefault="005712E4" w:rsidP="005712E4">
      <w:pPr>
        <w:ind w:left="1416"/>
      </w:pPr>
      <w:r w:rsidRPr="00E80A17">
        <w:t xml:space="preserve">1.2.2. Rashodi za materijal i energiju ostvareni su u iznosu od </w:t>
      </w:r>
      <w:r w:rsidR="00FD626C">
        <w:t>1.593.727</w:t>
      </w:r>
      <w:r w:rsidRPr="00E80A17">
        <w:t xml:space="preserve"> kuna ili </w:t>
      </w:r>
      <w:r w:rsidR="00FD626C">
        <w:t>91</w:t>
      </w:r>
      <w:r w:rsidRPr="00E80A17">
        <w:t xml:space="preserve">% </w:t>
      </w:r>
      <w:r w:rsidR="003A14C5" w:rsidRPr="00E80A17">
        <w:t xml:space="preserve">od </w:t>
      </w:r>
      <w:r w:rsidRPr="00E80A17">
        <w:t>plan</w:t>
      </w:r>
      <w:r w:rsidR="00494238" w:rsidRPr="00E80A17">
        <w:t>iranog</w:t>
      </w:r>
      <w:r w:rsidR="00181C38">
        <w:t>, a</w:t>
      </w:r>
      <w:r w:rsidR="00FD626C">
        <w:t xml:space="preserve"> </w:t>
      </w:r>
      <w:r w:rsidRPr="00E80A17">
        <w:t xml:space="preserve">od čega se najveći dio odnosi na troškove energije </w:t>
      </w:r>
      <w:r w:rsidR="002A1E1D">
        <w:lastRenderedPageBreak/>
        <w:t>795.648</w:t>
      </w:r>
      <w:r w:rsidRPr="00E80A17">
        <w:t xml:space="preserve"> kuna</w:t>
      </w:r>
      <w:r w:rsidR="006C588C">
        <w:t>.</w:t>
      </w:r>
      <w:r w:rsidRPr="00E80A17">
        <w:t xml:space="preserve"> </w:t>
      </w:r>
      <w:r w:rsidR="006C588C">
        <w:t>R</w:t>
      </w:r>
      <w:r w:rsidR="00E165D2">
        <w:t>azlika</w:t>
      </w:r>
      <w:r w:rsidRPr="00E80A17">
        <w:t xml:space="preserve"> ostvarenih rashoda odnosi se na namirnice u dječjim vrtićima, uredski materijal, stručnu literaturu, radnu i zaštitnu odjeću, sitni inventar</w:t>
      </w:r>
      <w:r w:rsidR="00791061" w:rsidRPr="00E80A17">
        <w:t xml:space="preserve"> </w:t>
      </w:r>
      <w:r w:rsidRPr="00E80A17">
        <w:t>te ostali materijal za čišćenje</w:t>
      </w:r>
      <w:r w:rsidR="00B22237" w:rsidRPr="00E80A17">
        <w:t>,</w:t>
      </w:r>
      <w:r w:rsidRPr="00E80A17">
        <w:t xml:space="preserve"> održavanje</w:t>
      </w:r>
      <w:r w:rsidR="00B22237" w:rsidRPr="00E80A17">
        <w:t xml:space="preserve"> i higijenske potrebe</w:t>
      </w:r>
      <w:r w:rsidRPr="00E80A17">
        <w:t>.</w:t>
      </w:r>
      <w:r w:rsidR="000067DF">
        <w:t xml:space="preserve"> U odnosu na prethodn</w:t>
      </w:r>
      <w:r w:rsidR="00327C88">
        <w:t>u</w:t>
      </w:r>
      <w:r w:rsidR="000067DF">
        <w:t xml:space="preserve"> godin</w:t>
      </w:r>
      <w:r w:rsidR="00327C88">
        <w:t>u</w:t>
      </w:r>
      <w:r w:rsidR="000067DF">
        <w:t xml:space="preserve"> rashodi </w:t>
      </w:r>
      <w:r w:rsidR="00327C88">
        <w:t xml:space="preserve">za materijal i energiju </w:t>
      </w:r>
      <w:r w:rsidR="000067DF">
        <w:t xml:space="preserve">manji </w:t>
      </w:r>
      <w:r w:rsidR="00327C88">
        <w:t xml:space="preserve">su </w:t>
      </w:r>
      <w:r w:rsidR="000067DF">
        <w:t xml:space="preserve">za </w:t>
      </w:r>
      <w:r w:rsidR="002A1E1D">
        <w:t>12</w:t>
      </w:r>
      <w:r w:rsidR="000067DF">
        <w:t xml:space="preserve">%, a najznačajnije </w:t>
      </w:r>
      <w:r w:rsidR="00FD1F10">
        <w:t>smanjenje</w:t>
      </w:r>
      <w:r w:rsidR="00327C88">
        <w:t xml:space="preserve"> (39%) </w:t>
      </w:r>
      <w:r w:rsidR="000067DF">
        <w:t xml:space="preserve">je na rashodima za </w:t>
      </w:r>
      <w:r w:rsidR="002A1E1D">
        <w:t xml:space="preserve">električnu </w:t>
      </w:r>
      <w:r w:rsidR="000067DF">
        <w:t>energiju</w:t>
      </w:r>
      <w:r w:rsidR="006C588C">
        <w:t>.</w:t>
      </w:r>
      <w:r w:rsidR="000067DF">
        <w:t xml:space="preserve"> </w:t>
      </w:r>
      <w:r w:rsidR="00B8459A">
        <w:t>Najvećim dijelom je to</w:t>
      </w:r>
      <w:r w:rsidR="006C588C">
        <w:t xml:space="preserve"> r</w:t>
      </w:r>
      <w:r w:rsidR="000067DF">
        <w:t xml:space="preserve">ezultat </w:t>
      </w:r>
      <w:r w:rsidR="00327C88">
        <w:t xml:space="preserve">ušteda </w:t>
      </w:r>
      <w:r w:rsidR="00B8459A">
        <w:t>po provedenim projektima</w:t>
      </w:r>
      <w:r w:rsidR="006C588C">
        <w:t xml:space="preserve"> poboljšanja energetske učinkovitosti odnosno </w:t>
      </w:r>
      <w:r w:rsidR="000067DF">
        <w:t>energetske obnove zgrad</w:t>
      </w:r>
      <w:r w:rsidR="006C588C">
        <w:t>e</w:t>
      </w:r>
      <w:r w:rsidR="000067DF">
        <w:t xml:space="preserve"> </w:t>
      </w:r>
      <w:r w:rsidR="00327C88">
        <w:t>dječjeg vrtića i gradske uprave te</w:t>
      </w:r>
      <w:r w:rsidR="000067DF">
        <w:t xml:space="preserve"> </w:t>
      </w:r>
      <w:r w:rsidR="00327C88">
        <w:t>zamjen</w:t>
      </w:r>
      <w:r w:rsidR="00F83955">
        <w:t>u</w:t>
      </w:r>
      <w:r w:rsidR="00327C88">
        <w:t xml:space="preserve"> </w:t>
      </w:r>
      <w:r w:rsidR="000067DF">
        <w:t>javne rasvjete</w:t>
      </w:r>
      <w:r w:rsidR="00327C88">
        <w:t xml:space="preserve"> LED rasvjetom</w:t>
      </w:r>
      <w:r w:rsidR="000067DF">
        <w:t>.</w:t>
      </w:r>
    </w:p>
    <w:p w14:paraId="120238C0" w14:textId="77777777" w:rsidR="005712E4" w:rsidRPr="00E80A17" w:rsidRDefault="005712E4" w:rsidP="005712E4">
      <w:pPr>
        <w:ind w:left="1416"/>
      </w:pPr>
    </w:p>
    <w:p w14:paraId="7A47DF75" w14:textId="1FA73728" w:rsidR="005712E4" w:rsidRPr="00E80A17" w:rsidRDefault="005712E4" w:rsidP="005712E4">
      <w:pPr>
        <w:ind w:left="1416"/>
      </w:pPr>
      <w:r w:rsidRPr="00E80A17">
        <w:t>1.2.3. Rashodi za usluge ostvareni su u iznosu od</w:t>
      </w:r>
      <w:r w:rsidR="00300323" w:rsidRPr="00E80A17">
        <w:t xml:space="preserve"> </w:t>
      </w:r>
      <w:r w:rsidR="007C653E">
        <w:t>9.003.537</w:t>
      </w:r>
      <w:r w:rsidR="00B059D0">
        <w:t xml:space="preserve"> </w:t>
      </w:r>
      <w:r w:rsidRPr="00E80A17">
        <w:t xml:space="preserve">kuna ili </w:t>
      </w:r>
      <w:r w:rsidR="007C653E">
        <w:t>93</w:t>
      </w:r>
      <w:r w:rsidRPr="00E80A17">
        <w:t xml:space="preserve">% od plana, a odnose se na </w:t>
      </w:r>
      <w:r w:rsidR="004D6C83" w:rsidRPr="00E80A17">
        <w:t>usluge tekućeg i investicijskog održavanja (</w:t>
      </w:r>
      <w:r w:rsidR="00B940C7">
        <w:t>3.979.207</w:t>
      </w:r>
      <w:r w:rsidR="004D6C83" w:rsidRPr="00E80A17">
        <w:t xml:space="preserve"> kuna), </w:t>
      </w:r>
      <w:r w:rsidR="00B059D0" w:rsidRPr="00E80A17">
        <w:t>komunalne usluge (</w:t>
      </w:r>
      <w:r w:rsidR="00B940C7">
        <w:t>2.265.025</w:t>
      </w:r>
      <w:r w:rsidR="00B059D0" w:rsidRPr="00E80A17">
        <w:t xml:space="preserve"> kuna), </w:t>
      </w:r>
      <w:r w:rsidRPr="00E80A17">
        <w:t>intelektualne usluge (</w:t>
      </w:r>
      <w:r w:rsidR="00B940C7">
        <w:t>1.022.488</w:t>
      </w:r>
      <w:r w:rsidRPr="00E80A17">
        <w:t xml:space="preserve"> kuna), usluge čišćenja (</w:t>
      </w:r>
      <w:r w:rsidR="00B940C7">
        <w:t>505.413</w:t>
      </w:r>
      <w:r w:rsidRPr="00E80A17">
        <w:t xml:space="preserve"> kuna), </w:t>
      </w:r>
      <w:r w:rsidR="004D6C83" w:rsidRPr="00E80A17">
        <w:t>usluge promidžbe i informiranja (</w:t>
      </w:r>
      <w:r w:rsidR="00B940C7">
        <w:t>352.083</w:t>
      </w:r>
      <w:r w:rsidR="004D6C83" w:rsidRPr="00E80A17">
        <w:t xml:space="preserve"> kuna), </w:t>
      </w:r>
      <w:r w:rsidRPr="00E80A17">
        <w:t>usluge telefona i pošte (</w:t>
      </w:r>
      <w:r w:rsidR="00B940C7">
        <w:t>257.667</w:t>
      </w:r>
      <w:r w:rsidR="003554CB" w:rsidRPr="00E80A17">
        <w:t xml:space="preserve"> </w:t>
      </w:r>
      <w:r w:rsidRPr="00E80A17">
        <w:t xml:space="preserve">kuna), </w:t>
      </w:r>
      <w:r w:rsidR="004D6C83" w:rsidRPr="00E80A17">
        <w:t>računalne usluge (</w:t>
      </w:r>
      <w:r w:rsidR="00B940C7">
        <w:t>207.075</w:t>
      </w:r>
      <w:r w:rsidR="004D6C83" w:rsidRPr="00E80A17">
        <w:t xml:space="preserve"> kuna),</w:t>
      </w:r>
      <w:r w:rsidR="00E165D2">
        <w:t xml:space="preserve"> </w:t>
      </w:r>
      <w:r w:rsidR="00B059D0" w:rsidRPr="00E80A17">
        <w:t>zdravstvene i veterinarske usluge (</w:t>
      </w:r>
      <w:r w:rsidR="00B940C7">
        <w:t>145.358</w:t>
      </w:r>
      <w:r w:rsidR="00B059D0" w:rsidRPr="00E80A17">
        <w:t xml:space="preserve"> kuna)</w:t>
      </w:r>
      <w:r w:rsidR="00B059D0">
        <w:t>,</w:t>
      </w:r>
      <w:r w:rsidR="00B059D0" w:rsidRPr="00E80A17">
        <w:t xml:space="preserve"> </w:t>
      </w:r>
      <w:r w:rsidRPr="00E80A17">
        <w:t>zakupnine i najamnine (</w:t>
      </w:r>
      <w:r w:rsidR="00B940C7">
        <w:t>47.282</w:t>
      </w:r>
      <w:r w:rsidRPr="00E80A17">
        <w:t xml:space="preserve"> kuna), te ostale usluge (</w:t>
      </w:r>
      <w:r w:rsidR="00B940C7">
        <w:t>221.939</w:t>
      </w:r>
      <w:r w:rsidRPr="00E80A17">
        <w:t xml:space="preserve"> kuna).</w:t>
      </w:r>
    </w:p>
    <w:p w14:paraId="3254972C" w14:textId="4C328278" w:rsidR="005712E4" w:rsidRPr="00FC7AC5" w:rsidRDefault="00FC7AC5" w:rsidP="005712E4">
      <w:pPr>
        <w:ind w:left="1416"/>
      </w:pPr>
      <w:r w:rsidRPr="00FC7AC5">
        <w:t>U odnosu na prethod</w:t>
      </w:r>
      <w:r w:rsidR="00B940C7">
        <w:t>nu</w:t>
      </w:r>
      <w:r w:rsidRPr="00FC7AC5">
        <w:t xml:space="preserve"> godin</w:t>
      </w:r>
      <w:r w:rsidR="00B940C7">
        <w:t>u</w:t>
      </w:r>
      <w:r w:rsidRPr="00FC7AC5">
        <w:t xml:space="preserve"> najviše su porasli rashodi za usluge tekućeg i investicijskog održavanja poslovnih prostora i ostalih objekata u vlasništvu Grada, te </w:t>
      </w:r>
      <w:r w:rsidR="007A5904">
        <w:t xml:space="preserve">rashodi </w:t>
      </w:r>
      <w:r w:rsidRPr="00FC7AC5">
        <w:t>za sanaciju šteta od nevremena na nerazvrstanim cestama i poljskim putevima.</w:t>
      </w:r>
    </w:p>
    <w:p w14:paraId="72383CA3" w14:textId="77777777" w:rsidR="00FC7AC5" w:rsidRPr="00E80A17" w:rsidRDefault="00FC7AC5" w:rsidP="005712E4">
      <w:pPr>
        <w:ind w:left="1416"/>
        <w:rPr>
          <w:color w:val="FF0000"/>
        </w:rPr>
      </w:pPr>
    </w:p>
    <w:p w14:paraId="727B2841" w14:textId="419184AE" w:rsidR="005712E4" w:rsidRPr="00E80A17" w:rsidRDefault="005712E4" w:rsidP="005712E4">
      <w:pPr>
        <w:ind w:left="1416"/>
      </w:pPr>
      <w:r w:rsidRPr="00E80A17">
        <w:t>1.2.4. Naknade troškova osobama izvan radnog odnosa u 20</w:t>
      </w:r>
      <w:r w:rsidR="00B059D0">
        <w:t>2</w:t>
      </w:r>
      <w:r w:rsidR="00FC7AC5">
        <w:t>1</w:t>
      </w:r>
      <w:r w:rsidRPr="00E80A17">
        <w:t>. godine ostvarene su kod proračunsk</w:t>
      </w:r>
      <w:r w:rsidR="003554CB" w:rsidRPr="00E80A17">
        <w:t>ih</w:t>
      </w:r>
      <w:r w:rsidRPr="00E80A17">
        <w:t xml:space="preserve"> korisnika u iznosu od </w:t>
      </w:r>
      <w:r w:rsidR="005D34DF">
        <w:t>8.244</w:t>
      </w:r>
      <w:r w:rsidRPr="00E80A17">
        <w:t xml:space="preserve"> kuna</w:t>
      </w:r>
      <w:r w:rsidR="00F507BD" w:rsidRPr="00E80A17">
        <w:t>.</w:t>
      </w:r>
    </w:p>
    <w:p w14:paraId="79C44D4E" w14:textId="77777777" w:rsidR="005712E4" w:rsidRPr="00E80A17" w:rsidRDefault="005712E4" w:rsidP="005712E4">
      <w:pPr>
        <w:ind w:left="1416"/>
        <w:rPr>
          <w:color w:val="FF0000"/>
        </w:rPr>
      </w:pPr>
    </w:p>
    <w:p w14:paraId="7AD6A7BD" w14:textId="2B2CB59B" w:rsidR="00F507BD" w:rsidRPr="00E80A17" w:rsidRDefault="005712E4" w:rsidP="001D1163">
      <w:pPr>
        <w:ind w:left="1416"/>
      </w:pPr>
      <w:r w:rsidRPr="00E80A17">
        <w:t xml:space="preserve">1.2.5. Ostali nespomenuti rashodi poslovanja ostvareni su u iznosu od </w:t>
      </w:r>
      <w:r w:rsidR="005D34DF">
        <w:t>912.406</w:t>
      </w:r>
      <w:r w:rsidRPr="00E80A17">
        <w:t xml:space="preserve"> kuna ili </w:t>
      </w:r>
      <w:r w:rsidR="005D34DF">
        <w:t>84</w:t>
      </w:r>
      <w:r w:rsidRPr="00E80A17">
        <w:t>% od plana</w:t>
      </w:r>
      <w:r w:rsidR="007B5F12" w:rsidRPr="00E80A17">
        <w:t xml:space="preserve"> i </w:t>
      </w:r>
      <w:r w:rsidR="005D34DF">
        <w:t>29</w:t>
      </w:r>
      <w:r w:rsidR="007B5F12" w:rsidRPr="00E80A17">
        <w:t xml:space="preserve">% </w:t>
      </w:r>
      <w:r w:rsidR="00810F7C">
        <w:t>više</w:t>
      </w:r>
      <w:r w:rsidR="007B5F12" w:rsidRPr="00E80A17">
        <w:t xml:space="preserve"> u odnosu na</w:t>
      </w:r>
      <w:r w:rsidR="003554CB" w:rsidRPr="00E80A17">
        <w:t xml:space="preserve"> </w:t>
      </w:r>
      <w:r w:rsidR="007B5F12" w:rsidRPr="00E80A17">
        <w:t>20</w:t>
      </w:r>
      <w:r w:rsidR="00810F7C">
        <w:t>20</w:t>
      </w:r>
      <w:r w:rsidR="007B5F12" w:rsidRPr="00E80A17">
        <w:t>. godin</w:t>
      </w:r>
      <w:r w:rsidR="005D34DF">
        <w:t>u</w:t>
      </w:r>
      <w:r w:rsidRPr="00E80A17">
        <w:t>, a odnose se na naknade za rad predstavničkih</w:t>
      </w:r>
      <w:r w:rsidR="007B5F12" w:rsidRPr="00E80A17">
        <w:t>,</w:t>
      </w:r>
      <w:r w:rsidRPr="00E80A17">
        <w:t xml:space="preserve"> radnih tijela</w:t>
      </w:r>
      <w:r w:rsidR="007B5F12" w:rsidRPr="00E80A17">
        <w:t xml:space="preserve"> i povjerenstava</w:t>
      </w:r>
      <w:r w:rsidRPr="00E80A17">
        <w:t xml:space="preserve">, rashode za premije osiguranja, reprezentaciju, članarine, </w:t>
      </w:r>
      <w:r w:rsidR="007B5F12" w:rsidRPr="00E80A17">
        <w:t xml:space="preserve">troškove sudskih postupaka, </w:t>
      </w:r>
      <w:r w:rsidRPr="00E80A17">
        <w:t>pristojbe i naknade te ostale rashode poslovanja.</w:t>
      </w:r>
      <w:r w:rsidR="007B5F12" w:rsidRPr="00E80A17">
        <w:t xml:space="preserve"> </w:t>
      </w:r>
      <w:r w:rsidR="00FD1F10">
        <w:t>U odnosu na prethodnu godinu, r</w:t>
      </w:r>
      <w:r w:rsidR="003554CB" w:rsidRPr="00E80A17">
        <w:t xml:space="preserve">ashodi za </w:t>
      </w:r>
      <w:r w:rsidR="00810F7C">
        <w:t xml:space="preserve">naknade za </w:t>
      </w:r>
      <w:r w:rsidR="003554CB" w:rsidRPr="00E80A17">
        <w:t>rad predstavničkih, radnih tijela i povjerenstava</w:t>
      </w:r>
      <w:r w:rsidR="00E165D2">
        <w:t xml:space="preserve"> su</w:t>
      </w:r>
      <w:r w:rsidR="003554CB" w:rsidRPr="00E80A17">
        <w:t xml:space="preserve"> </w:t>
      </w:r>
      <w:r w:rsidR="00810F7C">
        <w:t>porasli</w:t>
      </w:r>
      <w:r w:rsidR="00FC606D">
        <w:t>,</w:t>
      </w:r>
      <w:r w:rsidR="00810F7C">
        <w:t xml:space="preserve"> radi </w:t>
      </w:r>
      <w:r w:rsidR="00E165D2">
        <w:t xml:space="preserve">troškova vezanih uz </w:t>
      </w:r>
      <w:r w:rsidR="00810F7C">
        <w:t>proved</w:t>
      </w:r>
      <w:r w:rsidR="00E165D2">
        <w:t>bu</w:t>
      </w:r>
      <w:r w:rsidR="00810F7C">
        <w:t xml:space="preserve"> lokalnih izbora</w:t>
      </w:r>
      <w:r w:rsidR="00F60369" w:rsidRPr="00F60369">
        <w:t xml:space="preserve"> </w:t>
      </w:r>
      <w:r w:rsidR="00F60369">
        <w:t xml:space="preserve">i </w:t>
      </w:r>
      <w:r w:rsidR="00F60369" w:rsidRPr="004A7618">
        <w:t xml:space="preserve">natječaja za zakup poljoprivrednog zemljišta u vlasništvu RH.  </w:t>
      </w:r>
    </w:p>
    <w:p w14:paraId="17EDE7FC" w14:textId="77777777" w:rsidR="005712E4" w:rsidRPr="00E80A17" w:rsidRDefault="005712E4" w:rsidP="005712E4">
      <w:pPr>
        <w:ind w:left="708"/>
        <w:rPr>
          <w:color w:val="FF0000"/>
          <w:sz w:val="20"/>
          <w:szCs w:val="20"/>
        </w:rPr>
      </w:pPr>
    </w:p>
    <w:p w14:paraId="1CE97ECC" w14:textId="347FF87C" w:rsidR="005712E4" w:rsidRPr="00E80A17" w:rsidRDefault="005712E4" w:rsidP="005712E4">
      <w:pPr>
        <w:ind w:left="708"/>
      </w:pPr>
      <w:r w:rsidRPr="00E80A17">
        <w:t xml:space="preserve">1.3. Financijski rashodi ostvareni su u ukupnom iznosu od </w:t>
      </w:r>
      <w:r w:rsidR="005D34DF">
        <w:t>140.025</w:t>
      </w:r>
      <w:r w:rsidRPr="00E80A17">
        <w:t xml:space="preserve"> kuna</w:t>
      </w:r>
      <w:r w:rsidR="00810F7C">
        <w:t xml:space="preserve"> ili </w:t>
      </w:r>
      <w:r w:rsidR="005D34DF">
        <w:t>4</w:t>
      </w:r>
      <w:r w:rsidR="00810F7C">
        <w:t xml:space="preserve">% </w:t>
      </w:r>
      <w:r w:rsidR="005D34DF">
        <w:t>više</w:t>
      </w:r>
      <w:r w:rsidR="00810F7C">
        <w:t xml:space="preserve"> u odnosu na prethodn</w:t>
      </w:r>
      <w:r w:rsidR="005D34DF">
        <w:t>u</w:t>
      </w:r>
      <w:r w:rsidR="00810F7C">
        <w:t xml:space="preserve"> godin</w:t>
      </w:r>
      <w:r w:rsidR="005D34DF">
        <w:t>u</w:t>
      </w:r>
      <w:r w:rsidR="00810F7C">
        <w:t xml:space="preserve">, a </w:t>
      </w:r>
      <w:r w:rsidR="00FC606D">
        <w:t xml:space="preserve">odnose se </w:t>
      </w:r>
      <w:r w:rsidR="00971928">
        <w:t xml:space="preserve">pretežno </w:t>
      </w:r>
      <w:r w:rsidR="00810F7C">
        <w:t xml:space="preserve">na kamate </w:t>
      </w:r>
      <w:r w:rsidR="00D23F86">
        <w:t>po</w:t>
      </w:r>
      <w:r w:rsidR="00810F7C">
        <w:t xml:space="preserve"> kredit</w:t>
      </w:r>
      <w:r w:rsidR="00D23F86">
        <w:t>ima</w:t>
      </w:r>
      <w:r w:rsidR="00810F7C">
        <w:t xml:space="preserve"> i </w:t>
      </w:r>
      <w:r w:rsidR="00971928">
        <w:t xml:space="preserve">na </w:t>
      </w:r>
      <w:r w:rsidR="00810F7C">
        <w:t>usluge platnog prometa</w:t>
      </w:r>
      <w:r w:rsidR="008B446B">
        <w:t xml:space="preserve">. </w:t>
      </w:r>
    </w:p>
    <w:p w14:paraId="44B22031" w14:textId="77777777" w:rsidR="003554CB" w:rsidRPr="00E80A17" w:rsidRDefault="003554CB" w:rsidP="005712E4">
      <w:pPr>
        <w:ind w:left="708"/>
      </w:pPr>
    </w:p>
    <w:p w14:paraId="0089C79B" w14:textId="4A9ED1B7" w:rsidR="005712E4" w:rsidRDefault="005712E4" w:rsidP="005712E4">
      <w:pPr>
        <w:ind w:left="708"/>
      </w:pPr>
      <w:r w:rsidRPr="00E80A17">
        <w:t xml:space="preserve">1.4. Subvencije trgovačkim društvima, poljoprivrednicima i obrtnicima </w:t>
      </w:r>
      <w:r w:rsidR="00D23F86">
        <w:t xml:space="preserve">u 2021. godini </w:t>
      </w:r>
      <w:r w:rsidR="00AA3DB8" w:rsidRPr="00E80A17">
        <w:t>realizirane</w:t>
      </w:r>
      <w:r w:rsidR="002E1E10">
        <w:t xml:space="preserve"> su u iznosu od </w:t>
      </w:r>
      <w:r w:rsidR="00D23F86">
        <w:t>12.762</w:t>
      </w:r>
      <w:r w:rsidR="002E1E10">
        <w:t xml:space="preserve"> kuna, a odnose se na subvencioniranje kamata poduzetnicima temeljem kreditne linije pokrenute koncem 2020. godine „Poduzetnik Istarska županija 2020.“ u suradnji s Istarskom razvojnom age</w:t>
      </w:r>
      <w:r w:rsidR="006D1B3B">
        <w:t>n</w:t>
      </w:r>
      <w:r w:rsidR="002E1E10">
        <w:t>cijom, Istarskom županijom i poslovnim bankama</w:t>
      </w:r>
      <w:r w:rsidR="008B446B">
        <w:t>.</w:t>
      </w:r>
      <w:r w:rsidR="00AA3DB8" w:rsidRPr="00E80A17">
        <w:t xml:space="preserve"> </w:t>
      </w:r>
    </w:p>
    <w:p w14:paraId="40BB2394" w14:textId="77777777" w:rsidR="008B446B" w:rsidRPr="00E80A17" w:rsidRDefault="008B446B" w:rsidP="005712E4">
      <w:pPr>
        <w:ind w:left="708"/>
      </w:pPr>
    </w:p>
    <w:p w14:paraId="6650CD4A" w14:textId="0DA572A8" w:rsidR="00AC415D" w:rsidRDefault="005712E4" w:rsidP="005712E4">
      <w:pPr>
        <w:ind w:left="708"/>
      </w:pPr>
      <w:r w:rsidRPr="00E80A17">
        <w:t xml:space="preserve">1.5. Pomoći unutar općeg proračuna ostvarene su u iznosu od </w:t>
      </w:r>
      <w:r w:rsidR="00F60369">
        <w:t>3.070.658</w:t>
      </w:r>
      <w:r w:rsidRPr="00E80A17">
        <w:t xml:space="preserve"> kuna ili </w:t>
      </w:r>
      <w:r w:rsidR="00F60369">
        <w:t>90</w:t>
      </w:r>
      <w:r w:rsidRPr="00E80A17">
        <w:t>% od plan</w:t>
      </w:r>
      <w:r w:rsidR="00125832" w:rsidRPr="00E80A17">
        <w:t>iranog</w:t>
      </w:r>
      <w:r w:rsidR="00194164" w:rsidRPr="00E80A17">
        <w:t xml:space="preserve"> za tekuću godinu i </w:t>
      </w:r>
      <w:r w:rsidR="00F60369">
        <w:t>4</w:t>
      </w:r>
      <w:r w:rsidR="00194164" w:rsidRPr="00E80A17">
        <w:t xml:space="preserve">% </w:t>
      </w:r>
      <w:r w:rsidR="00F60369">
        <w:t>više</w:t>
      </w:r>
      <w:r w:rsidR="00194164" w:rsidRPr="00E80A17">
        <w:t xml:space="preserve"> u odnosu na 20</w:t>
      </w:r>
      <w:r w:rsidR="002E1E10">
        <w:t>20</w:t>
      </w:r>
      <w:r w:rsidR="00194164" w:rsidRPr="00E80A17">
        <w:t>. godin</w:t>
      </w:r>
      <w:r w:rsidR="00F60369">
        <w:t>u</w:t>
      </w:r>
      <w:r w:rsidRPr="00E80A17">
        <w:t xml:space="preserve">. </w:t>
      </w:r>
    </w:p>
    <w:p w14:paraId="1F2C51B4" w14:textId="77777777" w:rsidR="00BF1613" w:rsidRDefault="00BF1613" w:rsidP="005712E4">
      <w:pPr>
        <w:ind w:left="708"/>
      </w:pPr>
    </w:p>
    <w:p w14:paraId="610CFE98" w14:textId="55B96418" w:rsidR="00F60369" w:rsidRPr="004A7618" w:rsidRDefault="00BF1613" w:rsidP="00BF1613">
      <w:pPr>
        <w:ind w:left="1416"/>
      </w:pPr>
      <w:r>
        <w:t>1.5.1.</w:t>
      </w:r>
      <w:r w:rsidR="00F60369" w:rsidRPr="004A7618">
        <w:tab/>
        <w:t>Pomoći unutar općeg proračuna u 2021. godini ostvarene su u iznosu od 1.080.606 kuna ili 12% manje od ostvaren</w:t>
      </w:r>
      <w:r>
        <w:t>ih</w:t>
      </w:r>
      <w:r w:rsidR="00F60369" w:rsidRPr="004A7618">
        <w:t xml:space="preserve"> prethodne godine. </w:t>
      </w:r>
    </w:p>
    <w:p w14:paraId="4A8FF18C" w14:textId="5E22B0EA" w:rsidR="00F60369" w:rsidRPr="004A7618" w:rsidRDefault="00F60369" w:rsidP="00BF1613">
      <w:pPr>
        <w:ind w:left="1416"/>
      </w:pPr>
      <w:r w:rsidRPr="004A7618">
        <w:t>Istarskoj županiji doznačene su pomoći temeljem</w:t>
      </w:r>
      <w:r w:rsidR="009C1499">
        <w:t>:</w:t>
      </w:r>
      <w:r w:rsidRPr="004A7618">
        <w:t xml:space="preserve"> Ugovora o sufinanciranju dijela kreditne obveze za izgradnju i opremanje nove Opće bolnice u Puli u </w:t>
      </w:r>
      <w:r w:rsidRPr="004A7618">
        <w:lastRenderedPageBreak/>
        <w:t xml:space="preserve">iznosu od 70.126 kuna, temeljem Sporazuma o suradnji za promicanje dvojezičnosti u iznosu od 10.000 kuna, temeljem Ugovora o sufinanciranju plaća zaposlenika na poslovima legalizacije u iznosu od 70.000 kuna, temeljem Ugovora o sufinanciranju rekonstrukcije građevine gospodarske namjene - Kuće istarskih kaštela u </w:t>
      </w:r>
      <w:proofErr w:type="spellStart"/>
      <w:r w:rsidRPr="004A7618">
        <w:t>Momjanu</w:t>
      </w:r>
      <w:proofErr w:type="spellEnd"/>
      <w:r w:rsidRPr="004A7618">
        <w:t xml:space="preserve"> u iznosu od 329.790 kuna te temeljem Ugovora o sufinanciranju izrade projektne dokumentacije za izgradnju sustava javnog navodnjavanja </w:t>
      </w:r>
      <w:proofErr w:type="spellStart"/>
      <w:r w:rsidRPr="004A7618">
        <w:t>Žmergo</w:t>
      </w:r>
      <w:proofErr w:type="spellEnd"/>
      <w:r w:rsidRPr="004A7618">
        <w:t xml:space="preserve"> – Brtonigla u iznosu od 50.000 kuna. </w:t>
      </w:r>
    </w:p>
    <w:p w14:paraId="0F326A05" w14:textId="339E5AA0" w:rsidR="00F60369" w:rsidRPr="004A7618" w:rsidRDefault="00F60369" w:rsidP="00BF1613">
      <w:pPr>
        <w:ind w:left="1416"/>
      </w:pPr>
      <w:r w:rsidRPr="004A7618">
        <w:t>Iznos od 50.690 kuna odnosi se na doznaku Fondu za zaštitu okoliša i energetsku učinkovitost radi realizacije projekta Odvojenog prikupljanja otpada odnosno uplat</w:t>
      </w:r>
      <w:r w:rsidR="009C1499">
        <w:t>u</w:t>
      </w:r>
      <w:r w:rsidRPr="004A7618">
        <w:t xml:space="preserve"> učešća Grada </w:t>
      </w:r>
      <w:r w:rsidR="009C1499">
        <w:t>za</w:t>
      </w:r>
      <w:r w:rsidRPr="004A7618">
        <w:t xml:space="preserve"> nabav</w:t>
      </w:r>
      <w:r w:rsidR="009C1499">
        <w:t>u</w:t>
      </w:r>
      <w:r w:rsidRPr="004A7618">
        <w:t xml:space="preserve"> spremnika za odvojeno prikupljanje otpada. </w:t>
      </w:r>
    </w:p>
    <w:p w14:paraId="1C19F359" w14:textId="1C6AC799" w:rsidR="00F60369" w:rsidRPr="004A7618" w:rsidRDefault="00F60369" w:rsidP="00BF1613">
      <w:pPr>
        <w:ind w:left="1416"/>
      </w:pPr>
      <w:r w:rsidRPr="004A7618">
        <w:t>Vrijednosno najznačajniji dio</w:t>
      </w:r>
      <w:r w:rsidR="00174E60">
        <w:t>,</w:t>
      </w:r>
      <w:r w:rsidRPr="004A7618">
        <w:t xml:space="preserve"> u iznosu od 500.000 kuna</w:t>
      </w:r>
      <w:r w:rsidR="00174E60">
        <w:t>,</w:t>
      </w:r>
      <w:r w:rsidRPr="004A7618">
        <w:t xml:space="preserve"> odnosi se na doznačenu pomoć Županijskoj upravi za ceste radi sufinanciranja izgradnje rotora u naselju Kremenje. </w:t>
      </w:r>
    </w:p>
    <w:p w14:paraId="2A995348" w14:textId="0C8A3698" w:rsidR="00F60369" w:rsidRPr="004A7618" w:rsidRDefault="00F60369" w:rsidP="00BF1613">
      <w:pPr>
        <w:ind w:left="1416"/>
      </w:pPr>
      <w:r w:rsidRPr="004A7618">
        <w:t xml:space="preserve">U prethodnoj godini je u svrhu realizacije prve faze Ugovora o sufinanciranju rekonstrukcije građevine gospodarske namjene - Kuće istarskih kaštela u </w:t>
      </w:r>
      <w:proofErr w:type="spellStart"/>
      <w:r w:rsidRPr="004A7618">
        <w:t>Momjanu</w:t>
      </w:r>
      <w:proofErr w:type="spellEnd"/>
      <w:r w:rsidRPr="004A7618">
        <w:t xml:space="preserve"> Istarskoj županije doznačeno 990.000 kuna. Navedeni iznos je na</w:t>
      </w:r>
      <w:r w:rsidR="00BD5FC3">
        <w:t>j</w:t>
      </w:r>
      <w:r w:rsidRPr="004A7618">
        <w:t xml:space="preserve">više utjecao na razliku u </w:t>
      </w:r>
      <w:r w:rsidR="00BF1613">
        <w:t xml:space="preserve">visini </w:t>
      </w:r>
      <w:r w:rsidRPr="004A7618">
        <w:t>realizacij</w:t>
      </w:r>
      <w:r w:rsidR="00BF1613">
        <w:t>e</w:t>
      </w:r>
      <w:r w:rsidRPr="004A7618">
        <w:t xml:space="preserve"> pomoći u 2021. godini u odnosu na 2020. godinu.</w:t>
      </w:r>
    </w:p>
    <w:p w14:paraId="571CC29A" w14:textId="77777777" w:rsidR="00F60369" w:rsidRPr="004A7618" w:rsidRDefault="00F60369" w:rsidP="00F60369"/>
    <w:p w14:paraId="056278CC" w14:textId="5CE441EA" w:rsidR="00F60369" w:rsidRPr="004A7618" w:rsidRDefault="00BF1613" w:rsidP="00BF1613">
      <w:pPr>
        <w:ind w:left="1416"/>
      </w:pPr>
      <w:r>
        <w:t>1.5.2.</w:t>
      </w:r>
      <w:r w:rsidR="00F60369" w:rsidRPr="004A7618">
        <w:tab/>
        <w:t>Pomoći proračunskim korisnicima drugih proračuna realizirane su u iznosu od 1.990.052 kuna ili 1</w:t>
      </w:r>
      <w:r>
        <w:t>6</w:t>
      </w:r>
      <w:r w:rsidR="00F60369" w:rsidRPr="004A7618">
        <w:t xml:space="preserve">% više u odnosu na 2020. godinu. </w:t>
      </w:r>
    </w:p>
    <w:p w14:paraId="2DC0DE56" w14:textId="5DF87502" w:rsidR="00F60369" w:rsidRDefault="00F60369" w:rsidP="00BF1613">
      <w:pPr>
        <w:ind w:left="1416"/>
      </w:pPr>
      <w:r w:rsidRPr="004A7618">
        <w:t>Radi posebnih okolnosti uslijed pandemije korona virusa i potrebe odvajanja grupa učenika, povećani su rashodi za pomoć</w:t>
      </w:r>
      <w:r w:rsidR="00174E60">
        <w:t>i</w:t>
      </w:r>
      <w:r w:rsidRPr="004A7618">
        <w:t xml:space="preserve"> u sufinanciranju </w:t>
      </w:r>
      <w:r w:rsidR="00BF1613">
        <w:t xml:space="preserve">troškova </w:t>
      </w:r>
      <w:r w:rsidRPr="004A7618">
        <w:t xml:space="preserve">produženog boravka djece u osnovnim školama. U 2021. godini krenulo se </w:t>
      </w:r>
      <w:r w:rsidR="00BF1613">
        <w:t>s novim izdv</w:t>
      </w:r>
      <w:r w:rsidR="005E63AE">
        <w:t>a</w:t>
      </w:r>
      <w:r w:rsidR="00BF1613">
        <w:t>janjima</w:t>
      </w:r>
      <w:r w:rsidR="00174E60">
        <w:t>,</w:t>
      </w:r>
      <w:r w:rsidR="00BF1613">
        <w:t xml:space="preserve"> odnosno</w:t>
      </w:r>
      <w:r w:rsidRPr="004A7618">
        <w:t xml:space="preserve"> sufinanciran</w:t>
      </w:r>
      <w:r w:rsidR="00BF1613">
        <w:t xml:space="preserve">jem </w:t>
      </w:r>
      <w:r w:rsidRPr="004A7618">
        <w:t>smještaja djelatnika Hitne medicinske pomoći i liječnika obiteljske medicine.</w:t>
      </w:r>
    </w:p>
    <w:p w14:paraId="7438825A" w14:textId="77777777" w:rsidR="00F96494" w:rsidRPr="00E80A17" w:rsidRDefault="00F96494" w:rsidP="005712E4">
      <w:pPr>
        <w:ind w:left="708"/>
        <w:rPr>
          <w:color w:val="FF0000"/>
          <w:sz w:val="20"/>
          <w:szCs w:val="20"/>
        </w:rPr>
      </w:pPr>
    </w:p>
    <w:p w14:paraId="4105290A" w14:textId="2BDBAE46" w:rsidR="00573BD9" w:rsidRDefault="005712E4" w:rsidP="005712E4">
      <w:pPr>
        <w:ind w:left="708"/>
      </w:pPr>
      <w:r w:rsidRPr="00E80A17">
        <w:t xml:space="preserve">1.6. Naknade građanima i kućanstvima realizirane su u iznosu od </w:t>
      </w:r>
      <w:r w:rsidR="00BF1613">
        <w:t>567.417</w:t>
      </w:r>
      <w:r w:rsidR="000E732E">
        <w:t xml:space="preserve"> </w:t>
      </w:r>
      <w:r w:rsidRPr="00E80A17">
        <w:t xml:space="preserve">kuna što je </w:t>
      </w:r>
      <w:r w:rsidR="00BF1613">
        <w:t>77</w:t>
      </w:r>
      <w:r w:rsidRPr="00E80A17">
        <w:t xml:space="preserve">% od plana i </w:t>
      </w:r>
      <w:r w:rsidR="00BF1613">
        <w:t>18</w:t>
      </w:r>
      <w:r w:rsidRPr="00E80A17">
        <w:t xml:space="preserve">% </w:t>
      </w:r>
      <w:r w:rsidR="000E732E">
        <w:t>više</w:t>
      </w:r>
      <w:r w:rsidRPr="00E80A17">
        <w:t xml:space="preserve"> u odnosu na </w:t>
      </w:r>
      <w:r w:rsidR="00C46EDF" w:rsidRPr="00E80A17">
        <w:t>20</w:t>
      </w:r>
      <w:r w:rsidR="000E732E">
        <w:t>20</w:t>
      </w:r>
      <w:r w:rsidRPr="00E80A17">
        <w:t>. godin</w:t>
      </w:r>
      <w:r w:rsidR="00BF1613">
        <w:t>u</w:t>
      </w:r>
      <w:r w:rsidRPr="00E80A17">
        <w:t xml:space="preserve">. Sredstva su isplaćena u okviru Programa javnih potreba u oblasti zdravstva i socijalne skrbi, temeljem </w:t>
      </w:r>
      <w:r w:rsidR="00D8140A" w:rsidRPr="00E80A17">
        <w:t xml:space="preserve">podnesenih zahtjeva koje je </w:t>
      </w:r>
      <w:r w:rsidR="005438C6">
        <w:t>razmatralo</w:t>
      </w:r>
      <w:r w:rsidR="00D8140A" w:rsidRPr="00E80A17">
        <w:t xml:space="preserve"> </w:t>
      </w:r>
      <w:r w:rsidRPr="00E80A17">
        <w:t>Socijalno</w:t>
      </w:r>
      <w:r w:rsidR="00D8140A" w:rsidRPr="00E80A17">
        <w:t xml:space="preserve"> vijeće</w:t>
      </w:r>
      <w:r w:rsidRPr="00E80A17">
        <w:t xml:space="preserve"> i prema zahtjevima koji udovoljavaju kriterijima Odluke o socijalnoj skrbi. </w:t>
      </w:r>
      <w:r w:rsidR="002127AD">
        <w:t>Povećan je broj podnesenih i odobrenih zahtjeva za isplatu izvanrednih i jednokratnih pomoći. Osim toga, r</w:t>
      </w:r>
      <w:r w:rsidR="0054389E">
        <w:t xml:space="preserve">adi prekida rada škola i vrtića </w:t>
      </w:r>
      <w:r w:rsidR="000E732E">
        <w:t xml:space="preserve">u usporednom razdoblju prethodne godine bili su </w:t>
      </w:r>
      <w:r w:rsidR="0054389E">
        <w:t>smanjeni rashodi za sufinanciranje troškova participacija roditelja i prijevoza učenika</w:t>
      </w:r>
      <w:r w:rsidR="00573BD9">
        <w:t>.</w:t>
      </w:r>
    </w:p>
    <w:p w14:paraId="59911BA9" w14:textId="77777777" w:rsidR="005712E4" w:rsidRPr="00E80A17" w:rsidRDefault="005712E4" w:rsidP="005712E4">
      <w:pPr>
        <w:ind w:left="708"/>
        <w:rPr>
          <w:color w:val="FF0000"/>
        </w:rPr>
      </w:pPr>
    </w:p>
    <w:p w14:paraId="3BC8462D" w14:textId="77777777" w:rsidR="00245804" w:rsidRDefault="005712E4" w:rsidP="00245804">
      <w:pPr>
        <w:ind w:left="708"/>
      </w:pPr>
      <w:r w:rsidRPr="00E80A17">
        <w:t xml:space="preserve">1.7. Ostali rashodi ostvareni su u iznosu od </w:t>
      </w:r>
      <w:r w:rsidR="00573BD9">
        <w:t>1.924.062</w:t>
      </w:r>
      <w:r w:rsidRPr="00E80A17">
        <w:t xml:space="preserve"> kuna ili </w:t>
      </w:r>
      <w:r w:rsidR="00BB1EB3">
        <w:t>85</w:t>
      </w:r>
      <w:r w:rsidRPr="00E80A17">
        <w:t>% od plana</w:t>
      </w:r>
      <w:r w:rsidR="00F96494" w:rsidRPr="00E80A17">
        <w:t xml:space="preserve"> i </w:t>
      </w:r>
      <w:r w:rsidR="00BB1EB3">
        <w:t>29</w:t>
      </w:r>
      <w:r w:rsidR="00F96494" w:rsidRPr="00E80A17">
        <w:t xml:space="preserve">% </w:t>
      </w:r>
      <w:r w:rsidR="002127AD">
        <w:t>viš</w:t>
      </w:r>
      <w:r w:rsidR="0054389E">
        <w:t>e</w:t>
      </w:r>
      <w:r w:rsidR="00F96494" w:rsidRPr="00E80A17">
        <w:t xml:space="preserve"> u odnosu na prethodn</w:t>
      </w:r>
      <w:r w:rsidR="00BB1EB3">
        <w:t>u</w:t>
      </w:r>
      <w:r w:rsidR="00F96494" w:rsidRPr="00E80A17">
        <w:t xml:space="preserve"> godin</w:t>
      </w:r>
      <w:r w:rsidR="00BB1EB3">
        <w:t xml:space="preserve">u. </w:t>
      </w:r>
    </w:p>
    <w:p w14:paraId="49DEA123" w14:textId="0D38F867" w:rsidR="00BB1EB3" w:rsidRDefault="00245804" w:rsidP="00245804">
      <w:pPr>
        <w:ind w:left="708"/>
      </w:pPr>
      <w:r>
        <w:t>T</w:t>
      </w:r>
      <w:r w:rsidR="0054389E">
        <w:t>ekuće donacije</w:t>
      </w:r>
      <w:r>
        <w:t xml:space="preserve"> u 2021. godini ostvarene su za 19% više u odnosu na prethodnu godinu </w:t>
      </w:r>
      <w:r w:rsidR="00BB1EB3" w:rsidRPr="004A7618">
        <w:t>kada je radi nastupa posebnih epidemioloških okolnosti i prestanka odnosno smanjenja aktivnosti, u drugom tromjesečju bila obustavljena isplata donacije Sportskoj zajednici i ostalim korisnicima temeljem Javnog poziva. Osim toga, u 2021. godini su održani lokalni izbori te su sudionicima isplaćena sredstva za naknadu troškova izborne promidžbe. U suradnji s Crvenim križem pokrenut je pilot projekt Pomoć u kući, a povećana su i sredstva doznačena za djelatnosti Društva distrofičara Istre.</w:t>
      </w:r>
    </w:p>
    <w:p w14:paraId="5F231508" w14:textId="64467782" w:rsidR="00BB1EB3" w:rsidRDefault="00245804" w:rsidP="005712E4">
      <w:pPr>
        <w:ind w:left="708"/>
      </w:pPr>
      <w:r>
        <w:t>Rashodi po osnovi naknade šteta u iznosu od 163.137 kuna</w:t>
      </w:r>
      <w:r w:rsidR="00CE30F0">
        <w:t>,</w:t>
      </w:r>
      <w:r>
        <w:t xml:space="preserve"> odnose se na povrat </w:t>
      </w:r>
      <w:r w:rsidR="00CE30F0">
        <w:t xml:space="preserve">Državnom proračunu, </w:t>
      </w:r>
      <w:r>
        <w:t>sredstava realiziranih po kupoprodajnom ugovoru iz 20</w:t>
      </w:r>
      <w:r w:rsidR="0078560C">
        <w:t xml:space="preserve">12. godine </w:t>
      </w:r>
      <w:r w:rsidR="00CE30F0">
        <w:t>i to</w:t>
      </w:r>
      <w:r w:rsidR="0078560C">
        <w:t xml:space="preserve"> temeljem pravomoćne presude.</w:t>
      </w:r>
    </w:p>
    <w:p w14:paraId="549531E2" w14:textId="737DF62A" w:rsidR="005712E4" w:rsidRPr="00E80A17" w:rsidRDefault="006030D4" w:rsidP="005712E4">
      <w:pPr>
        <w:ind w:left="708"/>
      </w:pPr>
      <w:r>
        <w:lastRenderedPageBreak/>
        <w:t>Rashodi za kapitalne pomoći</w:t>
      </w:r>
      <w:r w:rsidR="002127AD">
        <w:t xml:space="preserve"> i izvanredni rashodi </w:t>
      </w:r>
      <w:r>
        <w:t>nisu realizirani</w:t>
      </w:r>
      <w:r w:rsidR="00BB1EB3">
        <w:t>.</w:t>
      </w:r>
    </w:p>
    <w:p w14:paraId="7AA78CE1" w14:textId="77777777" w:rsidR="005712E4" w:rsidRPr="00E80A17" w:rsidRDefault="005712E4" w:rsidP="005712E4"/>
    <w:p w14:paraId="08D49585" w14:textId="78C01E64" w:rsidR="005712E4" w:rsidRPr="00E80A17" w:rsidRDefault="005712E4" w:rsidP="005712E4">
      <w:r w:rsidRPr="00E80A17">
        <w:t xml:space="preserve">2. Rashodi za nabavu nefinancijske imovine </w:t>
      </w:r>
      <w:r w:rsidR="00595A96" w:rsidRPr="00E80A17">
        <w:t>u 20</w:t>
      </w:r>
      <w:r w:rsidR="006030D4">
        <w:t>2</w:t>
      </w:r>
      <w:r w:rsidR="00442D06">
        <w:t>1</w:t>
      </w:r>
      <w:r w:rsidR="00595A96" w:rsidRPr="00E80A17">
        <w:t>. godin</w:t>
      </w:r>
      <w:r w:rsidR="00205E52">
        <w:t>i</w:t>
      </w:r>
      <w:r w:rsidR="00595A96" w:rsidRPr="00E80A17">
        <w:t xml:space="preserve"> </w:t>
      </w:r>
      <w:r w:rsidRPr="00E80A17">
        <w:t xml:space="preserve">ostvareni su u iznosu od </w:t>
      </w:r>
      <w:r w:rsidR="00205E52">
        <w:t>9.739.905</w:t>
      </w:r>
      <w:r w:rsidRPr="00E80A17">
        <w:t xml:space="preserve"> kuna ili </w:t>
      </w:r>
      <w:r w:rsidR="00D07F7E">
        <w:t>5</w:t>
      </w:r>
      <w:r w:rsidRPr="00E80A17">
        <w:t xml:space="preserve">% </w:t>
      </w:r>
      <w:r w:rsidR="00983E90">
        <w:t>više od planiranog za 2021. godinu</w:t>
      </w:r>
      <w:r w:rsidR="00215D2D" w:rsidRPr="00E80A17">
        <w:t xml:space="preserve"> </w:t>
      </w:r>
      <w:r w:rsidR="00595A96" w:rsidRPr="00E80A17">
        <w:t>i</w:t>
      </w:r>
      <w:r w:rsidRPr="00E80A17">
        <w:t xml:space="preserve"> </w:t>
      </w:r>
      <w:r w:rsidR="00983E90">
        <w:t>3</w:t>
      </w:r>
      <w:r w:rsidR="00D07F7E">
        <w:t>2</w:t>
      </w:r>
      <w:r w:rsidR="004B0FD5" w:rsidRPr="00E80A17">
        <w:t xml:space="preserve">% </w:t>
      </w:r>
      <w:r w:rsidR="00983E90">
        <w:t>manje</w:t>
      </w:r>
      <w:r w:rsidR="00595A96" w:rsidRPr="00E80A17">
        <w:t xml:space="preserve"> </w:t>
      </w:r>
      <w:r w:rsidR="004B0FD5" w:rsidRPr="00E80A17">
        <w:t>u odnosu na 20</w:t>
      </w:r>
      <w:r w:rsidR="00B84E13">
        <w:t>20</w:t>
      </w:r>
      <w:r w:rsidRPr="00E80A17">
        <w:t>. godin</w:t>
      </w:r>
      <w:r w:rsidR="00983E90">
        <w:t>u</w:t>
      </w:r>
      <w:r w:rsidRPr="00E80A17">
        <w:t xml:space="preserve">. </w:t>
      </w:r>
    </w:p>
    <w:p w14:paraId="5E78B381" w14:textId="77777777" w:rsidR="005712E4" w:rsidRPr="00E80A17" w:rsidRDefault="005712E4" w:rsidP="005712E4"/>
    <w:p w14:paraId="578B51CD" w14:textId="39B35077" w:rsidR="00C53971" w:rsidRPr="00E80A17" w:rsidRDefault="005712E4" w:rsidP="005712E4">
      <w:pPr>
        <w:ind w:left="708"/>
      </w:pPr>
      <w:r w:rsidRPr="00E80A17">
        <w:t xml:space="preserve">2.1. Rashodi za nabavu </w:t>
      </w:r>
      <w:proofErr w:type="spellStart"/>
      <w:r w:rsidRPr="00E80A17">
        <w:t>neproizvedene</w:t>
      </w:r>
      <w:proofErr w:type="spellEnd"/>
      <w:r w:rsidRPr="00E80A17">
        <w:t xml:space="preserve"> imovine </w:t>
      </w:r>
      <w:r w:rsidR="00ED4378" w:rsidRPr="00E80A17">
        <w:t>u 20</w:t>
      </w:r>
      <w:r w:rsidR="006030D4">
        <w:t>2</w:t>
      </w:r>
      <w:r w:rsidR="00B84E13">
        <w:t>1</w:t>
      </w:r>
      <w:r w:rsidR="00ED4378" w:rsidRPr="00E80A17">
        <w:t>. godin</w:t>
      </w:r>
      <w:r w:rsidR="00C53971" w:rsidRPr="00E80A17">
        <w:t>e</w:t>
      </w:r>
      <w:r w:rsidR="00ED4378" w:rsidRPr="00E80A17">
        <w:t xml:space="preserve"> </w:t>
      </w:r>
      <w:r w:rsidRPr="00E80A17">
        <w:t>ostvareni</w:t>
      </w:r>
      <w:r w:rsidR="00B84E13">
        <w:t xml:space="preserve"> su u iznosu od 2</w:t>
      </w:r>
      <w:r w:rsidR="00983E90">
        <w:t>82.607</w:t>
      </w:r>
      <w:r w:rsidR="00B84E13">
        <w:t xml:space="preserve"> kuna i odnose se na otkup g</w:t>
      </w:r>
      <w:r w:rsidR="00E02859">
        <w:t>r</w:t>
      </w:r>
      <w:r w:rsidR="00B84E13">
        <w:t>ađevinskog zemljišta za igralište i svlačionice u naselju Marušići</w:t>
      </w:r>
      <w:r w:rsidR="00983E90">
        <w:t xml:space="preserve"> te na Ugovore o zamjeni građevinskog zemljišta u </w:t>
      </w:r>
      <w:proofErr w:type="spellStart"/>
      <w:r w:rsidR="00983E90">
        <w:t>Krasici</w:t>
      </w:r>
      <w:proofErr w:type="spellEnd"/>
      <w:r w:rsidR="00983E90">
        <w:t xml:space="preserve"> i Brdu</w:t>
      </w:r>
      <w:r w:rsidR="00C53971" w:rsidRPr="00E80A17">
        <w:t>.</w:t>
      </w:r>
    </w:p>
    <w:p w14:paraId="16CDFB91" w14:textId="77777777" w:rsidR="004B0FD5" w:rsidRPr="00E80A17" w:rsidRDefault="004B0FD5" w:rsidP="005712E4">
      <w:pPr>
        <w:ind w:left="708"/>
      </w:pPr>
    </w:p>
    <w:p w14:paraId="7738B833" w14:textId="0BFC4176" w:rsidR="005712E4" w:rsidRPr="00E80A17" w:rsidRDefault="005712E4" w:rsidP="005712E4">
      <w:pPr>
        <w:ind w:left="708"/>
      </w:pPr>
      <w:r w:rsidRPr="00E80A17">
        <w:t xml:space="preserve">2.2. Rashodi za nabavu proizvedene dugotrajne imovine ostvareni su u ukupnom iznosu od </w:t>
      </w:r>
      <w:r w:rsidR="00983E90">
        <w:t>3.885.873</w:t>
      </w:r>
      <w:r w:rsidRPr="00E80A17">
        <w:t xml:space="preserve"> kuna ili </w:t>
      </w:r>
      <w:r w:rsidR="00983E90">
        <w:t>17</w:t>
      </w:r>
      <w:r w:rsidRPr="00E80A17">
        <w:t xml:space="preserve">% od </w:t>
      </w:r>
      <w:r w:rsidR="00983E90">
        <w:t>više od</w:t>
      </w:r>
      <w:r w:rsidR="00C53971" w:rsidRPr="00E80A17">
        <w:t xml:space="preserve"> </w:t>
      </w:r>
      <w:r w:rsidRPr="00E80A17">
        <w:t>plana</w:t>
      </w:r>
      <w:r w:rsidR="00595A96" w:rsidRPr="00E80A17">
        <w:t xml:space="preserve"> i </w:t>
      </w:r>
      <w:r w:rsidR="00B84E13">
        <w:t>3</w:t>
      </w:r>
      <w:r w:rsidR="00983E90">
        <w:t>0</w:t>
      </w:r>
      <w:r w:rsidR="00B84E13">
        <w:t>%</w:t>
      </w:r>
      <w:r w:rsidR="00595A96" w:rsidRPr="00E80A17">
        <w:t xml:space="preserve"> </w:t>
      </w:r>
      <w:r w:rsidR="006030D4">
        <w:t>manje</w:t>
      </w:r>
      <w:r w:rsidR="00595A96" w:rsidRPr="00E80A17">
        <w:t xml:space="preserve"> u odnosu na 20</w:t>
      </w:r>
      <w:r w:rsidR="00B84E13">
        <w:t>20</w:t>
      </w:r>
      <w:r w:rsidR="00595A96" w:rsidRPr="00E80A17">
        <w:t>. godin</w:t>
      </w:r>
      <w:r w:rsidR="00983E90">
        <w:t>u</w:t>
      </w:r>
      <w:r w:rsidRPr="00E80A17">
        <w:t xml:space="preserve">. </w:t>
      </w:r>
    </w:p>
    <w:p w14:paraId="55FF6427" w14:textId="77777777" w:rsidR="005712E4" w:rsidRPr="00E80A17" w:rsidRDefault="005712E4" w:rsidP="005712E4">
      <w:pPr>
        <w:ind w:left="708"/>
        <w:rPr>
          <w:color w:val="FF0000"/>
          <w:sz w:val="20"/>
          <w:szCs w:val="20"/>
        </w:rPr>
      </w:pPr>
    </w:p>
    <w:p w14:paraId="75BFC059" w14:textId="44F8B3BA" w:rsidR="007404AA" w:rsidRDefault="005712E4" w:rsidP="00C53971">
      <w:pPr>
        <w:ind w:left="1416"/>
      </w:pPr>
      <w:r w:rsidRPr="00E80A17">
        <w:t>2.2.1. Ulaganja u građevinske objekte izvršena su u ukupn</w:t>
      </w:r>
      <w:r w:rsidR="00833303" w:rsidRPr="00E80A17">
        <w:t>oj vrijednosti o</w:t>
      </w:r>
      <w:r w:rsidRPr="00E80A17">
        <w:t xml:space="preserve">d </w:t>
      </w:r>
      <w:r w:rsidR="00983E90">
        <w:t>3.131.766</w:t>
      </w:r>
      <w:r w:rsidR="004B0FD5" w:rsidRPr="00E80A17">
        <w:t xml:space="preserve"> kuna</w:t>
      </w:r>
      <w:r w:rsidR="0006561E" w:rsidRPr="00E80A17">
        <w:t xml:space="preserve"> ili </w:t>
      </w:r>
      <w:r w:rsidR="00983E90">
        <w:t>32</w:t>
      </w:r>
      <w:r w:rsidR="0006561E" w:rsidRPr="00E80A17">
        <w:t xml:space="preserve">% </w:t>
      </w:r>
      <w:r w:rsidR="00983E90">
        <w:t xml:space="preserve">više </w:t>
      </w:r>
      <w:r w:rsidR="00F15879">
        <w:t xml:space="preserve">od </w:t>
      </w:r>
      <w:r w:rsidR="00983E90">
        <w:t>p</w:t>
      </w:r>
      <w:r w:rsidR="0006561E" w:rsidRPr="00E80A17">
        <w:t>lana</w:t>
      </w:r>
      <w:r w:rsidR="00B84E13">
        <w:t>, a odnose se na asfaltiranje odnosno rekonstrukciju nerazvrstanih cesta (</w:t>
      </w:r>
      <w:proofErr w:type="spellStart"/>
      <w:r w:rsidR="00514450">
        <w:t>Kruj</w:t>
      </w:r>
      <w:proofErr w:type="spellEnd"/>
      <w:r w:rsidR="00514450">
        <w:t xml:space="preserve">, </w:t>
      </w:r>
      <w:proofErr w:type="spellStart"/>
      <w:r w:rsidR="00514450">
        <w:t>Krasica</w:t>
      </w:r>
      <w:proofErr w:type="spellEnd"/>
      <w:r w:rsidR="00514450">
        <w:t xml:space="preserve"> – Punt</w:t>
      </w:r>
      <w:r w:rsidR="00600096">
        <w:t>a</w:t>
      </w:r>
      <w:r w:rsidR="00514450">
        <w:t xml:space="preserve">, </w:t>
      </w:r>
      <w:proofErr w:type="spellStart"/>
      <w:r w:rsidR="00B84E13">
        <w:t>Kršin</w:t>
      </w:r>
      <w:proofErr w:type="spellEnd"/>
      <w:r w:rsidR="00B84E13">
        <w:t xml:space="preserve"> – </w:t>
      </w:r>
      <w:proofErr w:type="spellStart"/>
      <w:r w:rsidR="00B84E13">
        <w:t>Bracanija</w:t>
      </w:r>
      <w:proofErr w:type="spellEnd"/>
      <w:r w:rsidR="00B84E13">
        <w:t xml:space="preserve">, </w:t>
      </w:r>
      <w:proofErr w:type="spellStart"/>
      <w:r w:rsidR="00A416ED">
        <w:t>Vinjarija</w:t>
      </w:r>
      <w:proofErr w:type="spellEnd"/>
      <w:r w:rsidR="00514450">
        <w:t xml:space="preserve">, </w:t>
      </w:r>
      <w:proofErr w:type="spellStart"/>
      <w:r w:rsidR="00514450">
        <w:t>Momjan</w:t>
      </w:r>
      <w:proofErr w:type="spellEnd"/>
      <w:r w:rsidR="00A416ED">
        <w:t xml:space="preserve"> i </w:t>
      </w:r>
      <w:proofErr w:type="spellStart"/>
      <w:r w:rsidR="00A416ED">
        <w:t>Mrušići</w:t>
      </w:r>
      <w:proofErr w:type="spellEnd"/>
      <w:r w:rsidR="00A416ED">
        <w:t xml:space="preserve"> – </w:t>
      </w:r>
      <w:proofErr w:type="spellStart"/>
      <w:r w:rsidR="00A416ED">
        <w:t>Črnci</w:t>
      </w:r>
      <w:proofErr w:type="spellEnd"/>
      <w:r w:rsidR="00A416ED">
        <w:t>)</w:t>
      </w:r>
      <w:r w:rsidR="00514450">
        <w:t xml:space="preserve">, radove na sanaciji kaštela </w:t>
      </w:r>
      <w:proofErr w:type="spellStart"/>
      <w:r w:rsidR="00514450">
        <w:t>Rota</w:t>
      </w:r>
      <w:proofErr w:type="spellEnd"/>
      <w:r w:rsidR="00514450">
        <w:t xml:space="preserve">, parkiralište u servisnoj zoni, potporni zid uz parkiralište u </w:t>
      </w:r>
      <w:proofErr w:type="spellStart"/>
      <w:r w:rsidR="00514450">
        <w:t>Momjanu</w:t>
      </w:r>
      <w:proofErr w:type="spellEnd"/>
      <w:r w:rsidR="00514450">
        <w:t xml:space="preserve"> te autobusn</w:t>
      </w:r>
      <w:r w:rsidR="00F15879">
        <w:t>u</w:t>
      </w:r>
      <w:r w:rsidR="00514450">
        <w:t xml:space="preserve"> čekaonic</w:t>
      </w:r>
      <w:r w:rsidR="00F15879">
        <w:t>u</w:t>
      </w:r>
      <w:r w:rsidR="00514450">
        <w:t xml:space="preserve"> u </w:t>
      </w:r>
      <w:proofErr w:type="spellStart"/>
      <w:r w:rsidR="007404AA">
        <w:t>Burolima</w:t>
      </w:r>
      <w:proofErr w:type="spellEnd"/>
      <w:r w:rsidR="00595A96" w:rsidRPr="00E80A17">
        <w:t>.</w:t>
      </w:r>
      <w:r w:rsidRPr="00E80A17">
        <w:t xml:space="preserve"> </w:t>
      </w:r>
      <w:r w:rsidR="007404AA">
        <w:t xml:space="preserve">Na realizaciju rashoda u iznosu većem od planiranog utjecala je neplanirana donacija dijela radova za izgradnju potpornog zida uz parkiralište u </w:t>
      </w:r>
      <w:proofErr w:type="spellStart"/>
      <w:r w:rsidR="007404AA">
        <w:t>Momjanu</w:t>
      </w:r>
      <w:proofErr w:type="spellEnd"/>
      <w:r w:rsidR="007404AA">
        <w:t xml:space="preserve"> te asfaltiranje ceste u naselju </w:t>
      </w:r>
      <w:proofErr w:type="spellStart"/>
      <w:r w:rsidR="007404AA">
        <w:t>Kruj</w:t>
      </w:r>
      <w:proofErr w:type="spellEnd"/>
      <w:r w:rsidR="007404AA">
        <w:t xml:space="preserve"> za koje je ugovorena kompenzacija s obvezom za plaćanje komunalnog doprinosa.</w:t>
      </w:r>
    </w:p>
    <w:p w14:paraId="41B20E19" w14:textId="53D7D8AE" w:rsidR="00C53971" w:rsidRPr="00E80A17" w:rsidRDefault="00A416ED" w:rsidP="00C53971">
      <w:pPr>
        <w:ind w:left="1416"/>
      </w:pPr>
      <w:r>
        <w:t xml:space="preserve">Realizacija ove vrsta rashoda je </w:t>
      </w:r>
      <w:r w:rsidR="00E12751">
        <w:t xml:space="preserve">u </w:t>
      </w:r>
      <w:r w:rsidR="007404AA">
        <w:t>p</w:t>
      </w:r>
      <w:r>
        <w:t>rethodn</w:t>
      </w:r>
      <w:r w:rsidR="007404AA">
        <w:t>oj</w:t>
      </w:r>
      <w:r>
        <w:t xml:space="preserve"> godin</w:t>
      </w:r>
      <w:r w:rsidR="00E12751">
        <w:t>i</w:t>
      </w:r>
      <w:r>
        <w:t xml:space="preserve"> bila znatno veća radi provedbe p</w:t>
      </w:r>
      <w:r w:rsidR="0006561E" w:rsidRPr="00E80A17">
        <w:t>rojekt</w:t>
      </w:r>
      <w:r>
        <w:t>a</w:t>
      </w:r>
      <w:r w:rsidR="0006561E" w:rsidRPr="00E80A17">
        <w:t xml:space="preserve"> </w:t>
      </w:r>
      <w:r w:rsidR="00E02859">
        <w:t>I</w:t>
      </w:r>
      <w:r w:rsidR="0006561E" w:rsidRPr="00E80A17">
        <w:t>zgradnj</w:t>
      </w:r>
      <w:r w:rsidR="00F15879">
        <w:t>e</w:t>
      </w:r>
      <w:r w:rsidR="0006561E" w:rsidRPr="00E80A17">
        <w:t xml:space="preserve"> </w:t>
      </w:r>
      <w:proofErr w:type="spellStart"/>
      <w:r w:rsidR="0006561E" w:rsidRPr="00E80A17">
        <w:t>reciklažnog</w:t>
      </w:r>
      <w:proofErr w:type="spellEnd"/>
      <w:r w:rsidR="0006561E" w:rsidRPr="00E80A17">
        <w:t xml:space="preserve"> dvorišta</w:t>
      </w:r>
      <w:r>
        <w:t>.</w:t>
      </w:r>
      <w:r w:rsidR="0006561E" w:rsidRPr="00E80A17">
        <w:t xml:space="preserve"> </w:t>
      </w:r>
    </w:p>
    <w:p w14:paraId="66D3BE6E" w14:textId="77777777" w:rsidR="005712E4" w:rsidRPr="00E80A17" w:rsidRDefault="005712E4" w:rsidP="00C53971"/>
    <w:p w14:paraId="643D6AA2" w14:textId="3DEBC3C0" w:rsidR="00A416ED" w:rsidRDefault="005712E4" w:rsidP="001245FA">
      <w:pPr>
        <w:ind w:left="1416"/>
      </w:pPr>
      <w:r w:rsidRPr="00E80A17">
        <w:t xml:space="preserve">2.2.2. Za postrojenja i opremu izdvojeno je ukupno </w:t>
      </w:r>
      <w:r w:rsidR="00435922">
        <w:t>330.351</w:t>
      </w:r>
      <w:r w:rsidRPr="00E80A17">
        <w:t xml:space="preserve"> kuna</w:t>
      </w:r>
      <w:r w:rsidR="00200FAE">
        <w:t xml:space="preserve">. </w:t>
      </w:r>
      <w:r w:rsidR="001245FA">
        <w:t>Grad je nabavio opreme u vrijednosti od 168.858 kuna od čega se najveći dio</w:t>
      </w:r>
      <w:r w:rsidR="00B04C79">
        <w:t>,</w:t>
      </w:r>
      <w:r w:rsidR="001245FA">
        <w:t xml:space="preserve"> u iznosu od 124.810 kuna</w:t>
      </w:r>
      <w:r w:rsidR="00B04C79">
        <w:t>,</w:t>
      </w:r>
      <w:r w:rsidR="001245FA">
        <w:t xml:space="preserve"> odnosi na nabavu opreme za javni videonadzor. </w:t>
      </w:r>
      <w:r w:rsidR="00C45AFC">
        <w:t xml:space="preserve">Razlika od 161.493 kuna odnosi se na opremu nabavljenu kod proračunskih korisnika. </w:t>
      </w:r>
    </w:p>
    <w:p w14:paraId="7806E2D1" w14:textId="56E9B29A" w:rsidR="00435922" w:rsidRPr="004A7618" w:rsidRDefault="00435922" w:rsidP="00C45AFC">
      <w:pPr>
        <w:ind w:left="1416"/>
      </w:pPr>
      <w:r w:rsidRPr="004A7618">
        <w:t>U prethodnoj godini rashodi za postrojenja i opremu bili su povećani radi postavljanja opreme za smirivanje prometa</w:t>
      </w:r>
      <w:r w:rsidR="00C45AFC">
        <w:t xml:space="preserve"> i</w:t>
      </w:r>
      <w:r w:rsidRPr="004A7618">
        <w:t xml:space="preserve"> opreme za dječja igrališta </w:t>
      </w:r>
      <w:r w:rsidR="00C45AFC">
        <w:t>te</w:t>
      </w:r>
      <w:r w:rsidRPr="004A7618">
        <w:t xml:space="preserve"> radi nabave opreme u sklopu projekta „Tourism4all“.</w:t>
      </w:r>
    </w:p>
    <w:p w14:paraId="5C2931F7" w14:textId="77777777" w:rsidR="00435922" w:rsidRPr="00E80A17" w:rsidRDefault="00435922" w:rsidP="00435922">
      <w:pPr>
        <w:rPr>
          <w:sz w:val="20"/>
          <w:szCs w:val="20"/>
        </w:rPr>
      </w:pPr>
    </w:p>
    <w:p w14:paraId="2030E02F" w14:textId="50CD834C" w:rsidR="005712E4" w:rsidRPr="00E80A17" w:rsidRDefault="00E95B00" w:rsidP="005712E4">
      <w:pPr>
        <w:ind w:left="1416"/>
      </w:pPr>
      <w:r w:rsidRPr="00E80A17">
        <w:t>2.2.</w:t>
      </w:r>
      <w:r w:rsidR="00A416ED">
        <w:t>3</w:t>
      </w:r>
      <w:r w:rsidR="005712E4" w:rsidRPr="00E80A17">
        <w:t xml:space="preserve">. Rashodi za knjige </w:t>
      </w:r>
      <w:r w:rsidR="00012068">
        <w:t>realizirani su u ukupnom iznosu od 46.035 kun</w:t>
      </w:r>
      <w:r w:rsidR="005E63AE">
        <w:t>a</w:t>
      </w:r>
      <w:r w:rsidR="00B04C79">
        <w:t>.</w:t>
      </w:r>
      <w:r w:rsidR="00012068">
        <w:t xml:space="preserve"> </w:t>
      </w:r>
      <w:r w:rsidR="00B04C79">
        <w:t>O</w:t>
      </w:r>
      <w:r w:rsidR="00012068">
        <w:t xml:space="preserve">d toga je </w:t>
      </w:r>
      <w:r w:rsidR="00F6297F">
        <w:t>u nabavu knjiga za</w:t>
      </w:r>
      <w:r w:rsidR="00012068">
        <w:t xml:space="preserve"> </w:t>
      </w:r>
      <w:r w:rsidR="005712E4" w:rsidRPr="00E80A17">
        <w:t xml:space="preserve">Gradsku knjižnicu </w:t>
      </w:r>
      <w:r w:rsidR="00F6297F">
        <w:t>uloženo</w:t>
      </w:r>
      <w:r w:rsidR="00012068">
        <w:t xml:space="preserve"> 36.515 kuna, dok se razlika od 9.920 kuna odnosi na primljenu donaciju knjiga Talijansko</w:t>
      </w:r>
      <w:r w:rsidR="00F6297F">
        <w:t>g</w:t>
      </w:r>
      <w:r w:rsidR="00012068">
        <w:t xml:space="preserve"> dječj</w:t>
      </w:r>
      <w:r w:rsidR="00F6297F">
        <w:t>eg</w:t>
      </w:r>
      <w:r w:rsidR="00012068">
        <w:t xml:space="preserve"> vrtić</w:t>
      </w:r>
      <w:r w:rsidR="00F6297F">
        <w:t>a</w:t>
      </w:r>
      <w:r w:rsidR="00012068">
        <w:t xml:space="preserve"> Mrvica.</w:t>
      </w:r>
    </w:p>
    <w:p w14:paraId="2B023D44" w14:textId="77777777" w:rsidR="005712E4" w:rsidRPr="00E80A17" w:rsidRDefault="005712E4" w:rsidP="00012068">
      <w:pPr>
        <w:rPr>
          <w:color w:val="FF0000"/>
        </w:rPr>
      </w:pPr>
    </w:p>
    <w:p w14:paraId="08576211" w14:textId="6F1C4E74" w:rsidR="000F0F88" w:rsidRDefault="005712E4" w:rsidP="000F0F88">
      <w:pPr>
        <w:ind w:left="1416"/>
      </w:pPr>
      <w:r w:rsidRPr="00E80A17">
        <w:t>2.2.</w:t>
      </w:r>
      <w:r w:rsidR="00012068">
        <w:t>4</w:t>
      </w:r>
      <w:r w:rsidRPr="00E80A17">
        <w:t xml:space="preserve">. Nematerijalna proizvedena imovina </w:t>
      </w:r>
      <w:r w:rsidR="00012068">
        <w:t>nabavljena je</w:t>
      </w:r>
      <w:r w:rsidR="005438C6">
        <w:t xml:space="preserve"> </w:t>
      </w:r>
      <w:r w:rsidRPr="00E80A17">
        <w:t xml:space="preserve">u ukupnoj vrijednosti od </w:t>
      </w:r>
      <w:r w:rsidR="00012068">
        <w:t>377.721</w:t>
      </w:r>
      <w:r w:rsidR="00CC2A0C" w:rsidRPr="00E80A17">
        <w:t xml:space="preserve"> </w:t>
      </w:r>
      <w:r w:rsidRPr="00E80A17">
        <w:t>kuna</w:t>
      </w:r>
      <w:r w:rsidR="006A4F75">
        <w:t xml:space="preserve"> ili </w:t>
      </w:r>
      <w:r w:rsidR="000F0F88">
        <w:t>85</w:t>
      </w:r>
      <w:r w:rsidR="006A4F75">
        <w:t xml:space="preserve">% od </w:t>
      </w:r>
      <w:r w:rsidR="000F0F88">
        <w:t>p</w:t>
      </w:r>
      <w:r w:rsidR="006A4F75">
        <w:t>lana</w:t>
      </w:r>
      <w:r w:rsidR="00A416ED">
        <w:t xml:space="preserve">, a odnosi se na </w:t>
      </w:r>
      <w:r w:rsidR="00321709">
        <w:t>UPU</w:t>
      </w:r>
      <w:r w:rsidR="00A416ED">
        <w:t xml:space="preserve"> Stanica Istok</w:t>
      </w:r>
      <w:r w:rsidR="000F0F88">
        <w:t xml:space="preserve">, Izmjene i dopune prostornog plana uređenja Grada </w:t>
      </w:r>
      <w:r w:rsidR="00B959C9">
        <w:t>B</w:t>
      </w:r>
      <w:r w:rsidR="000F0F88">
        <w:t xml:space="preserve">uja, geodetski nacrt za izradu UPU </w:t>
      </w:r>
      <w:proofErr w:type="spellStart"/>
      <w:r w:rsidR="000F0F88">
        <w:t>Kaldanija</w:t>
      </w:r>
      <w:proofErr w:type="spellEnd"/>
      <w:r w:rsidR="000F0F88">
        <w:t>, projekt uređenja okoliša dječjeg vrtića, WEB GIS platfor</w:t>
      </w:r>
      <w:r w:rsidR="00B959C9">
        <w:t>m</w:t>
      </w:r>
      <w:r w:rsidR="000F0F88">
        <w:t>u i implementacijski sustav ATLAS.</w:t>
      </w:r>
    </w:p>
    <w:p w14:paraId="162B1264" w14:textId="77777777" w:rsidR="000F0F88" w:rsidRPr="00E80A17" w:rsidRDefault="000F0F88" w:rsidP="000F0F88">
      <w:pPr>
        <w:rPr>
          <w:sz w:val="20"/>
          <w:szCs w:val="20"/>
        </w:rPr>
      </w:pPr>
    </w:p>
    <w:p w14:paraId="53353452" w14:textId="470E88B7" w:rsidR="00B959C9" w:rsidRPr="004A7618" w:rsidRDefault="005712E4" w:rsidP="00B959C9">
      <w:pPr>
        <w:ind w:left="708"/>
      </w:pPr>
      <w:r w:rsidRPr="00E80A17">
        <w:t xml:space="preserve">2.3. Rashodi za dodatna ulaganja na nefinancijskoj imovini ostvareni su u iznosu od </w:t>
      </w:r>
      <w:r w:rsidR="00B959C9">
        <w:t>5.571.425</w:t>
      </w:r>
      <w:r w:rsidRPr="00E80A17">
        <w:t xml:space="preserve"> kuna</w:t>
      </w:r>
      <w:r w:rsidR="0006561E" w:rsidRPr="00E80A17">
        <w:t xml:space="preserve"> </w:t>
      </w:r>
      <w:r w:rsidR="00B959C9">
        <w:t>što odgovara planu i za 36% manje</w:t>
      </w:r>
      <w:r w:rsidR="00697EF4">
        <w:t xml:space="preserve"> je</w:t>
      </w:r>
      <w:r w:rsidR="00B959C9">
        <w:t xml:space="preserve"> u odnosu na prethodnu godinu</w:t>
      </w:r>
      <w:r w:rsidR="00697EF4">
        <w:t>.</w:t>
      </w:r>
    </w:p>
    <w:p w14:paraId="3DBD2350" w14:textId="2439CD3C" w:rsidR="00B959C9" w:rsidRPr="004A7618" w:rsidRDefault="00697EF4" w:rsidP="00B959C9">
      <w:pPr>
        <w:ind w:left="708"/>
      </w:pPr>
      <w:r>
        <w:t>R</w:t>
      </w:r>
      <w:r w:rsidR="00B959C9">
        <w:t xml:space="preserve">ashodi se </w:t>
      </w:r>
      <w:r w:rsidR="00B959C9" w:rsidRPr="004A7618">
        <w:t xml:space="preserve">odnose na radove na energetskoj obnovi zgrade dječjeg vrtića 2.140.773 kuna, na zamjenu javne rasvjete LED rasvjetom 1.247.854 kuna, na uređenje sportskih objekata (NK Marušići i TK Buje) 758.000 kuna, uređenje zgrade starog vatrogasnog </w:t>
      </w:r>
      <w:r w:rsidR="00B959C9" w:rsidRPr="004A7618">
        <w:lastRenderedPageBreak/>
        <w:t>doma/stari Digitron 470.508 kuna, na javnu rasvjetu (</w:t>
      </w:r>
      <w:proofErr w:type="spellStart"/>
      <w:r w:rsidR="00B959C9" w:rsidRPr="004A7618">
        <w:t>Kruj</w:t>
      </w:r>
      <w:proofErr w:type="spellEnd"/>
      <w:r w:rsidR="00B959C9" w:rsidRPr="004A7618">
        <w:t xml:space="preserve">, </w:t>
      </w:r>
      <w:proofErr w:type="spellStart"/>
      <w:r w:rsidR="00B959C9" w:rsidRPr="004A7618">
        <w:t>Juricanija</w:t>
      </w:r>
      <w:proofErr w:type="spellEnd"/>
      <w:r w:rsidR="00B959C9" w:rsidRPr="004A7618">
        <w:t>, Kremenje) 423.049 kuna, na uređenje stambenih prostora 217.854 kuna, na radove na zgradi Centra za inkluziju 193.965 kuna, na sanaciju spomenika Palim borcima 50.000 kuna, na radove na zgradi stare škole u Marušićima 38.485 kuna te starom vinarskom podrumu 30.937 kuna.</w:t>
      </w:r>
    </w:p>
    <w:p w14:paraId="66E13D51" w14:textId="77777777" w:rsidR="00B959C9" w:rsidRDefault="00B959C9" w:rsidP="005712E4">
      <w:pPr>
        <w:ind w:left="708"/>
      </w:pPr>
    </w:p>
    <w:p w14:paraId="3B2505E8" w14:textId="77777777" w:rsidR="005712E4" w:rsidRPr="00E80A17" w:rsidRDefault="005712E4" w:rsidP="005712E4">
      <w:pPr>
        <w:ind w:left="708"/>
        <w:rPr>
          <w:sz w:val="20"/>
          <w:szCs w:val="20"/>
        </w:rPr>
      </w:pPr>
    </w:p>
    <w:p w14:paraId="16606023" w14:textId="76CF8596" w:rsidR="000B4C80" w:rsidRDefault="0079579D" w:rsidP="00342E84">
      <w:r w:rsidRPr="00E80A17">
        <w:t xml:space="preserve">3. </w:t>
      </w:r>
      <w:r w:rsidR="005712E4" w:rsidRPr="00E80A17">
        <w:t xml:space="preserve">Izdaci za financijsku imovinu </w:t>
      </w:r>
      <w:r w:rsidR="00F6297F">
        <w:t xml:space="preserve">i otplate kredita </w:t>
      </w:r>
      <w:r w:rsidR="005712E4" w:rsidRPr="00E80A17">
        <w:t xml:space="preserve">u </w:t>
      </w:r>
      <w:r w:rsidR="00697EF4">
        <w:t>2</w:t>
      </w:r>
      <w:r w:rsidR="005712E4" w:rsidRPr="00E80A17">
        <w:t>0</w:t>
      </w:r>
      <w:r w:rsidR="00E63763">
        <w:t>2</w:t>
      </w:r>
      <w:r w:rsidR="0013373C">
        <w:t>1</w:t>
      </w:r>
      <w:r w:rsidR="005712E4" w:rsidRPr="00E80A17">
        <w:t>. godin</w:t>
      </w:r>
      <w:r w:rsidR="00697EF4">
        <w:t>i</w:t>
      </w:r>
      <w:r w:rsidR="005712E4" w:rsidRPr="00E80A17">
        <w:t xml:space="preserve"> realizirani su u</w:t>
      </w:r>
      <w:r w:rsidR="00E63763">
        <w:t xml:space="preserve"> ukupnom </w:t>
      </w:r>
      <w:r w:rsidR="005712E4" w:rsidRPr="00E80A17">
        <w:t xml:space="preserve">iznosu od </w:t>
      </w:r>
      <w:r w:rsidR="00697EF4">
        <w:t>2.186.397</w:t>
      </w:r>
      <w:r w:rsidR="005712E4" w:rsidRPr="00E80A17">
        <w:t xml:space="preserve"> kuna</w:t>
      </w:r>
      <w:r w:rsidR="00E63763">
        <w:t>.</w:t>
      </w:r>
    </w:p>
    <w:p w14:paraId="0A54E3CD" w14:textId="77777777" w:rsidR="000B4C80" w:rsidRDefault="000B4C80" w:rsidP="00342E84"/>
    <w:p w14:paraId="75B3F514" w14:textId="33ACE180" w:rsidR="00CC15C6" w:rsidRDefault="000B4C80" w:rsidP="007B44E0">
      <w:pPr>
        <w:ind w:left="708"/>
      </w:pPr>
      <w:r>
        <w:t>3.1. Izdaci za dionice i udjele u glavnici</w:t>
      </w:r>
      <w:r w:rsidR="005712E4" w:rsidRPr="00E80A17">
        <w:t xml:space="preserve"> odnose se na </w:t>
      </w:r>
      <w:r w:rsidR="0079579D" w:rsidRPr="00E80A17">
        <w:t xml:space="preserve">otplate temeljem Ugovora o načinu i uvjetima povrata sredstava u proračun Istarske županije za izgradnju ŽCGO </w:t>
      </w:r>
      <w:r w:rsidR="00ED312E" w:rsidRPr="00E80A17">
        <w:t>„</w:t>
      </w:r>
      <w:proofErr w:type="spellStart"/>
      <w:r w:rsidR="0079579D" w:rsidRPr="00E80A17">
        <w:t>Kaštijun</w:t>
      </w:r>
      <w:proofErr w:type="spellEnd"/>
      <w:r w:rsidR="00ED312E" w:rsidRPr="00E80A17">
        <w:t>“</w:t>
      </w:r>
      <w:r w:rsidR="0079579D" w:rsidRPr="00E80A17">
        <w:t xml:space="preserve"> </w:t>
      </w:r>
      <w:r w:rsidR="00ED312E" w:rsidRPr="00E80A17">
        <w:t xml:space="preserve">koji je Grad Buje – Buie sklopio s Istarskom županijom </w:t>
      </w:r>
      <w:r w:rsidR="00F84147">
        <w:t xml:space="preserve">08.03.2017. godine, </w:t>
      </w:r>
      <w:r w:rsidR="00ED312E" w:rsidRPr="00E80A17">
        <w:t>na sveukupni iznos od 232.360,25 EUR, u kunskoj protuvrijednosti, s otplatom na 20 godina. Navedenim Ugovorom</w:t>
      </w:r>
      <w:r w:rsidR="0079579D" w:rsidRPr="00E80A17">
        <w:t xml:space="preserve"> </w:t>
      </w:r>
      <w:r w:rsidR="00ED312E" w:rsidRPr="00E80A17">
        <w:t>utvrđeno je</w:t>
      </w:r>
      <w:r w:rsidR="0079579D" w:rsidRPr="00E80A17">
        <w:t xml:space="preserve"> da će uplaćena sredstva predstavljati vlasnički udio u trgovačkom društvu </w:t>
      </w:r>
      <w:proofErr w:type="spellStart"/>
      <w:r w:rsidR="0079579D" w:rsidRPr="00E80A17">
        <w:t>Kaštijun</w:t>
      </w:r>
      <w:proofErr w:type="spellEnd"/>
      <w:r w:rsidR="0079579D" w:rsidRPr="00E80A17">
        <w:t xml:space="preserve"> d.o.o.</w:t>
      </w:r>
      <w:r w:rsidR="00ED312E" w:rsidRPr="00E80A17">
        <w:t>, a što će biti regulirano posebnim Ugovorom.</w:t>
      </w:r>
      <w:r w:rsidR="0079579D" w:rsidRPr="00E80A17">
        <w:t xml:space="preserve"> </w:t>
      </w:r>
      <w:r w:rsidR="0052211A">
        <w:t>Prema planu otplate u</w:t>
      </w:r>
      <w:r>
        <w:t xml:space="preserve"> 202</w:t>
      </w:r>
      <w:r w:rsidR="0013373C">
        <w:t>1</w:t>
      </w:r>
      <w:r>
        <w:t>. godin</w:t>
      </w:r>
      <w:r w:rsidR="0052211A">
        <w:t xml:space="preserve">i </w:t>
      </w:r>
      <w:r>
        <w:t>doznačeno</w:t>
      </w:r>
      <w:r w:rsidR="0052211A">
        <w:t xml:space="preserve"> je</w:t>
      </w:r>
      <w:r>
        <w:t xml:space="preserve"> </w:t>
      </w:r>
      <w:r w:rsidR="00697EF4">
        <w:t>87.388</w:t>
      </w:r>
      <w:r>
        <w:t xml:space="preserve"> kuna.</w:t>
      </w:r>
    </w:p>
    <w:p w14:paraId="13CDF6A8" w14:textId="77777777" w:rsidR="000B4C80" w:rsidRDefault="000B4C80" w:rsidP="00342E84"/>
    <w:p w14:paraId="70770B7A" w14:textId="685C409C" w:rsidR="00E02859" w:rsidRDefault="000B4C80" w:rsidP="00697EF4">
      <w:pPr>
        <w:ind w:left="708"/>
      </w:pPr>
      <w:r>
        <w:t>3.2. Izdaci za otplatu glavnice primljenih kredita i zajmova u 202</w:t>
      </w:r>
      <w:r w:rsidR="0013373C">
        <w:t>1</w:t>
      </w:r>
      <w:r>
        <w:t>. godin</w:t>
      </w:r>
      <w:r w:rsidR="00697EF4">
        <w:t>i</w:t>
      </w:r>
      <w:r>
        <w:t xml:space="preserve"> realizirani su u ukupnom iznosu od </w:t>
      </w:r>
      <w:r w:rsidR="00697EF4">
        <w:t>2.099.009</w:t>
      </w:r>
      <w:r>
        <w:t xml:space="preserve"> kuna</w:t>
      </w:r>
      <w:r w:rsidR="00697EF4">
        <w:t xml:space="preserve">, </w:t>
      </w:r>
      <w:r w:rsidR="00697EF4" w:rsidRPr="004A7618">
        <w:t xml:space="preserve">a odnose se na otplatu </w:t>
      </w:r>
      <w:r w:rsidR="0063577C">
        <w:t xml:space="preserve">dijela </w:t>
      </w:r>
      <w:r w:rsidR="00697EF4" w:rsidRPr="004A7618">
        <w:t>kratkoročnog kredita iz 2020. godine kod Zagrebačke banke d.d. u iznosu od 1.427.142 kuna, na povrat dijela glavnice kredita kod Istarske kreditne banke Umag d.d. za energetsku obnovu zgrade uprave i Centra za inkluziju 137.380 kuna, na povrat dijela glavnice kredita kod Hrvatske banke za obnovu i razvitak za projekt zamjene javne rasvjete LED rasvjetom 59.089 kuna te na povrat zajmova Ministarstvu financija po osnovi financiranja povrata poreza i prireza po godišnjim prijavama za 2019. godinu u iznosu od 270.000, po osnovi odgode plaćanja poreznih obveza poduzetnika u iznosu od 5.398 kuna i po osnovi pada prihoda 200.000 kuna.</w:t>
      </w:r>
    </w:p>
    <w:p w14:paraId="36278A8C" w14:textId="25FAE996" w:rsidR="006B5E4E" w:rsidRDefault="006B5E4E" w:rsidP="00697EF4">
      <w:pPr>
        <w:ind w:left="708"/>
      </w:pPr>
    </w:p>
    <w:p w14:paraId="25DFF955" w14:textId="1C6D038E" w:rsidR="006B5E4E" w:rsidRDefault="006B5E4E" w:rsidP="00697EF4">
      <w:pPr>
        <w:ind w:left="708"/>
      </w:pPr>
    </w:p>
    <w:p w14:paraId="1D2E119D" w14:textId="0B668244" w:rsidR="006B5E4E" w:rsidRDefault="006B5E4E" w:rsidP="00697EF4">
      <w:pPr>
        <w:ind w:left="708"/>
      </w:pPr>
    </w:p>
    <w:p w14:paraId="76A01017" w14:textId="759634B1" w:rsidR="006B5E4E" w:rsidRDefault="006B5E4E" w:rsidP="00697EF4">
      <w:pPr>
        <w:ind w:left="708"/>
      </w:pPr>
    </w:p>
    <w:p w14:paraId="1E7071B3" w14:textId="5AC69C32" w:rsidR="006B5E4E" w:rsidRDefault="006B5E4E" w:rsidP="00697EF4">
      <w:pPr>
        <w:ind w:left="708"/>
      </w:pPr>
    </w:p>
    <w:p w14:paraId="1062FE89" w14:textId="40CB957A" w:rsidR="006B5E4E" w:rsidRDefault="006B5E4E" w:rsidP="00697EF4">
      <w:pPr>
        <w:ind w:left="708"/>
      </w:pPr>
    </w:p>
    <w:p w14:paraId="5D323CA4" w14:textId="6B4D38D1" w:rsidR="006B5E4E" w:rsidRDefault="006B5E4E" w:rsidP="00697EF4">
      <w:pPr>
        <w:ind w:left="708"/>
      </w:pPr>
    </w:p>
    <w:p w14:paraId="0C899095" w14:textId="147C51EA" w:rsidR="006B5E4E" w:rsidRDefault="006B5E4E" w:rsidP="00697EF4">
      <w:pPr>
        <w:ind w:left="708"/>
      </w:pPr>
    </w:p>
    <w:p w14:paraId="005F30D0" w14:textId="5EE054E2" w:rsidR="006B5E4E" w:rsidRDefault="006B5E4E" w:rsidP="00697EF4">
      <w:pPr>
        <w:ind w:left="708"/>
      </w:pPr>
    </w:p>
    <w:p w14:paraId="5F253A38" w14:textId="32374F96" w:rsidR="006B5E4E" w:rsidRDefault="006B5E4E" w:rsidP="00697EF4">
      <w:pPr>
        <w:ind w:left="708"/>
      </w:pPr>
    </w:p>
    <w:p w14:paraId="0EF4EDC9" w14:textId="6552E5A6" w:rsidR="006B5E4E" w:rsidRDefault="006B5E4E" w:rsidP="00697EF4">
      <w:pPr>
        <w:ind w:left="708"/>
      </w:pPr>
    </w:p>
    <w:p w14:paraId="384102E6" w14:textId="3118F31E" w:rsidR="006B5E4E" w:rsidRDefault="006B5E4E" w:rsidP="00697EF4">
      <w:pPr>
        <w:ind w:left="708"/>
      </w:pPr>
    </w:p>
    <w:p w14:paraId="25339D44" w14:textId="48250B99" w:rsidR="006B5E4E" w:rsidRDefault="006B5E4E" w:rsidP="00697EF4">
      <w:pPr>
        <w:ind w:left="708"/>
      </w:pPr>
    </w:p>
    <w:p w14:paraId="503ADAE0" w14:textId="7CEBAB99" w:rsidR="006B5E4E" w:rsidRDefault="006B5E4E" w:rsidP="00697EF4">
      <w:pPr>
        <w:ind w:left="708"/>
      </w:pPr>
    </w:p>
    <w:p w14:paraId="7822FFD2" w14:textId="71BD0336" w:rsidR="006B5E4E" w:rsidRDefault="006B5E4E" w:rsidP="00697EF4">
      <w:pPr>
        <w:ind w:left="708"/>
      </w:pPr>
    </w:p>
    <w:p w14:paraId="7B312C6B" w14:textId="2882042D" w:rsidR="006B5E4E" w:rsidRDefault="006B5E4E" w:rsidP="00697EF4">
      <w:pPr>
        <w:ind w:left="708"/>
      </w:pPr>
    </w:p>
    <w:p w14:paraId="1EE6FD34" w14:textId="1E8C78FA" w:rsidR="006B5E4E" w:rsidRDefault="006B5E4E" w:rsidP="00697EF4">
      <w:pPr>
        <w:ind w:left="708"/>
      </w:pPr>
    </w:p>
    <w:p w14:paraId="0E09D46F" w14:textId="2A274FFC" w:rsidR="006B5E4E" w:rsidRDefault="006B5E4E" w:rsidP="00697EF4">
      <w:pPr>
        <w:ind w:left="708"/>
      </w:pPr>
    </w:p>
    <w:p w14:paraId="41345016" w14:textId="0EF13828" w:rsidR="006B5E4E" w:rsidRDefault="006B5E4E" w:rsidP="00697EF4">
      <w:pPr>
        <w:ind w:left="708"/>
      </w:pPr>
    </w:p>
    <w:p w14:paraId="57041A0A" w14:textId="5367E4B9" w:rsidR="006B5E4E" w:rsidRDefault="006B5E4E" w:rsidP="00697EF4">
      <w:pPr>
        <w:ind w:left="708"/>
      </w:pPr>
    </w:p>
    <w:p w14:paraId="53BE670C" w14:textId="77777777" w:rsidR="006B5E4E" w:rsidRDefault="006B5E4E" w:rsidP="00697EF4">
      <w:pPr>
        <w:ind w:left="708"/>
        <w:rPr>
          <w:sz w:val="20"/>
          <w:szCs w:val="20"/>
        </w:rPr>
      </w:pPr>
    </w:p>
    <w:p w14:paraId="22003312" w14:textId="77777777" w:rsidR="00E02859" w:rsidRDefault="00E02859" w:rsidP="00342E84">
      <w:pPr>
        <w:rPr>
          <w:sz w:val="20"/>
          <w:szCs w:val="20"/>
        </w:rPr>
      </w:pPr>
    </w:p>
    <w:p w14:paraId="7CB3F4CE" w14:textId="2CB219F5" w:rsidR="005712E4" w:rsidRDefault="005712E4" w:rsidP="005712E4">
      <w:pPr>
        <w:pStyle w:val="Uvuenotijeloteksta"/>
        <w:ind w:left="0"/>
      </w:pPr>
      <w:r w:rsidRPr="00E80A17">
        <w:lastRenderedPageBreak/>
        <w:t>Struktura ostvarenih rashoda i izdataka u 20</w:t>
      </w:r>
      <w:r w:rsidR="001743A2">
        <w:t>2</w:t>
      </w:r>
      <w:r w:rsidR="00CE556B">
        <w:t>1</w:t>
      </w:r>
      <w:r w:rsidRPr="00E80A17">
        <w:t xml:space="preserve"> godin</w:t>
      </w:r>
      <w:r w:rsidR="00697EF4">
        <w:t>i</w:t>
      </w:r>
    </w:p>
    <w:p w14:paraId="479AA6AB" w14:textId="12F8BFB9" w:rsidR="00211B86" w:rsidRDefault="00211B86" w:rsidP="005712E4">
      <w:pPr>
        <w:pStyle w:val="Uvuenotijeloteksta"/>
        <w:ind w:left="0"/>
      </w:pPr>
    </w:p>
    <w:p w14:paraId="6BDFC843" w14:textId="1731811B" w:rsidR="00211B86" w:rsidRDefault="00211B86" w:rsidP="005712E4">
      <w:pPr>
        <w:pStyle w:val="Uvuenotijeloteksta"/>
        <w:ind w:left="0"/>
      </w:pPr>
      <w:r>
        <w:rPr>
          <w:noProof/>
        </w:rPr>
        <w:drawing>
          <wp:inline distT="0" distB="0" distL="0" distR="0" wp14:anchorId="6132A07B" wp14:editId="6E4366F2">
            <wp:extent cx="4857750" cy="3476625"/>
            <wp:effectExtent l="0" t="0" r="0" b="952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5DC42EDF-F4D0-4867-AA48-4267A9C96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C376AD" w14:textId="77777777" w:rsidR="00CE556B" w:rsidRDefault="00CE556B" w:rsidP="005712E4">
      <w:pPr>
        <w:pStyle w:val="Uvuenotijeloteksta"/>
        <w:ind w:left="0"/>
      </w:pPr>
    </w:p>
    <w:p w14:paraId="0B5C7083" w14:textId="77777777" w:rsidR="00211B86" w:rsidRDefault="00211B86" w:rsidP="0044613A">
      <w:pPr>
        <w:pStyle w:val="Uvuenotijeloteksta"/>
        <w:ind w:left="0"/>
      </w:pPr>
    </w:p>
    <w:p w14:paraId="63F9BD1E" w14:textId="04B7AFCF" w:rsidR="0044613A" w:rsidRDefault="0044613A" w:rsidP="0044613A">
      <w:pPr>
        <w:pStyle w:val="Uvuenotijeloteksta"/>
        <w:ind w:left="0"/>
      </w:pPr>
      <w:r w:rsidRPr="00E80A17">
        <w:t>Ostvarenje rashoda i izdataka proračuna u 20</w:t>
      </w:r>
      <w:r w:rsidR="001743A2">
        <w:t>2</w:t>
      </w:r>
      <w:r w:rsidR="00CE556B">
        <w:t>1</w:t>
      </w:r>
      <w:r w:rsidRPr="00E80A17">
        <w:t xml:space="preserve"> godin</w:t>
      </w:r>
      <w:r w:rsidR="00211B86">
        <w:t>i</w:t>
      </w:r>
      <w:r w:rsidRPr="00E80A17">
        <w:t xml:space="preserve"> u odnosu na </w:t>
      </w:r>
      <w:r w:rsidR="009522EE">
        <w:t xml:space="preserve">godišnji </w:t>
      </w:r>
      <w:r w:rsidRPr="00E80A17">
        <w:t>plan</w:t>
      </w:r>
      <w:r w:rsidR="009522EE">
        <w:t xml:space="preserve"> za 20</w:t>
      </w:r>
      <w:r w:rsidR="001743A2">
        <w:t>2</w:t>
      </w:r>
      <w:r w:rsidR="00CE556B">
        <w:t>1</w:t>
      </w:r>
      <w:r w:rsidR="009522EE">
        <w:t>. godinu</w:t>
      </w:r>
      <w:r w:rsidRPr="00E80A17">
        <w:t xml:space="preserve"> i </w:t>
      </w:r>
      <w:r w:rsidR="00E02859">
        <w:t xml:space="preserve">na </w:t>
      </w:r>
      <w:r w:rsidRPr="00E80A17">
        <w:t>20</w:t>
      </w:r>
      <w:r w:rsidR="00CE556B">
        <w:t>20</w:t>
      </w:r>
      <w:r w:rsidRPr="00E80A17">
        <w:t xml:space="preserve"> godin</w:t>
      </w:r>
      <w:r w:rsidR="00211B86">
        <w:t>u</w:t>
      </w:r>
    </w:p>
    <w:p w14:paraId="7ED92061" w14:textId="57934B3A" w:rsidR="00CE556B" w:rsidRDefault="00CE556B" w:rsidP="0044613A">
      <w:pPr>
        <w:pStyle w:val="Uvuenotijeloteksta"/>
        <w:ind w:left="0"/>
      </w:pPr>
    </w:p>
    <w:p w14:paraId="48B9D84C" w14:textId="1D59F9DF" w:rsidR="00211B86" w:rsidRDefault="00211B86" w:rsidP="0044613A">
      <w:pPr>
        <w:pStyle w:val="Uvuenotijeloteksta"/>
        <w:ind w:left="0"/>
      </w:pPr>
      <w:r>
        <w:rPr>
          <w:noProof/>
        </w:rPr>
        <w:drawing>
          <wp:inline distT="0" distB="0" distL="0" distR="0" wp14:anchorId="1FD39F07" wp14:editId="1488A02B">
            <wp:extent cx="5295900" cy="3857625"/>
            <wp:effectExtent l="0" t="0" r="0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47F6CFAC-8F76-48B2-851E-5046DCE1D2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AC91EB" w14:textId="77777777" w:rsidR="003C2B95" w:rsidRPr="00E80A17" w:rsidRDefault="003C2B95" w:rsidP="0044613A">
      <w:pPr>
        <w:pStyle w:val="Uvuenotijeloteksta"/>
        <w:ind w:left="0"/>
        <w:rPr>
          <w:sz w:val="20"/>
          <w:szCs w:val="20"/>
        </w:rPr>
      </w:pPr>
    </w:p>
    <w:p w14:paraId="0E669A3F" w14:textId="717A0F07" w:rsidR="005712E4" w:rsidRPr="009522EE" w:rsidRDefault="005712E4" w:rsidP="005712E4">
      <w:pPr>
        <w:rPr>
          <w:b/>
        </w:rPr>
      </w:pPr>
      <w:r w:rsidRPr="009522EE">
        <w:rPr>
          <w:b/>
        </w:rPr>
        <w:lastRenderedPageBreak/>
        <w:t>IZVRŠENJE RASHODA PRORAČUNA U 20</w:t>
      </w:r>
      <w:r w:rsidR="00BA7309">
        <w:rPr>
          <w:b/>
        </w:rPr>
        <w:t>2</w:t>
      </w:r>
      <w:r w:rsidR="00210D5A">
        <w:rPr>
          <w:b/>
        </w:rPr>
        <w:t>1</w:t>
      </w:r>
      <w:r w:rsidRPr="009522EE">
        <w:rPr>
          <w:b/>
        </w:rPr>
        <w:t>. GODIN</w:t>
      </w:r>
      <w:r w:rsidR="004A291E">
        <w:rPr>
          <w:b/>
        </w:rPr>
        <w:t>I</w:t>
      </w:r>
      <w:r w:rsidRPr="009522EE">
        <w:rPr>
          <w:b/>
        </w:rPr>
        <w:t xml:space="preserve"> PO RAZDJELIMA – UPRAVNIM ODJELIMA GRADSKE UPRAVE</w:t>
      </w:r>
    </w:p>
    <w:p w14:paraId="11382D5E" w14:textId="77777777" w:rsidR="005712E4" w:rsidRPr="00E80A17" w:rsidRDefault="005712E4" w:rsidP="005712E4"/>
    <w:p w14:paraId="333137C1" w14:textId="5B9E2CDA" w:rsidR="005712E4" w:rsidRPr="00E80A17" w:rsidRDefault="005712E4" w:rsidP="005712E4">
      <w:r w:rsidRPr="00E80A17">
        <w:t xml:space="preserve">U </w:t>
      </w:r>
      <w:r w:rsidR="008422A3">
        <w:t>tabličnom ispisu P</w:t>
      </w:r>
      <w:r w:rsidRPr="00E80A17">
        <w:t>osebno</w:t>
      </w:r>
      <w:r w:rsidR="008422A3">
        <w:t>g</w:t>
      </w:r>
      <w:r w:rsidRPr="00E80A17">
        <w:t xml:space="preserve"> dijel</w:t>
      </w:r>
      <w:r w:rsidR="008422A3">
        <w:t>a</w:t>
      </w:r>
      <w:r w:rsidRPr="00E80A17">
        <w:t xml:space="preserve"> proračuna detaljno su iskazani planirani i ostvareni rashodi prema organizacijskoj</w:t>
      </w:r>
      <w:r w:rsidR="007C7547" w:rsidRPr="00E80A17">
        <w:t xml:space="preserve"> i</w:t>
      </w:r>
      <w:r w:rsidRPr="00E80A17">
        <w:t xml:space="preserve"> programskoj klasifikaciji. </w:t>
      </w:r>
    </w:p>
    <w:p w14:paraId="0234C155" w14:textId="77777777" w:rsidR="005712E4" w:rsidRPr="00E80A17" w:rsidRDefault="005712E4" w:rsidP="005712E4"/>
    <w:p w14:paraId="3CE981AB" w14:textId="77777777" w:rsidR="005712E4" w:rsidRPr="00E80A17" w:rsidRDefault="005712E4" w:rsidP="005712E4">
      <w:r w:rsidRPr="00E80A17">
        <w:t xml:space="preserve">Gradska uprava Grada Buja </w:t>
      </w:r>
      <w:r w:rsidR="00A65DBF" w:rsidRPr="00E80A17">
        <w:t xml:space="preserve">– Buie </w:t>
      </w:r>
      <w:r w:rsidRPr="00E80A17">
        <w:t xml:space="preserve">organizirana je u tri upravna odjela: Upravni odjel za opće poslove, Upravni odjel za komunalne djelatnosti i Upravni odjel za prostorno uređenje i upravljanje gradskom imovinom. </w:t>
      </w:r>
    </w:p>
    <w:p w14:paraId="652041E8" w14:textId="77777777" w:rsidR="005712E4" w:rsidRPr="00E80A17" w:rsidRDefault="005712E4" w:rsidP="005712E4">
      <w:r w:rsidRPr="00E80A17">
        <w:t>Svi proračunski korisnici Grada Buja</w:t>
      </w:r>
      <w:r w:rsidR="00A65DBF" w:rsidRPr="00E80A17">
        <w:t xml:space="preserve"> - Buie</w:t>
      </w:r>
      <w:r w:rsidRPr="00E80A17">
        <w:t xml:space="preserve"> (Dječji vrtić Buje, Talijanski dječji vrtić Mrvica, Pučko otvoreno učilište Buje, Mjesni odbori i Vijeće talijanske nacionalne manjine) u nadležnosti su Upravnog odjela za opće poslove.</w:t>
      </w:r>
    </w:p>
    <w:p w14:paraId="218D4862" w14:textId="77777777" w:rsidR="005712E4" w:rsidRPr="00E80A17" w:rsidRDefault="005712E4" w:rsidP="005712E4"/>
    <w:p w14:paraId="441EAF0B" w14:textId="77777777" w:rsidR="005712E4" w:rsidRDefault="005712E4" w:rsidP="005712E4">
      <w:r w:rsidRPr="00E80A17">
        <w:t xml:space="preserve">Pregled ostvarenih rashoda </w:t>
      </w:r>
      <w:r w:rsidR="009522EE">
        <w:t xml:space="preserve">i izdataka </w:t>
      </w:r>
      <w:r w:rsidRPr="00E80A17">
        <w:t xml:space="preserve">po odjelima </w:t>
      </w:r>
      <w:r w:rsidR="00CF1DD7" w:rsidRPr="00E80A17">
        <w:t xml:space="preserve">Gradske uprave i </w:t>
      </w:r>
      <w:r w:rsidR="00F4085D" w:rsidRPr="00E80A17">
        <w:t>proračunskim korisnicima</w:t>
      </w:r>
      <w:r w:rsidRPr="00E80A17">
        <w:t xml:space="preserve"> prikazan je u sljedećoj tablici.</w:t>
      </w:r>
    </w:p>
    <w:p w14:paraId="682E11DC" w14:textId="77777777" w:rsidR="009522EE" w:rsidRPr="00E80A17" w:rsidRDefault="009522EE" w:rsidP="005712E4"/>
    <w:p w14:paraId="4A700F18" w14:textId="77777777" w:rsidR="005712E4" w:rsidRPr="00E80A17" w:rsidRDefault="005712E4" w:rsidP="005712E4">
      <w:pPr>
        <w:rPr>
          <w:color w:val="FF0000"/>
          <w:sz w:val="20"/>
          <w:szCs w:val="20"/>
        </w:rPr>
      </w:pPr>
    </w:p>
    <w:p w14:paraId="47FFF452" w14:textId="2E9A2E0C" w:rsidR="00392A4E" w:rsidRDefault="005712E4" w:rsidP="005712E4">
      <w:r w:rsidRPr="00E80A17">
        <w:t>Izvršenje rashoda prema upravnim odjelima</w:t>
      </w:r>
      <w:r w:rsidR="00091AFA" w:rsidRPr="00E80A17">
        <w:t xml:space="preserve"> i proračunskim korisnicima</w:t>
      </w:r>
    </w:p>
    <w:p w14:paraId="6BE55467" w14:textId="57E3EFA6" w:rsidR="00A05772" w:rsidRDefault="00A05772" w:rsidP="005712E4"/>
    <w:tbl>
      <w:tblPr>
        <w:tblW w:w="9275" w:type="dxa"/>
        <w:tblLook w:val="04A0" w:firstRow="1" w:lastRow="0" w:firstColumn="1" w:lastColumn="0" w:noHBand="0" w:noVBand="1"/>
      </w:tblPr>
      <w:tblGrid>
        <w:gridCol w:w="716"/>
        <w:gridCol w:w="3679"/>
        <w:gridCol w:w="1760"/>
        <w:gridCol w:w="1860"/>
        <w:gridCol w:w="1260"/>
      </w:tblGrid>
      <w:tr w:rsidR="00A05772" w14:paraId="6094764F" w14:textId="77777777" w:rsidTr="00A05772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61B1E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i naziv razdjela, glave, proračunskog korisnika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FCE1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194F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AFCF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</w:tc>
      </w:tr>
      <w:tr w:rsidR="00A05772" w14:paraId="7619C5ED" w14:textId="77777777" w:rsidTr="00A05772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B93EF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0C7F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215A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62E5" w14:textId="77777777" w:rsidR="00A05772" w:rsidRDefault="00A05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(3/2*100)</w:t>
            </w:r>
          </w:p>
        </w:tc>
      </w:tr>
      <w:tr w:rsidR="00A05772" w14:paraId="105D4A8D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1406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1EFE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opće poslove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D6EF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18.667.234,87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4E96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16.501.092,27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C06E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88,40    </w:t>
            </w:r>
          </w:p>
        </w:tc>
      </w:tr>
      <w:tr w:rsidR="00A05772" w14:paraId="45E1B2AC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02C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6BA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Predstavničko, izvršna i radna tijela Grada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93D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1.369.455,60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A1E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1.044.171,55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53D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76,25    </w:t>
            </w:r>
          </w:p>
        </w:tc>
      </w:tr>
      <w:tr w:rsidR="00A05772" w14:paraId="4BE4F11C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E55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00102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883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opće poslove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0AF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9.471.738,77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699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8.186.604,40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A12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86,43    </w:t>
            </w:r>
          </w:p>
        </w:tc>
      </w:tr>
      <w:tr w:rsidR="00A05772" w14:paraId="58EA793D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A0A8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C92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814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6.382.215,26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557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6.113.008,10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EC9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95,78    </w:t>
            </w:r>
          </w:p>
        </w:tc>
      </w:tr>
      <w:tr w:rsidR="00A05772" w14:paraId="0B03E026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94B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36305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DCE" w14:textId="77777777" w:rsidR="00A05772" w:rsidRDefault="00A0577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Dječji vrtić Buje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6B1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3.881.433,63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BA3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3.826.145,10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5CB2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98,58    </w:t>
            </w:r>
          </w:p>
        </w:tc>
      </w:tr>
      <w:tr w:rsidR="00A05772" w14:paraId="7267A100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039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38663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9F2" w14:textId="77777777" w:rsidR="00A05772" w:rsidRDefault="00A0577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Talijanski dječji vrtić Mrvica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E71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2.500.781,63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39D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2.286.863,00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2A5A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91,45    </w:t>
            </w:r>
          </w:p>
        </w:tc>
      </w:tr>
      <w:tr w:rsidR="00A05772" w14:paraId="49D6E672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2D5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00104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329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Pučko otvoreno učilište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510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1.443.825,24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022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1.157.308,22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078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80,16    </w:t>
            </w:r>
          </w:p>
        </w:tc>
      </w:tr>
      <w:tr w:rsidR="00A05772" w14:paraId="57B01131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EDC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48200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9E5" w14:textId="77777777" w:rsidR="00A05772" w:rsidRDefault="00A05772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Pučko otvoreno učilište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638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1.443.825,24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586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1.157.308,22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B7B" w14:textId="77777777" w:rsidR="00A05772" w:rsidRDefault="00A0577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80,16    </w:t>
            </w:r>
          </w:p>
        </w:tc>
      </w:tr>
      <w:tr w:rsidR="00A05772" w14:paraId="4326EA16" w14:textId="77777777" w:rsidTr="00A05772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77E5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3FAA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komunalne djelatnosti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54CB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15.779.851,99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0C94A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15.910.105,22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6D1AF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100,83    </w:t>
            </w:r>
          </w:p>
        </w:tc>
      </w:tr>
      <w:tr w:rsidR="00A05772" w14:paraId="53E28491" w14:textId="77777777" w:rsidTr="00A0577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1AB8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EAE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komunalne djelatnosti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140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15.779.851,99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9747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15.910.105,22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D05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100,83    </w:t>
            </w:r>
          </w:p>
        </w:tc>
      </w:tr>
      <w:tr w:rsidR="00A05772" w14:paraId="2226BD9E" w14:textId="77777777" w:rsidTr="00A05772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A104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1F756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prostorno uređenje i</w:t>
            </w:r>
            <w:r>
              <w:rPr>
                <w:b/>
                <w:bCs/>
                <w:sz w:val="20"/>
                <w:szCs w:val="20"/>
              </w:rPr>
              <w:br/>
              <w:t>upravljanje gradskom imovinom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72C3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6.248.657,72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787B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5.690.244,91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F821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91,06    </w:t>
            </w:r>
          </w:p>
        </w:tc>
      </w:tr>
      <w:tr w:rsidR="00A05772" w14:paraId="3488B92D" w14:textId="77777777" w:rsidTr="00A05772">
        <w:trPr>
          <w:trHeight w:val="51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FA5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FE17" w14:textId="77777777" w:rsidR="00A05772" w:rsidRDefault="00A0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prostorno uređenje i</w:t>
            </w:r>
            <w:r>
              <w:rPr>
                <w:sz w:val="20"/>
                <w:szCs w:val="20"/>
              </w:rPr>
              <w:br/>
              <w:t>upravljanje gradskom imovinom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8755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6.248.657,72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C97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5.690.244,91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5FB" w14:textId="77777777" w:rsidR="00A05772" w:rsidRDefault="00A057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91,06    </w:t>
            </w:r>
          </w:p>
        </w:tc>
      </w:tr>
      <w:tr w:rsidR="00A05772" w14:paraId="62F67977" w14:textId="77777777" w:rsidTr="00A05772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CB16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FFBC" w14:textId="77777777" w:rsidR="00A05772" w:rsidRDefault="00A057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82C6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40.695.744,58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B79B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38.101.442,40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36856" w14:textId="77777777" w:rsidR="00A05772" w:rsidRDefault="00A057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93,63    </w:t>
            </w:r>
          </w:p>
        </w:tc>
      </w:tr>
    </w:tbl>
    <w:p w14:paraId="00E06ADD" w14:textId="05B4B5EB" w:rsidR="009C7647" w:rsidRDefault="009C7647" w:rsidP="005712E4"/>
    <w:p w14:paraId="3C7057CF" w14:textId="77777777" w:rsidR="009C7647" w:rsidRDefault="009C7647" w:rsidP="005712E4"/>
    <w:p w14:paraId="3CE56A88" w14:textId="77777777" w:rsidR="005712E4" w:rsidRPr="00771E8F" w:rsidRDefault="005712E4" w:rsidP="005712E4">
      <w:pPr>
        <w:rPr>
          <w:b/>
          <w:bCs/>
          <w:u w:val="single"/>
        </w:rPr>
      </w:pPr>
      <w:r w:rsidRPr="00771E8F">
        <w:rPr>
          <w:b/>
          <w:bCs/>
          <w:u w:val="single"/>
        </w:rPr>
        <w:t>Upravni odjel za opće poslove</w:t>
      </w:r>
    </w:p>
    <w:p w14:paraId="4834A98A" w14:textId="77777777" w:rsidR="005712E4" w:rsidRPr="00E80A17" w:rsidRDefault="005712E4" w:rsidP="005712E4"/>
    <w:p w14:paraId="2758ED93" w14:textId="57200F94" w:rsidR="005712E4" w:rsidRPr="00E80A17" w:rsidRDefault="00A65DBF" w:rsidP="005712E4">
      <w:r w:rsidRPr="00E80A17">
        <w:t>U U</w:t>
      </w:r>
      <w:r w:rsidR="005712E4" w:rsidRPr="00E80A17">
        <w:t>pravnom odjelu za opće poslove u 20</w:t>
      </w:r>
      <w:r w:rsidR="009C7647">
        <w:t>2</w:t>
      </w:r>
      <w:r w:rsidR="00124DFD">
        <w:t>1</w:t>
      </w:r>
      <w:r w:rsidR="005712E4" w:rsidRPr="00E80A17">
        <w:t>. godin</w:t>
      </w:r>
      <w:r w:rsidR="00C04FF8">
        <w:t>i</w:t>
      </w:r>
      <w:r w:rsidR="005712E4" w:rsidRPr="00E80A17">
        <w:t xml:space="preserve"> ostvareni su r</w:t>
      </w:r>
      <w:r w:rsidR="002C6323" w:rsidRPr="00E80A17">
        <w:t xml:space="preserve">ashodi </w:t>
      </w:r>
      <w:r w:rsidR="005712E4" w:rsidRPr="00E80A17">
        <w:t xml:space="preserve">u ukupnom iznosu od </w:t>
      </w:r>
      <w:r w:rsidR="00C03105">
        <w:t>16.501.092,27</w:t>
      </w:r>
      <w:r w:rsidR="005712E4" w:rsidRPr="00E80A17">
        <w:t xml:space="preserve"> kuna što je</w:t>
      </w:r>
      <w:r w:rsidR="0034494B" w:rsidRPr="00E80A17">
        <w:t xml:space="preserve"> </w:t>
      </w:r>
      <w:r w:rsidR="00C03105">
        <w:t>88,40</w:t>
      </w:r>
      <w:r w:rsidR="005712E4" w:rsidRPr="00E80A17">
        <w:t xml:space="preserve">% </w:t>
      </w:r>
      <w:r w:rsidRPr="00E80A17">
        <w:t xml:space="preserve">od </w:t>
      </w:r>
      <w:r w:rsidR="005712E4" w:rsidRPr="00E80A17">
        <w:t>plana.</w:t>
      </w:r>
    </w:p>
    <w:p w14:paraId="199EDD19" w14:textId="77777777" w:rsidR="005712E4" w:rsidRPr="00E80A17" w:rsidRDefault="005712E4" w:rsidP="005712E4"/>
    <w:p w14:paraId="7E94C080" w14:textId="102F317F" w:rsidR="005712E4" w:rsidRDefault="005712E4" w:rsidP="005712E4">
      <w:r w:rsidRPr="00E80A17">
        <w:t xml:space="preserve">Glava 00101: Predstavničko, izvršna i radna tijela Grada – rashodi su ostvareni u ukupnom iznosu od </w:t>
      </w:r>
      <w:r w:rsidR="0099501B">
        <w:t xml:space="preserve">1.044.171,55 </w:t>
      </w:r>
      <w:r w:rsidRPr="00E80A17">
        <w:t xml:space="preserve">kuna ili </w:t>
      </w:r>
      <w:r w:rsidR="0099501B">
        <w:t>76,25</w:t>
      </w:r>
      <w:r w:rsidRPr="00E80A17">
        <w:t xml:space="preserve">% od plana. Ostvareni rashodi odnose se na rashode za </w:t>
      </w:r>
      <w:r w:rsidRPr="00E80A17">
        <w:lastRenderedPageBreak/>
        <w:t>zaposlene odnosno izvršno tijelo Grada (</w:t>
      </w:r>
      <w:r w:rsidR="00895EAE">
        <w:t>273.316,98</w:t>
      </w:r>
      <w:r w:rsidRPr="00E80A17">
        <w:t xml:space="preserve"> kn), </w:t>
      </w:r>
      <w:r w:rsidR="00D56D46" w:rsidRPr="00E80A17">
        <w:t>rashode protokola, promidžbe i proslava (</w:t>
      </w:r>
      <w:r w:rsidR="00895EAE">
        <w:t xml:space="preserve">49.053,11 </w:t>
      </w:r>
      <w:r w:rsidR="00D56D46" w:rsidRPr="00E80A17">
        <w:t xml:space="preserve">kn), donacije </w:t>
      </w:r>
      <w:r w:rsidR="0067283E">
        <w:t xml:space="preserve">za redovno financiranje </w:t>
      </w:r>
      <w:r w:rsidR="00D56D46" w:rsidRPr="00E80A17">
        <w:t>politički</w:t>
      </w:r>
      <w:r w:rsidR="0067283E">
        <w:t>h</w:t>
      </w:r>
      <w:r w:rsidR="00D56D46" w:rsidRPr="00E80A17">
        <w:t xml:space="preserve"> strana</w:t>
      </w:r>
      <w:r w:rsidR="0067283E">
        <w:t>k</w:t>
      </w:r>
      <w:r w:rsidR="00D56D46" w:rsidRPr="00E80A17">
        <w:t>a  (</w:t>
      </w:r>
      <w:r w:rsidR="00C3733A">
        <w:t>29.849,45</w:t>
      </w:r>
      <w:r w:rsidR="00D56D46" w:rsidRPr="00E80A17">
        <w:t xml:space="preserve"> kn), </w:t>
      </w:r>
      <w:r w:rsidRPr="00E80A17">
        <w:t>rashode za rad predstavničk</w:t>
      </w:r>
      <w:r w:rsidR="00DC67B5" w:rsidRPr="00E80A17">
        <w:t xml:space="preserve">og, izvršnih </w:t>
      </w:r>
      <w:r w:rsidRPr="00E80A17">
        <w:t>i radnih tijela (</w:t>
      </w:r>
      <w:r w:rsidR="009B62B2">
        <w:t>414.220,29</w:t>
      </w:r>
      <w:r w:rsidR="0034494B" w:rsidRPr="00E80A17">
        <w:t xml:space="preserve"> </w:t>
      </w:r>
      <w:r w:rsidRPr="00E80A17">
        <w:t xml:space="preserve">kn), </w:t>
      </w:r>
      <w:r w:rsidR="006665C0">
        <w:t>rashode vezane uz provedbu lokalnih izbora (1</w:t>
      </w:r>
      <w:r w:rsidR="009B62B2">
        <w:t>92.607,01</w:t>
      </w:r>
      <w:r w:rsidR="006665C0">
        <w:t xml:space="preserve">), </w:t>
      </w:r>
      <w:r w:rsidR="00491B17" w:rsidRPr="00E80A17">
        <w:t xml:space="preserve">isplaćene pomoći i donacije temeljem Zaključaka </w:t>
      </w:r>
      <w:r w:rsidR="00E64BF0">
        <w:t>g</w:t>
      </w:r>
      <w:r w:rsidR="009522EE">
        <w:t xml:space="preserve">radonačelnika </w:t>
      </w:r>
      <w:r w:rsidR="00491B17" w:rsidRPr="00E80A17">
        <w:t>(</w:t>
      </w:r>
      <w:r w:rsidR="009B62B2">
        <w:t>38.452,50</w:t>
      </w:r>
      <w:r w:rsidR="00491B17" w:rsidRPr="00E80A17">
        <w:t xml:space="preserve"> kn)</w:t>
      </w:r>
      <w:r w:rsidR="006665C0">
        <w:t>,</w:t>
      </w:r>
      <w:r w:rsidR="009C7647">
        <w:t xml:space="preserve"> rashode za </w:t>
      </w:r>
      <w:r w:rsidR="00D92C1C">
        <w:t xml:space="preserve">sufinanciranje smještaja osoba u samoizolaciju radi korona virusa i nabavu </w:t>
      </w:r>
      <w:r w:rsidR="009C7647">
        <w:t>zaštitn</w:t>
      </w:r>
      <w:r w:rsidR="00D92C1C">
        <w:t>og</w:t>
      </w:r>
      <w:r w:rsidR="009C7647">
        <w:t xml:space="preserve"> materijal</w:t>
      </w:r>
      <w:r w:rsidR="00D92C1C">
        <w:t>a</w:t>
      </w:r>
      <w:r w:rsidR="006665C0">
        <w:t xml:space="preserve"> </w:t>
      </w:r>
      <w:r w:rsidR="009C7647">
        <w:t>(</w:t>
      </w:r>
      <w:r w:rsidR="009B62B2">
        <w:t>9.542,63</w:t>
      </w:r>
      <w:r w:rsidR="009C7647">
        <w:t xml:space="preserve"> kn)</w:t>
      </w:r>
      <w:r w:rsidR="006665C0">
        <w:t>, rashode mjesn</w:t>
      </w:r>
      <w:r w:rsidR="00771E8F">
        <w:t>ih odbora</w:t>
      </w:r>
      <w:r w:rsidR="006665C0">
        <w:t xml:space="preserve"> (</w:t>
      </w:r>
      <w:r w:rsidR="009B62B2">
        <w:t>24.728,13</w:t>
      </w:r>
      <w:r w:rsidR="006665C0">
        <w:t xml:space="preserve"> kn) te rashode </w:t>
      </w:r>
      <w:r w:rsidR="00771E8F">
        <w:t xml:space="preserve">vezane </w:t>
      </w:r>
      <w:r w:rsidR="006665C0">
        <w:t xml:space="preserve">za </w:t>
      </w:r>
      <w:r w:rsidR="00AB24C4">
        <w:t>aktivnosti</w:t>
      </w:r>
      <w:r w:rsidR="006665C0">
        <w:t xml:space="preserve"> Vijeća talijanske nacionalne manjine (</w:t>
      </w:r>
      <w:r w:rsidR="009B62B2">
        <w:t>12.401,45</w:t>
      </w:r>
      <w:r w:rsidR="006665C0">
        <w:t xml:space="preserve"> kn).</w:t>
      </w:r>
      <w:r w:rsidR="009C7647">
        <w:t xml:space="preserve"> </w:t>
      </w:r>
      <w:r w:rsidR="00AB24C4">
        <w:t xml:space="preserve">Manje od planiranog realizirani su rashodi </w:t>
      </w:r>
      <w:r w:rsidR="001D30BC">
        <w:t>vezani uz COVID-19 (sufinanciranje smještaja osoba u samoizolaciju, laboratorijske usluge i materijal za higijenske potrebe i njegu) te rashodi mjesnih odbora i Vijeća talijanske nacionalne manjine.</w:t>
      </w:r>
    </w:p>
    <w:p w14:paraId="2BA9E616" w14:textId="77777777" w:rsidR="0067283E" w:rsidRPr="00E80A17" w:rsidRDefault="0067283E" w:rsidP="005712E4"/>
    <w:p w14:paraId="2FECAFF0" w14:textId="1961B09B" w:rsidR="00491B17" w:rsidRPr="00E80A17" w:rsidRDefault="005712E4" w:rsidP="005712E4">
      <w:r w:rsidRPr="00E80A17">
        <w:t xml:space="preserve">Glava 00102: </w:t>
      </w:r>
      <w:r w:rsidR="00491B17" w:rsidRPr="00E80A17">
        <w:t>Upravni odjel za opće poslove</w:t>
      </w:r>
      <w:r w:rsidRPr="00E80A17">
        <w:t xml:space="preserve"> – rashodi </w:t>
      </w:r>
      <w:r w:rsidR="00692BD3">
        <w:t xml:space="preserve">i izdaci </w:t>
      </w:r>
      <w:r w:rsidRPr="00E80A17">
        <w:t xml:space="preserve">su ostvareni u ukupnom iznosu od </w:t>
      </w:r>
      <w:r w:rsidR="001D30BC">
        <w:t>8.186.604,40</w:t>
      </w:r>
      <w:r w:rsidR="0034494B" w:rsidRPr="00E80A17">
        <w:t xml:space="preserve"> </w:t>
      </w:r>
      <w:r w:rsidRPr="00E80A17">
        <w:t xml:space="preserve">kuna ili </w:t>
      </w:r>
      <w:r w:rsidR="00FB0492">
        <w:t>86,43</w:t>
      </w:r>
      <w:r w:rsidRPr="00E80A17">
        <w:t>% od plan</w:t>
      </w:r>
      <w:r w:rsidR="00D56D46" w:rsidRPr="00E80A17">
        <w:t>a</w:t>
      </w:r>
      <w:r w:rsidRPr="00E80A17">
        <w:t xml:space="preserve">. </w:t>
      </w:r>
    </w:p>
    <w:p w14:paraId="26264AC7" w14:textId="77777777" w:rsidR="00E7734A" w:rsidRPr="00E80A17" w:rsidRDefault="00E7734A" w:rsidP="005712E4"/>
    <w:p w14:paraId="260F7DCD" w14:textId="41ADFDFA" w:rsidR="00F77370" w:rsidRDefault="00491B17" w:rsidP="005712E4">
      <w:r w:rsidRPr="00E80A17">
        <w:t xml:space="preserve">Program: Redovna djelatnost upravnih odjela – rashodi u ukupnom iznosu od </w:t>
      </w:r>
      <w:r w:rsidR="00FB0492">
        <w:t>5.113.649,42</w:t>
      </w:r>
      <w:r w:rsidR="0034494B" w:rsidRPr="00E80A17">
        <w:t xml:space="preserve"> </w:t>
      </w:r>
      <w:r w:rsidRPr="00E80A17">
        <w:t xml:space="preserve">kuna </w:t>
      </w:r>
      <w:r w:rsidR="005712E4" w:rsidRPr="00E80A17">
        <w:t xml:space="preserve">odnose se na rashode za zaposlene u </w:t>
      </w:r>
      <w:r w:rsidR="00E70BA7" w:rsidRPr="00E80A17">
        <w:t>U</w:t>
      </w:r>
      <w:r w:rsidR="005712E4" w:rsidRPr="00E80A17">
        <w:t>pravnom odjelu (</w:t>
      </w:r>
      <w:r w:rsidR="00FB0492">
        <w:t>1.412.159,96</w:t>
      </w:r>
      <w:r w:rsidR="005712E4" w:rsidRPr="00E80A17">
        <w:t xml:space="preserve"> kn), materijalne i financijske rashode (</w:t>
      </w:r>
      <w:r w:rsidR="00FB0492">
        <w:t>1.495.386,97</w:t>
      </w:r>
      <w:r w:rsidR="00E70BA7" w:rsidRPr="00E80A17">
        <w:t xml:space="preserve"> kn)</w:t>
      </w:r>
      <w:r w:rsidR="005712E4" w:rsidRPr="00E80A17">
        <w:t xml:space="preserve"> </w:t>
      </w:r>
      <w:r w:rsidR="00CA0A11">
        <w:t>te</w:t>
      </w:r>
      <w:r w:rsidR="005712E4" w:rsidRPr="00E80A17">
        <w:t xml:space="preserve"> rashode za nabavu opreme </w:t>
      </w:r>
      <w:r w:rsidR="00E70BA7" w:rsidRPr="00E80A17">
        <w:t>za potrebe</w:t>
      </w:r>
      <w:r w:rsidR="00951E51" w:rsidRPr="00E80A17">
        <w:t xml:space="preserve"> </w:t>
      </w:r>
      <w:r w:rsidR="00CA0A11">
        <w:t>u</w:t>
      </w:r>
      <w:r w:rsidR="005712E4" w:rsidRPr="00E80A17">
        <w:t>prav</w:t>
      </w:r>
      <w:r w:rsidR="00E70BA7" w:rsidRPr="00E80A17">
        <w:t>nih odjela</w:t>
      </w:r>
      <w:r w:rsidR="005712E4" w:rsidRPr="00E80A17">
        <w:t xml:space="preserve"> (</w:t>
      </w:r>
      <w:r w:rsidR="004A6EAC">
        <w:t xml:space="preserve">39.672,45 </w:t>
      </w:r>
      <w:r w:rsidR="005712E4" w:rsidRPr="00E80A17">
        <w:t>kn)</w:t>
      </w:r>
      <w:r w:rsidR="00D92C1C">
        <w:t xml:space="preserve"> i</w:t>
      </w:r>
      <w:r w:rsidR="00CA0A11">
        <w:t xml:space="preserve"> kamate po kreditima </w:t>
      </w:r>
      <w:r w:rsidR="005B05AA">
        <w:t>(</w:t>
      </w:r>
      <w:r w:rsidR="00FB0492">
        <w:t>67.421,33</w:t>
      </w:r>
      <w:r w:rsidR="005B05AA">
        <w:t xml:space="preserve"> kn)</w:t>
      </w:r>
      <w:r w:rsidR="00F77370">
        <w:t>.</w:t>
      </w:r>
      <w:r w:rsidR="005B05AA">
        <w:t xml:space="preserve"> </w:t>
      </w:r>
      <w:r w:rsidR="00CA0A11">
        <w:t>Izdaci za otplatu kredita odnose se na otplatu kratkoročnog kredita (</w:t>
      </w:r>
      <w:r w:rsidR="00FB0492">
        <w:t>1</w:t>
      </w:r>
      <w:r w:rsidR="00F77370">
        <w:t>.427.142,42</w:t>
      </w:r>
      <w:r w:rsidR="00CA0A11">
        <w:t xml:space="preserve"> kn)</w:t>
      </w:r>
      <w:r w:rsidR="00F77370">
        <w:t>, otplatu glavnice anuiteta dugoročn</w:t>
      </w:r>
      <w:r w:rsidR="00FB0492">
        <w:t>ih</w:t>
      </w:r>
      <w:r w:rsidR="00F77370">
        <w:t xml:space="preserve"> kredita</w:t>
      </w:r>
      <w:r w:rsidR="00CA0A11">
        <w:t xml:space="preserve"> </w:t>
      </w:r>
      <w:r w:rsidR="00F77370">
        <w:t>(</w:t>
      </w:r>
      <w:r w:rsidR="00FB0492">
        <w:t>196.468,54</w:t>
      </w:r>
      <w:r w:rsidR="00F77370">
        <w:t xml:space="preserve"> kn) te </w:t>
      </w:r>
      <w:r w:rsidR="00D92C1C">
        <w:t xml:space="preserve">na </w:t>
      </w:r>
      <w:r w:rsidR="00F77370">
        <w:t>pov</w:t>
      </w:r>
      <w:r w:rsidR="00BC3DB4">
        <w:t>ra</w:t>
      </w:r>
      <w:r w:rsidR="00F77370">
        <w:t>t zajmova Ministarstv</w:t>
      </w:r>
      <w:r w:rsidR="00FB0492">
        <w:t>a</w:t>
      </w:r>
      <w:r w:rsidR="00F77370">
        <w:t xml:space="preserve"> financija (</w:t>
      </w:r>
      <w:r w:rsidR="00FB0492">
        <w:t>4</w:t>
      </w:r>
      <w:r w:rsidR="00F77370">
        <w:t>75.</w:t>
      </w:r>
      <w:r w:rsidR="004A6EAC">
        <w:t>397,75</w:t>
      </w:r>
      <w:r w:rsidR="00F77370">
        <w:t xml:space="preserve"> kn).</w:t>
      </w:r>
      <w:r w:rsidR="00A67599">
        <w:t xml:space="preserve"> Manje od planiranog ostvareni su materijalni i financijski rashodi te rashodi za nabavu opreme i namještaja.</w:t>
      </w:r>
    </w:p>
    <w:p w14:paraId="3B59DC38" w14:textId="77777777" w:rsidR="005B05AA" w:rsidRPr="00E80A17" w:rsidRDefault="005B05AA" w:rsidP="005712E4"/>
    <w:p w14:paraId="01621369" w14:textId="673776B0" w:rsidR="000B0134" w:rsidRDefault="00E72145" w:rsidP="005712E4">
      <w:r w:rsidRPr="00E80A17">
        <w:t>Program: Javne potrebe u području kulture</w:t>
      </w:r>
      <w:r w:rsidR="005712E4" w:rsidRPr="00E80A17">
        <w:t xml:space="preserve"> – rashodi su ostvareni u </w:t>
      </w:r>
      <w:r w:rsidR="00B23285" w:rsidRPr="00E80A17">
        <w:t xml:space="preserve">ukupnom </w:t>
      </w:r>
      <w:r w:rsidR="005712E4" w:rsidRPr="00E80A17">
        <w:t xml:space="preserve">iznosu od </w:t>
      </w:r>
      <w:r w:rsidR="00A67599">
        <w:t>343.820,31</w:t>
      </w:r>
      <w:r w:rsidR="005712E4" w:rsidRPr="00E80A17">
        <w:t xml:space="preserve"> kuna</w:t>
      </w:r>
      <w:r w:rsidR="00A67599">
        <w:t xml:space="preserve"> i</w:t>
      </w:r>
      <w:r w:rsidR="002270FE">
        <w:t>li 97,59% od planiranog</w:t>
      </w:r>
      <w:r w:rsidR="000B0134">
        <w:t>,</w:t>
      </w:r>
      <w:r w:rsidR="005B05AA">
        <w:t xml:space="preserve"> </w:t>
      </w:r>
      <w:r w:rsidR="000B0134">
        <w:t>a</w:t>
      </w:r>
      <w:r w:rsidR="005B05AA">
        <w:t xml:space="preserve"> odnose se na </w:t>
      </w:r>
      <w:r w:rsidR="000B0134">
        <w:t>donacije ud</w:t>
      </w:r>
      <w:r w:rsidR="00BC3DB4">
        <w:t>r</w:t>
      </w:r>
      <w:r w:rsidR="000B0134">
        <w:t>ugama po sklopljenim ugovorima u skladu s provedenim Javnim pozivom za financiranje (125.000,00 kn)</w:t>
      </w:r>
      <w:r w:rsidR="002270FE">
        <w:t xml:space="preserve">, na rashode vezane uz organizaciju manifestacije Festival </w:t>
      </w:r>
      <w:proofErr w:type="spellStart"/>
      <w:r w:rsidR="002270FE">
        <w:t>dell'Istroveneto</w:t>
      </w:r>
      <w:proofErr w:type="spellEnd"/>
      <w:r w:rsidR="000B0134">
        <w:t xml:space="preserve"> </w:t>
      </w:r>
      <w:r w:rsidR="002270FE">
        <w:t xml:space="preserve">(50.000,00 kn) </w:t>
      </w:r>
      <w:r w:rsidR="000B0134">
        <w:t xml:space="preserve">te </w:t>
      </w:r>
      <w:r w:rsidR="00D92C1C">
        <w:t xml:space="preserve">na </w:t>
      </w:r>
      <w:r w:rsidR="005B05AA">
        <w:t xml:space="preserve">rashode </w:t>
      </w:r>
      <w:r w:rsidR="000B0134">
        <w:t>vezane uz realizaciju projekta i</w:t>
      </w:r>
      <w:r w:rsidR="00D92C1C">
        <w:t>zdavanja</w:t>
      </w:r>
      <w:r w:rsidR="000B0134">
        <w:t xml:space="preserve"> Bujskog Statuta (</w:t>
      </w:r>
      <w:r w:rsidR="00A67599">
        <w:t>168.820,31</w:t>
      </w:r>
      <w:r w:rsidR="000B0134">
        <w:t xml:space="preserve"> kn). </w:t>
      </w:r>
    </w:p>
    <w:p w14:paraId="2A8F4610" w14:textId="77777777" w:rsidR="005712E4" w:rsidRPr="00E80A17" w:rsidRDefault="005712E4" w:rsidP="005712E4"/>
    <w:p w14:paraId="557FA004" w14:textId="60E66BC1" w:rsidR="005727EC" w:rsidRDefault="00E72145" w:rsidP="005712E4">
      <w:r w:rsidRPr="00E80A17">
        <w:t>Program</w:t>
      </w:r>
      <w:r w:rsidR="005712E4" w:rsidRPr="00E80A17">
        <w:t xml:space="preserve">: </w:t>
      </w:r>
      <w:r w:rsidRPr="00E80A17">
        <w:t xml:space="preserve">Javne potrebe u području školstva, obrazovanja i mladih </w:t>
      </w:r>
      <w:r w:rsidR="005712E4" w:rsidRPr="00E80A17">
        <w:t xml:space="preserve">– rashodi su ostvareni u iznosu od </w:t>
      </w:r>
      <w:r w:rsidR="002270FE">
        <w:t>630.760,13</w:t>
      </w:r>
      <w:r w:rsidR="005712E4" w:rsidRPr="00E80A17">
        <w:t xml:space="preserve"> kuna ili </w:t>
      </w:r>
      <w:r w:rsidR="002270FE">
        <w:t>84,05</w:t>
      </w:r>
      <w:r w:rsidR="005712E4" w:rsidRPr="00E80A17">
        <w:t xml:space="preserve">% od plana. Isplaćene pomoći </w:t>
      </w:r>
      <w:r w:rsidR="005B05AA">
        <w:t xml:space="preserve">osnovnim </w:t>
      </w:r>
      <w:r w:rsidR="005712E4" w:rsidRPr="00E80A17">
        <w:t>školama (</w:t>
      </w:r>
      <w:r w:rsidR="00566A63">
        <w:t>447.460,13</w:t>
      </w:r>
      <w:r w:rsidR="005712E4" w:rsidRPr="00E80A17">
        <w:t xml:space="preserve"> kn) namijenjene su dodatnoj skrbi o školskoj djeci </w:t>
      </w:r>
      <w:r w:rsidR="005727EC">
        <w:t>odnosno</w:t>
      </w:r>
      <w:r w:rsidR="00BC3DB4">
        <w:t xml:space="preserve"> </w:t>
      </w:r>
      <w:r w:rsidR="005727EC">
        <w:t>sufinanciranj</w:t>
      </w:r>
      <w:r w:rsidR="00BC3DB4">
        <w:t>u</w:t>
      </w:r>
      <w:r w:rsidR="005727EC">
        <w:t xml:space="preserve"> </w:t>
      </w:r>
      <w:r w:rsidR="005712E4" w:rsidRPr="00E80A17">
        <w:t>produžen</w:t>
      </w:r>
      <w:r w:rsidR="005727EC">
        <w:t>og</w:t>
      </w:r>
      <w:r w:rsidR="005712E4" w:rsidRPr="00E80A17">
        <w:t xml:space="preserve"> boravk</w:t>
      </w:r>
      <w:r w:rsidR="005727EC">
        <w:t>a djece.</w:t>
      </w:r>
      <w:r w:rsidR="005B05AA">
        <w:t xml:space="preserve"> </w:t>
      </w:r>
      <w:r w:rsidR="00BC3DB4">
        <w:t>Osim toga, s</w:t>
      </w:r>
      <w:r w:rsidR="00B002AD" w:rsidRPr="00E80A17">
        <w:t>ufinancirani su troškovi prijevoza za srednjoškolce (</w:t>
      </w:r>
      <w:r w:rsidR="00566A63">
        <w:t>15.200,00</w:t>
      </w:r>
      <w:r w:rsidR="00B002AD" w:rsidRPr="00E80A17">
        <w:t xml:space="preserve"> kn)</w:t>
      </w:r>
      <w:r w:rsidR="005727EC">
        <w:t xml:space="preserve">, </w:t>
      </w:r>
      <w:r w:rsidR="005712E4" w:rsidRPr="00E80A17">
        <w:t>isplaćene</w:t>
      </w:r>
      <w:r w:rsidR="005727EC">
        <w:t xml:space="preserve"> su</w:t>
      </w:r>
      <w:r w:rsidR="005712E4" w:rsidRPr="00E80A17">
        <w:t xml:space="preserve"> stipendije učenicima i studentima (</w:t>
      </w:r>
      <w:r w:rsidR="00566A63">
        <w:t>166.600,00</w:t>
      </w:r>
      <w:r w:rsidR="005712E4" w:rsidRPr="00E80A17">
        <w:t xml:space="preserve"> kn)</w:t>
      </w:r>
      <w:r w:rsidR="005727EC">
        <w:t xml:space="preserve"> te donacija udruzi studenata (1.500,00 kn)</w:t>
      </w:r>
      <w:r w:rsidR="000F6CC3">
        <w:t xml:space="preserve">. </w:t>
      </w:r>
      <w:r w:rsidR="005727EC">
        <w:t>Radi epidemi</w:t>
      </w:r>
      <w:r w:rsidR="00BC3DB4">
        <w:t>o</w:t>
      </w:r>
      <w:r w:rsidR="005727EC">
        <w:t>loški</w:t>
      </w:r>
      <w:r w:rsidR="0069020B">
        <w:t>h</w:t>
      </w:r>
      <w:r w:rsidR="005727EC">
        <w:t xml:space="preserve"> mjera nastava se određeno vrijeme održavala na daljinu te su rashodi za produženi boravak realizirani manje od planiranog</w:t>
      </w:r>
      <w:r w:rsidR="005B6B78">
        <w:t>. Nekoliko stipendista je završilo studij ili dobilo druge stipendije te su rashodi za studentske stipen</w:t>
      </w:r>
      <w:r w:rsidR="004A291E">
        <w:t>d</w:t>
      </w:r>
      <w:r w:rsidR="005B6B78">
        <w:t>ije ostvareni nešto manje od plana</w:t>
      </w:r>
      <w:r w:rsidR="00566A63">
        <w:t>.</w:t>
      </w:r>
    </w:p>
    <w:p w14:paraId="1C2A9462" w14:textId="77777777" w:rsidR="005727EC" w:rsidRDefault="005727EC" w:rsidP="005712E4"/>
    <w:p w14:paraId="288B2402" w14:textId="64EDE4E6" w:rsidR="005712E4" w:rsidRDefault="006E60BB" w:rsidP="005712E4">
      <w:r w:rsidRPr="00E80A17">
        <w:t>Program</w:t>
      </w:r>
      <w:r w:rsidR="005712E4" w:rsidRPr="00E80A17">
        <w:t xml:space="preserve">: </w:t>
      </w:r>
      <w:r w:rsidRPr="00E80A17">
        <w:t xml:space="preserve">Javne potrebe u sportu </w:t>
      </w:r>
      <w:r w:rsidR="005712E4" w:rsidRPr="00E80A17">
        <w:t>i rekreacij</w:t>
      </w:r>
      <w:r w:rsidRPr="00E80A17">
        <w:t>i</w:t>
      </w:r>
      <w:r w:rsidR="005712E4" w:rsidRPr="00E80A17">
        <w:t xml:space="preserve"> – rashodi su ostvareni u </w:t>
      </w:r>
      <w:r w:rsidR="00F932DD">
        <w:t xml:space="preserve">planiranom </w:t>
      </w:r>
      <w:r w:rsidR="005712E4" w:rsidRPr="00E80A17">
        <w:t xml:space="preserve">iznosu od </w:t>
      </w:r>
      <w:r w:rsidR="00F932DD">
        <w:t>760.000,00</w:t>
      </w:r>
      <w:r w:rsidR="00A0413B" w:rsidRPr="00E80A17">
        <w:t xml:space="preserve"> </w:t>
      </w:r>
      <w:r w:rsidR="005712E4" w:rsidRPr="00E80A17">
        <w:t>kuna</w:t>
      </w:r>
      <w:r w:rsidR="00F932DD">
        <w:t>.</w:t>
      </w:r>
      <w:r w:rsidR="0069020B">
        <w:t xml:space="preserve"> </w:t>
      </w:r>
      <w:r w:rsidR="00F932DD">
        <w:t>I</w:t>
      </w:r>
      <w:r w:rsidR="005727EC">
        <w:t xml:space="preserve">znos od </w:t>
      </w:r>
      <w:r w:rsidR="00F932DD">
        <w:t>745.000</w:t>
      </w:r>
      <w:r w:rsidR="005727EC">
        <w:t xml:space="preserve">,00 kn odnosi </w:t>
      </w:r>
      <w:r w:rsidR="0069020B">
        <w:t xml:space="preserve">se </w:t>
      </w:r>
      <w:r w:rsidR="005727EC">
        <w:t>na redo</w:t>
      </w:r>
      <w:r w:rsidR="00BC3DB4">
        <w:t>v</w:t>
      </w:r>
      <w:r w:rsidR="005727EC">
        <w:t>no financiranje Sportske zajednice, a razlika od 15.000,00 kn na donacije sportskim i rekreativnim udrugama temeljem sklopljenih ugovora po provedenom Javnom pozivu za financiranje</w:t>
      </w:r>
      <w:r w:rsidR="005712E4" w:rsidRPr="00E80A17">
        <w:t>.</w:t>
      </w:r>
    </w:p>
    <w:p w14:paraId="7CF1213D" w14:textId="77777777" w:rsidR="0001560E" w:rsidRPr="00E80A17" w:rsidRDefault="0001560E" w:rsidP="005712E4"/>
    <w:p w14:paraId="49950A0F" w14:textId="0B07DC65" w:rsidR="0097375A" w:rsidRPr="00E80A17" w:rsidRDefault="006E60BB" w:rsidP="0097375A">
      <w:r w:rsidRPr="00E80A17">
        <w:t>Program</w:t>
      </w:r>
      <w:r w:rsidR="005712E4" w:rsidRPr="00E80A17">
        <w:t xml:space="preserve">: </w:t>
      </w:r>
      <w:r w:rsidR="00721FD8" w:rsidRPr="00E80A17">
        <w:t>S</w:t>
      </w:r>
      <w:r w:rsidR="005712E4" w:rsidRPr="00E80A17">
        <w:t xml:space="preserve">ocijalna skrb </w:t>
      </w:r>
      <w:r w:rsidR="00721FD8" w:rsidRPr="00E80A17">
        <w:t xml:space="preserve">i zdravstvo </w:t>
      </w:r>
      <w:r w:rsidR="005712E4" w:rsidRPr="00E80A17">
        <w:t xml:space="preserve">– rashodi su ostvareni u ukupnom iznosu od </w:t>
      </w:r>
      <w:r w:rsidR="00F932DD">
        <w:t>1.064.833,00</w:t>
      </w:r>
      <w:r w:rsidR="005712E4" w:rsidRPr="00E80A17">
        <w:t xml:space="preserve"> kuna ili </w:t>
      </w:r>
      <w:r w:rsidR="00F932DD">
        <w:t>86,73</w:t>
      </w:r>
      <w:r w:rsidR="005712E4" w:rsidRPr="00E80A17">
        <w:t>% od plana. Gradsk</w:t>
      </w:r>
      <w:r w:rsidR="00FB4A76">
        <w:t>om</w:t>
      </w:r>
      <w:r w:rsidR="005712E4" w:rsidRPr="00E80A17">
        <w:t xml:space="preserve"> društv</w:t>
      </w:r>
      <w:r w:rsidR="00FB4A76">
        <w:t>u</w:t>
      </w:r>
      <w:r w:rsidR="005712E4" w:rsidRPr="00E80A17">
        <w:t xml:space="preserve"> Crvenog križa </w:t>
      </w:r>
      <w:r w:rsidR="00F3134B">
        <w:t xml:space="preserve">doznačena su sredstva za </w:t>
      </w:r>
      <w:r w:rsidR="00FB4A76">
        <w:t>redovn</w:t>
      </w:r>
      <w:r w:rsidR="00F3134B">
        <w:t>u</w:t>
      </w:r>
      <w:r w:rsidR="00FB4A76">
        <w:t xml:space="preserve"> djelatnost i</w:t>
      </w:r>
      <w:r w:rsidR="00016E6D">
        <w:t xml:space="preserve"> </w:t>
      </w:r>
      <w:r w:rsidR="00F3134B">
        <w:t xml:space="preserve">za sufinanciranje </w:t>
      </w:r>
      <w:r w:rsidR="00016E6D">
        <w:t xml:space="preserve">projekta Pomoć u kući </w:t>
      </w:r>
      <w:r w:rsidR="005712E4" w:rsidRPr="00E80A17">
        <w:t>(</w:t>
      </w:r>
      <w:r w:rsidR="00F932DD">
        <w:t>210.720,00</w:t>
      </w:r>
      <w:r w:rsidR="005712E4" w:rsidRPr="00E80A17">
        <w:t xml:space="preserve"> kn), a ustanovama iz oblasti socijalne skrbi i </w:t>
      </w:r>
      <w:r w:rsidRPr="00E80A17">
        <w:t>zdravstva doznačene su pomoći (</w:t>
      </w:r>
      <w:r w:rsidR="00F932DD">
        <w:t>209.160,00</w:t>
      </w:r>
      <w:r w:rsidR="005712E4" w:rsidRPr="00E80A17">
        <w:t xml:space="preserve"> kn)</w:t>
      </w:r>
      <w:r w:rsidR="0069020B">
        <w:t>. S</w:t>
      </w:r>
      <w:r w:rsidR="00FB4A76">
        <w:t>u</w:t>
      </w:r>
      <w:r w:rsidR="005712E4" w:rsidRPr="00E80A17">
        <w:t xml:space="preserve">financiran je rad medicinsko biokemijskog laboratorija u Bujama, </w:t>
      </w:r>
      <w:r w:rsidR="00016E6D">
        <w:t xml:space="preserve">Doma za starije osobe Novigrad, </w:t>
      </w:r>
      <w:r w:rsidR="005712E4" w:rsidRPr="00E80A17">
        <w:t xml:space="preserve">Dnevnog </w:t>
      </w:r>
      <w:r w:rsidRPr="00E80A17">
        <w:t>centra za rehabilitaciju Veruda</w:t>
      </w:r>
      <w:r w:rsidR="008F46BE">
        <w:t>, Doma za odrasle osobe Vila Maria Pula</w:t>
      </w:r>
      <w:r w:rsidR="00A94FE1">
        <w:t>.</w:t>
      </w:r>
      <w:r w:rsidR="0069020B">
        <w:t xml:space="preserve"> </w:t>
      </w:r>
      <w:r w:rsidR="00A94FE1">
        <w:t>T</w:t>
      </w:r>
      <w:r w:rsidR="008F46BE">
        <w:t xml:space="preserve">emeljem </w:t>
      </w:r>
      <w:r w:rsidR="008F46BE">
        <w:lastRenderedPageBreak/>
        <w:t>Sporazuma s Istarskim domovima zdravlja sufina</w:t>
      </w:r>
      <w:r w:rsidR="004A291E">
        <w:t>n</w:t>
      </w:r>
      <w:r w:rsidR="008F46BE">
        <w:t>ciran je smještaj liječnika obiteljske medic</w:t>
      </w:r>
      <w:r w:rsidR="004A291E">
        <w:t>i</w:t>
      </w:r>
      <w:r w:rsidR="008F46BE">
        <w:t>ne</w:t>
      </w:r>
      <w:r w:rsidR="0069020B">
        <w:t>, a</w:t>
      </w:r>
      <w:r w:rsidRPr="00E80A17">
        <w:t xml:space="preserve"> </w:t>
      </w:r>
      <w:r w:rsidR="0069020B" w:rsidRPr="00E80A17">
        <w:t xml:space="preserve">temeljem Sporazuma </w:t>
      </w:r>
      <w:r w:rsidR="0069020B">
        <w:t xml:space="preserve">gradova i općina </w:t>
      </w:r>
      <w:r w:rsidR="0069020B" w:rsidRPr="00E80A17">
        <w:t>Istarske županije</w:t>
      </w:r>
      <w:r w:rsidR="0069020B">
        <w:t xml:space="preserve"> </w:t>
      </w:r>
      <w:r w:rsidR="005712E4" w:rsidRPr="00E80A17">
        <w:t>doznačen</w:t>
      </w:r>
      <w:r w:rsidR="00E716DF" w:rsidRPr="00E80A17">
        <w:t xml:space="preserve">a </w:t>
      </w:r>
      <w:r w:rsidR="0069020B">
        <w:t xml:space="preserve">je </w:t>
      </w:r>
      <w:r w:rsidR="005712E4" w:rsidRPr="00E80A17">
        <w:t xml:space="preserve">pomoć za </w:t>
      </w:r>
      <w:r w:rsidR="00FB4A76">
        <w:t xml:space="preserve">redovan </w:t>
      </w:r>
      <w:r w:rsidR="005712E4" w:rsidRPr="00E80A17">
        <w:t xml:space="preserve">rad </w:t>
      </w:r>
      <w:r w:rsidR="00016E6D">
        <w:t xml:space="preserve">i </w:t>
      </w:r>
      <w:r w:rsidR="00D349BC">
        <w:t xml:space="preserve">za </w:t>
      </w:r>
      <w:r w:rsidR="00016E6D">
        <w:t>smještaj djelatni</w:t>
      </w:r>
      <w:r w:rsidR="00FB4A76">
        <w:t>k</w:t>
      </w:r>
      <w:r w:rsidR="00016E6D">
        <w:t xml:space="preserve">a </w:t>
      </w:r>
      <w:r w:rsidR="005712E4" w:rsidRPr="00E80A17">
        <w:t>Hitne medicinske pomoći</w:t>
      </w:r>
      <w:r w:rsidR="0001560E">
        <w:t>.</w:t>
      </w:r>
      <w:r w:rsidR="005712E4" w:rsidRPr="00E80A17">
        <w:t xml:space="preserve"> Socijalne potpore stanovništvu isplaćivane su temeljem </w:t>
      </w:r>
      <w:r w:rsidR="00493338" w:rsidRPr="00E80A17">
        <w:t>prijedloga</w:t>
      </w:r>
      <w:r w:rsidR="005712E4" w:rsidRPr="00E80A17">
        <w:t xml:space="preserve"> Socijalnog vijeća i u skladu s Odlukom o socijalnoj skrbi Grada Buja</w:t>
      </w:r>
      <w:r w:rsidR="00CD7FEC" w:rsidRPr="00E80A17">
        <w:t xml:space="preserve"> te temeljem Zaključaka gradonačelnika</w:t>
      </w:r>
      <w:r w:rsidR="005712E4" w:rsidRPr="00E80A17">
        <w:t xml:space="preserve"> (</w:t>
      </w:r>
      <w:r w:rsidR="00714818">
        <w:t>385.616,98</w:t>
      </w:r>
      <w:r w:rsidR="005712E4" w:rsidRPr="00E80A17">
        <w:t xml:space="preserve"> kn). </w:t>
      </w:r>
      <w:r w:rsidR="00A12E8B">
        <w:t xml:space="preserve">Po provedenom Javnom pozivu za financiranje udruga, sklopljeni su ugovori i doznačene </w:t>
      </w:r>
      <w:r w:rsidR="00D349BC">
        <w:t xml:space="preserve">ugovorene </w:t>
      </w:r>
      <w:r w:rsidR="00A12E8B">
        <w:t xml:space="preserve">donacije (15.500,00 kn). </w:t>
      </w:r>
      <w:r w:rsidR="00D349BC">
        <w:t>D</w:t>
      </w:r>
      <w:r w:rsidR="005712E4" w:rsidRPr="00E80A17">
        <w:t>onacije</w:t>
      </w:r>
      <w:r w:rsidR="00D349BC">
        <w:t xml:space="preserve"> su doznačene i</w:t>
      </w:r>
      <w:r w:rsidR="005712E4" w:rsidRPr="00E80A17">
        <w:t xml:space="preserve"> </w:t>
      </w:r>
      <w:r w:rsidR="00354169">
        <w:t>Centru za inkluziju (36.000,00 kn)</w:t>
      </w:r>
      <w:r w:rsidR="00714818">
        <w:t>, Sigurnoj kući Istra (5.000,00 kn)</w:t>
      </w:r>
      <w:r w:rsidR="00354169">
        <w:t xml:space="preserve"> </w:t>
      </w:r>
      <w:r w:rsidR="00D349BC">
        <w:t>te</w:t>
      </w:r>
      <w:r w:rsidR="00354169">
        <w:t xml:space="preserve"> Društvu distrofičara Istre (</w:t>
      </w:r>
      <w:r w:rsidR="00714818">
        <w:t>30.818,18</w:t>
      </w:r>
      <w:r w:rsidR="00354169">
        <w:t xml:space="preserve"> kn).</w:t>
      </w:r>
      <w:r w:rsidR="00DD09FF" w:rsidRPr="00E80A17">
        <w:t xml:space="preserve"> </w:t>
      </w:r>
      <w:r w:rsidR="00714818">
        <w:t>U suradnji s</w:t>
      </w:r>
      <w:r w:rsidR="004A291E">
        <w:t>a</w:t>
      </w:r>
      <w:r w:rsidR="00714818">
        <w:t xml:space="preserve"> Zavodom za javno zdravstvo Ist</w:t>
      </w:r>
      <w:r w:rsidR="004A291E">
        <w:t>ar</w:t>
      </w:r>
      <w:r w:rsidR="00714818">
        <w:t xml:space="preserve">ske županije </w:t>
      </w:r>
      <w:r w:rsidR="00DE0C88">
        <w:t xml:space="preserve">financiran je rad Savjetovališta za prehranu i Savjetovališta za spolno zdravlje mladih u Bujama (32.000,00 kn). </w:t>
      </w:r>
      <w:r w:rsidR="00354169" w:rsidRPr="00E80A17">
        <w:t>Sufinanciran je tisak edukativnih brošura za djecu (</w:t>
      </w:r>
      <w:r w:rsidR="00714818">
        <w:t>14.001,11</w:t>
      </w:r>
      <w:r w:rsidR="00354169" w:rsidRPr="00E80A17">
        <w:t xml:space="preserve"> kn)</w:t>
      </w:r>
      <w:r w:rsidR="00354169">
        <w:t xml:space="preserve"> </w:t>
      </w:r>
      <w:r w:rsidR="0097375A">
        <w:t xml:space="preserve">i sponzoriran dokumentarni film (5.000,00 kn). Udruzi </w:t>
      </w:r>
      <w:proofErr w:type="spellStart"/>
      <w:r w:rsidR="0097375A">
        <w:t>ZiiD</w:t>
      </w:r>
      <w:proofErr w:type="spellEnd"/>
      <w:r w:rsidR="0097375A">
        <w:t xml:space="preserve"> doznačena je donacija radi provedbe programa Obiteljskog savjetovališta (</w:t>
      </w:r>
      <w:r w:rsidR="00714818">
        <w:t>49.999,51</w:t>
      </w:r>
      <w:r w:rsidR="0097375A">
        <w:t xml:space="preserve"> kn)</w:t>
      </w:r>
      <w:r w:rsidR="00D349BC">
        <w:t xml:space="preserve">, a </w:t>
      </w:r>
      <w:r w:rsidR="00DE0C88">
        <w:t xml:space="preserve">podmireni su </w:t>
      </w:r>
      <w:r w:rsidR="00D349BC">
        <w:t xml:space="preserve">i </w:t>
      </w:r>
      <w:r w:rsidR="00DE0C88">
        <w:t>materijalni rashodi savjetovališta (891,18 kn)</w:t>
      </w:r>
      <w:r w:rsidR="0097375A">
        <w:t>.</w:t>
      </w:r>
      <w:r w:rsidR="0097375A" w:rsidRPr="0097375A">
        <w:t xml:space="preserve"> </w:t>
      </w:r>
      <w:r w:rsidR="00FB4A76">
        <w:t xml:space="preserve">U skladu s </w:t>
      </w:r>
      <w:r w:rsidR="0097375A" w:rsidRPr="00E80A17">
        <w:t>Ugovor</w:t>
      </w:r>
      <w:r w:rsidR="00FB4A76">
        <w:t>om</w:t>
      </w:r>
      <w:r w:rsidR="0097375A" w:rsidRPr="00E80A17">
        <w:t xml:space="preserve"> o sufinanciranju dijela kreditne obveze za izgradnju i opremanje nove Opće bolnice u Puli </w:t>
      </w:r>
      <w:r w:rsidR="0097375A">
        <w:t xml:space="preserve">i Aneksa Ugovora </w:t>
      </w:r>
      <w:r w:rsidR="0097375A" w:rsidRPr="00E80A17">
        <w:t>koji je sklopljen s Istarskom županijom na rok od 19 godina u ukupnoj vrijednosti od 1.</w:t>
      </w:r>
      <w:r w:rsidR="0097375A">
        <w:t>099.532,59</w:t>
      </w:r>
      <w:r w:rsidR="0097375A" w:rsidRPr="00E80A17">
        <w:t xml:space="preserve"> kuna, dozna</w:t>
      </w:r>
      <w:r w:rsidR="00A12E8B">
        <w:t xml:space="preserve">čen je </w:t>
      </w:r>
      <w:r w:rsidR="0097375A" w:rsidRPr="00E80A17">
        <w:t>ugovoreni iznos pomoći za 20</w:t>
      </w:r>
      <w:r w:rsidR="00A12E8B">
        <w:t>21</w:t>
      </w:r>
      <w:r w:rsidR="0097375A" w:rsidRPr="00E80A17">
        <w:t>. godin</w:t>
      </w:r>
      <w:r w:rsidR="00714818">
        <w:t>u</w:t>
      </w:r>
      <w:r w:rsidR="0097375A" w:rsidRPr="00E80A17">
        <w:t xml:space="preserve"> (</w:t>
      </w:r>
      <w:r w:rsidR="00714818">
        <w:t>70.126,04</w:t>
      </w:r>
      <w:r w:rsidR="0097375A" w:rsidRPr="00E80A17">
        <w:t xml:space="preserve"> kn).</w:t>
      </w:r>
    </w:p>
    <w:p w14:paraId="75AFC6AD" w14:textId="28A1BD81" w:rsidR="0051274D" w:rsidRPr="00E80A17" w:rsidRDefault="00DE0C88" w:rsidP="005712E4">
      <w:r>
        <w:t>Z</w:t>
      </w:r>
      <w:r w:rsidR="00A12E8B">
        <w:t>bog</w:t>
      </w:r>
      <w:r w:rsidR="0051274D">
        <w:t xml:space="preserve"> </w:t>
      </w:r>
      <w:r w:rsidR="00FB4A76">
        <w:t xml:space="preserve">povremenog </w:t>
      </w:r>
      <w:r w:rsidR="0051274D">
        <w:t xml:space="preserve">zatvaranja škola i vrtića </w:t>
      </w:r>
      <w:r w:rsidR="00326CF0">
        <w:t xml:space="preserve">isplaćeno je manje </w:t>
      </w:r>
      <w:r w:rsidR="0051274D">
        <w:t xml:space="preserve">sredstava za sufinanciranje troškova prehrane i </w:t>
      </w:r>
      <w:r w:rsidR="00476B93">
        <w:t xml:space="preserve">troškova </w:t>
      </w:r>
      <w:r w:rsidR="0051274D">
        <w:t>boravka djece</w:t>
      </w:r>
      <w:r w:rsidR="008C0C05">
        <w:t xml:space="preserve">, a manje od planiranog </w:t>
      </w:r>
      <w:r w:rsidR="0017674A">
        <w:t xml:space="preserve">podneseni su zahtjevi i </w:t>
      </w:r>
      <w:r w:rsidR="008C0C05">
        <w:t>realiziran</w:t>
      </w:r>
      <w:r w:rsidR="0017674A">
        <w:t xml:space="preserve">a sredstva za </w:t>
      </w:r>
      <w:r w:rsidR="008C0C05">
        <w:t>potrebe podmiriva</w:t>
      </w:r>
      <w:r w:rsidR="0017674A">
        <w:t>nja</w:t>
      </w:r>
      <w:r w:rsidR="008C0C05">
        <w:t xml:space="preserve"> troškova stanovanja i isplat</w:t>
      </w:r>
      <w:r w:rsidR="0017674A">
        <w:t>u</w:t>
      </w:r>
      <w:r w:rsidR="008C0C05">
        <w:t xml:space="preserve"> pomoći za opremu novorođenčadi</w:t>
      </w:r>
      <w:r w:rsidR="00326CF0">
        <w:t>.</w:t>
      </w:r>
    </w:p>
    <w:p w14:paraId="7365C3E5" w14:textId="77777777" w:rsidR="005712E4" w:rsidRPr="00E80A17" w:rsidRDefault="005712E4" w:rsidP="005712E4">
      <w:pPr>
        <w:rPr>
          <w:sz w:val="20"/>
          <w:szCs w:val="20"/>
        </w:rPr>
      </w:pPr>
    </w:p>
    <w:p w14:paraId="384112AF" w14:textId="087FE36F" w:rsidR="00F34974" w:rsidRDefault="000F476E" w:rsidP="00EB1F05">
      <w:r w:rsidRPr="00E80A17">
        <w:t>Program</w:t>
      </w:r>
      <w:r w:rsidR="005712E4" w:rsidRPr="00E80A17">
        <w:t xml:space="preserve">: </w:t>
      </w:r>
      <w:r w:rsidR="00721FD8" w:rsidRPr="00E80A17">
        <w:t>Poticanje razvoja poljoprivrede</w:t>
      </w:r>
      <w:r w:rsidR="00326CF0">
        <w:t>,</w:t>
      </w:r>
      <w:r w:rsidR="00721FD8" w:rsidRPr="00E80A17">
        <w:t xml:space="preserve"> poduzetništva</w:t>
      </w:r>
      <w:r w:rsidR="00326CF0">
        <w:t xml:space="preserve"> i trećeg sektora</w:t>
      </w:r>
      <w:r w:rsidR="005712E4" w:rsidRPr="00E80A17">
        <w:t xml:space="preserve"> – rashodi su ostvareni u ukupnom iznosu od </w:t>
      </w:r>
      <w:r w:rsidR="008C0C05">
        <w:t>273.541,54</w:t>
      </w:r>
      <w:r w:rsidR="005712E4" w:rsidRPr="00E80A17">
        <w:t xml:space="preserve"> kuna ili </w:t>
      </w:r>
      <w:r w:rsidR="008C0C05">
        <w:t>33,71</w:t>
      </w:r>
      <w:r w:rsidR="005712E4" w:rsidRPr="00E80A17">
        <w:t>% od</w:t>
      </w:r>
      <w:r w:rsidRPr="00E80A17">
        <w:t xml:space="preserve"> </w:t>
      </w:r>
      <w:r w:rsidR="005712E4" w:rsidRPr="00E80A17">
        <w:t>plana</w:t>
      </w:r>
      <w:r w:rsidR="000F6394">
        <w:t xml:space="preserve">. Agronomskom fakultetu </w:t>
      </w:r>
      <w:r w:rsidR="004D5E2E">
        <w:t>iz</w:t>
      </w:r>
      <w:r w:rsidR="000F6394">
        <w:t xml:space="preserve"> Zagreb</w:t>
      </w:r>
      <w:r w:rsidR="004D5E2E">
        <w:t>a</w:t>
      </w:r>
      <w:r w:rsidR="000F6394">
        <w:t xml:space="preserve"> doznačena je pomoć za nastavak provedbe projekta održavanja kolekcije udomaćenih i autohtonih maslina (8.000,00 kn)</w:t>
      </w:r>
      <w:r w:rsidR="005438ED">
        <w:t>.</w:t>
      </w:r>
      <w:r w:rsidR="000F6394">
        <w:t xml:space="preserve"> </w:t>
      </w:r>
      <w:r w:rsidR="005438ED">
        <w:t>P</w:t>
      </w:r>
      <w:r w:rsidR="000F6394">
        <w:t>laćena je članarina Udruzi gradova vina (5.722,50 kn)</w:t>
      </w:r>
      <w:r w:rsidR="005438ED">
        <w:t>.</w:t>
      </w:r>
      <w:r w:rsidR="000F6394">
        <w:t xml:space="preserve"> </w:t>
      </w:r>
      <w:r w:rsidR="005438ED">
        <w:t>U</w:t>
      </w:r>
      <w:r w:rsidR="000F6394">
        <w:t>drugama su po provedenom Javnom pozivu i sklopljenim ugovorima dozn</w:t>
      </w:r>
      <w:r w:rsidR="00082F8B">
        <w:t>a</w:t>
      </w:r>
      <w:r w:rsidR="000F6394">
        <w:t>čene pomoći (12.000,00 kn)</w:t>
      </w:r>
      <w:r w:rsidR="005438ED">
        <w:t>.</w:t>
      </w:r>
      <w:r w:rsidR="000F6394">
        <w:t xml:space="preserve"> </w:t>
      </w:r>
      <w:r w:rsidR="005438ED">
        <w:t>N</w:t>
      </w:r>
      <w:r w:rsidR="000F6394">
        <w:t>astavljeno je s godišnjim financiranjem Fonda za poljoprivredu (15.000,00 kn)</w:t>
      </w:r>
      <w:r w:rsidR="005438ED">
        <w:t>.</w:t>
      </w:r>
      <w:r w:rsidR="00EB1F05">
        <w:t xml:space="preserve"> </w:t>
      </w:r>
      <w:r w:rsidR="005438ED">
        <w:t>U</w:t>
      </w:r>
      <w:r w:rsidR="00F3134B">
        <w:t>plaćena</w:t>
      </w:r>
      <w:r w:rsidR="00EB1F05">
        <w:t xml:space="preserve"> </w:t>
      </w:r>
      <w:r w:rsidR="00CC5E89">
        <w:t>su sredstva u</w:t>
      </w:r>
      <w:r w:rsidR="00EB1F05">
        <w:t xml:space="preserve"> fond Zaklade za razvoj civilnog društva (10.000,00)</w:t>
      </w:r>
      <w:r w:rsidR="005438ED">
        <w:t>.</w:t>
      </w:r>
      <w:r w:rsidR="009D7CBC">
        <w:t xml:space="preserve"> </w:t>
      </w:r>
      <w:r w:rsidR="005438ED">
        <w:t>P</w:t>
      </w:r>
      <w:r w:rsidR="009D7CBC">
        <w:t xml:space="preserve">odmireni su rashodi za </w:t>
      </w:r>
      <w:r w:rsidR="00F34974">
        <w:t xml:space="preserve">uslugu </w:t>
      </w:r>
      <w:r w:rsidR="00CC5E89">
        <w:t xml:space="preserve">provedbe natječajnog postupka po Pozivu za financiranje programa, projekata i aktivnosti </w:t>
      </w:r>
      <w:r w:rsidR="00F34974">
        <w:t xml:space="preserve">(23.700,00 kn), rashodi za </w:t>
      </w:r>
      <w:r w:rsidR="009D7CBC">
        <w:t xml:space="preserve">održavanje i nadogradnju </w:t>
      </w:r>
      <w:r w:rsidR="000203BE">
        <w:t xml:space="preserve">informatičkog </w:t>
      </w:r>
      <w:r w:rsidR="009D7CBC">
        <w:t xml:space="preserve">programa </w:t>
      </w:r>
      <w:r w:rsidR="000203BE">
        <w:t xml:space="preserve">za </w:t>
      </w:r>
      <w:r w:rsidR="009D7CBC">
        <w:t>raspolaganj</w:t>
      </w:r>
      <w:r w:rsidR="000203BE">
        <w:t>e</w:t>
      </w:r>
      <w:r w:rsidR="009D7CBC">
        <w:t xml:space="preserve"> poljoprivrednim zemljištem u vlasništvu R</w:t>
      </w:r>
      <w:r w:rsidR="00CC5E89">
        <w:t xml:space="preserve">epublike </w:t>
      </w:r>
      <w:r w:rsidR="009D7CBC">
        <w:t>H</w:t>
      </w:r>
      <w:r w:rsidR="00CC5E89">
        <w:t>rvatske</w:t>
      </w:r>
      <w:r w:rsidR="009D7CBC">
        <w:t xml:space="preserve"> ( </w:t>
      </w:r>
      <w:r w:rsidR="00E536E6">
        <w:t>24.90</w:t>
      </w:r>
      <w:r w:rsidR="009D7CBC">
        <w:t>0,00 kn)</w:t>
      </w:r>
      <w:r w:rsidR="005952B9">
        <w:t xml:space="preserve">, rashodi za izradu </w:t>
      </w:r>
      <w:r w:rsidR="00D13737">
        <w:t xml:space="preserve">geodetskih </w:t>
      </w:r>
      <w:r w:rsidR="005952B9">
        <w:t>elaborata</w:t>
      </w:r>
      <w:r w:rsidR="00D13737">
        <w:t xml:space="preserve">, </w:t>
      </w:r>
      <w:r w:rsidR="00FC2307">
        <w:t xml:space="preserve">rashodi za </w:t>
      </w:r>
      <w:r w:rsidR="00D13737">
        <w:t xml:space="preserve">terenski očevid </w:t>
      </w:r>
      <w:r w:rsidR="009D7CBC">
        <w:t>te troškovi i naknade za rad povjerenstava za provedbu natječaja za prodaju i zakup poljoprivrednog zemljišta (</w:t>
      </w:r>
      <w:r w:rsidR="00D13737">
        <w:t>80.956,99</w:t>
      </w:r>
      <w:r w:rsidR="009D7CBC">
        <w:t xml:space="preserve"> kn). Na osnovi Sporazuma o provedbi kreditne linije „Poduzetnik – Istarska županija 2020.“ subvencionirana je kamata poduzetnicima (</w:t>
      </w:r>
      <w:r w:rsidR="00D13737">
        <w:t>12.762,05</w:t>
      </w:r>
      <w:r w:rsidR="009D7CBC">
        <w:t xml:space="preserve"> kn).</w:t>
      </w:r>
      <w:r w:rsidR="00D13737">
        <w:t xml:space="preserve"> Istarskoj županiji doznačena je </w:t>
      </w:r>
      <w:r w:rsidR="00F34974">
        <w:t xml:space="preserve">pomoći za </w:t>
      </w:r>
      <w:r w:rsidR="00D13737">
        <w:t xml:space="preserve">izradu projektne dokumentacije </w:t>
      </w:r>
      <w:r w:rsidR="00F34974">
        <w:t>sustav</w:t>
      </w:r>
      <w:r w:rsidR="00D13737">
        <w:t>a</w:t>
      </w:r>
      <w:r w:rsidR="00F34974">
        <w:t xml:space="preserve"> javnog navodnjavanja „</w:t>
      </w:r>
      <w:proofErr w:type="spellStart"/>
      <w:r w:rsidR="00F34974">
        <w:t>Žmergo</w:t>
      </w:r>
      <w:proofErr w:type="spellEnd"/>
      <w:r w:rsidR="00F34974">
        <w:t>“</w:t>
      </w:r>
      <w:r w:rsidR="00082F8B">
        <w:t xml:space="preserve"> </w:t>
      </w:r>
      <w:r w:rsidR="00D13737">
        <w:t>(50.000,00 kn). U</w:t>
      </w:r>
      <w:r w:rsidR="00F34974">
        <w:t>dru</w:t>
      </w:r>
      <w:r w:rsidR="005438ED">
        <w:t>z</w:t>
      </w:r>
      <w:r w:rsidR="00F34974">
        <w:t xml:space="preserve">i Vino </w:t>
      </w:r>
      <w:proofErr w:type="spellStart"/>
      <w:r w:rsidR="00F34974">
        <w:t>Momil</w:t>
      </w:r>
      <w:r w:rsidR="00CE5045">
        <w:t>lianum</w:t>
      </w:r>
      <w:proofErr w:type="spellEnd"/>
      <w:r w:rsidR="00CE5045">
        <w:t xml:space="preserve"> </w:t>
      </w:r>
      <w:r w:rsidR="00D13737">
        <w:t>isplaćena je donacija za provedbu aktivnosti vezan</w:t>
      </w:r>
      <w:r w:rsidR="005438ED">
        <w:t>ih</w:t>
      </w:r>
      <w:r w:rsidR="00D13737">
        <w:t xml:space="preserve"> za </w:t>
      </w:r>
      <w:r w:rsidR="00CE5045">
        <w:t xml:space="preserve">projekt valorizacije </w:t>
      </w:r>
      <w:proofErr w:type="spellStart"/>
      <w:r w:rsidR="00CE5045">
        <w:t>momjanskog</w:t>
      </w:r>
      <w:proofErr w:type="spellEnd"/>
      <w:r w:rsidR="00CE5045">
        <w:t xml:space="preserve"> muškata </w:t>
      </w:r>
      <w:r w:rsidR="00D13737">
        <w:t xml:space="preserve">(25.000,00 kn). Nastavljena je suradnja s Institutom za poljoprivredu i turizam </w:t>
      </w:r>
      <w:r w:rsidR="00FC2307">
        <w:t xml:space="preserve">iz </w:t>
      </w:r>
      <w:r w:rsidR="00D13737">
        <w:t>Poreč</w:t>
      </w:r>
      <w:r w:rsidR="00FC2307">
        <w:t>a</w:t>
      </w:r>
      <w:r w:rsidR="00D13737">
        <w:t xml:space="preserve"> </w:t>
      </w:r>
      <w:r w:rsidR="005438ED">
        <w:t>radi održavanja</w:t>
      </w:r>
      <w:r w:rsidR="00D13737">
        <w:t xml:space="preserve"> </w:t>
      </w:r>
      <w:r w:rsidR="000254C9">
        <w:t>aplikacij</w:t>
      </w:r>
      <w:r w:rsidR="005438ED">
        <w:t>e</w:t>
      </w:r>
      <w:r w:rsidR="000254C9">
        <w:t xml:space="preserve"> web tržnic</w:t>
      </w:r>
      <w:r w:rsidR="005438ED">
        <w:t>a</w:t>
      </w:r>
      <w:r w:rsidR="000254C9">
        <w:t xml:space="preserve"> (5.000,00 kn) i plaćena </w:t>
      </w:r>
      <w:r w:rsidR="005438ED">
        <w:t xml:space="preserve">je </w:t>
      </w:r>
      <w:r w:rsidR="000254C9">
        <w:t>članarina Udru</w:t>
      </w:r>
      <w:r w:rsidR="004A2017">
        <w:t>z</w:t>
      </w:r>
      <w:r w:rsidR="000254C9">
        <w:t xml:space="preserve">i </w:t>
      </w:r>
      <w:proofErr w:type="spellStart"/>
      <w:r w:rsidR="000254C9">
        <w:t>modelna</w:t>
      </w:r>
      <w:proofErr w:type="spellEnd"/>
      <w:r w:rsidR="000254C9">
        <w:t xml:space="preserve"> šuma „Sliv rijeke Mirne“ (500,00 kn)</w:t>
      </w:r>
      <w:r w:rsidR="00CE5045">
        <w:t>.</w:t>
      </w:r>
    </w:p>
    <w:p w14:paraId="2894BCD8" w14:textId="1777B0B9" w:rsidR="004508F7" w:rsidRDefault="004508F7" w:rsidP="00EB1F05">
      <w:r>
        <w:t>Manje od planiranog realizirane su subvencije poduzetnicima po osnovi subvencioniranja kamat</w:t>
      </w:r>
      <w:r w:rsidR="00FC2307">
        <w:t>a po kreditima</w:t>
      </w:r>
      <w:r>
        <w:t xml:space="preserve"> radi </w:t>
      </w:r>
      <w:r w:rsidR="00FC2307">
        <w:t xml:space="preserve">manje </w:t>
      </w:r>
      <w:r>
        <w:t xml:space="preserve">iskazanog interesa za korištenjem </w:t>
      </w:r>
      <w:r w:rsidR="00FC2307">
        <w:t xml:space="preserve">raspoloživih </w:t>
      </w:r>
      <w:r>
        <w:t>sredstava kreditne linije „Poduzetnik – Istarska županija 2020.“</w:t>
      </w:r>
    </w:p>
    <w:p w14:paraId="33768FDA" w14:textId="77777777" w:rsidR="0051518B" w:rsidRPr="00E80A17" w:rsidRDefault="0051518B" w:rsidP="005712E4">
      <w:pPr>
        <w:rPr>
          <w:sz w:val="20"/>
          <w:szCs w:val="20"/>
        </w:rPr>
      </w:pPr>
    </w:p>
    <w:p w14:paraId="66797496" w14:textId="7806D602" w:rsidR="004A09E4" w:rsidRPr="00E80A17" w:rsidRDefault="004A09E4" w:rsidP="004A09E4">
      <w:r w:rsidRPr="00E80A17">
        <w:t>Glava 00103: Dječji vrtić</w:t>
      </w:r>
      <w:r w:rsidR="00C73786" w:rsidRPr="00E80A17">
        <w:t>i</w:t>
      </w:r>
      <w:r w:rsidRPr="00E80A17">
        <w:t xml:space="preserve"> – rashodi su ostvareni u ukupnom iznosu od </w:t>
      </w:r>
      <w:r w:rsidR="004F3787">
        <w:t>6.113.008,10</w:t>
      </w:r>
      <w:r w:rsidR="0058473C">
        <w:t xml:space="preserve"> </w:t>
      </w:r>
      <w:r w:rsidRPr="00E80A17">
        <w:t xml:space="preserve">kuna ili </w:t>
      </w:r>
      <w:r w:rsidR="004F3787">
        <w:t>95,78</w:t>
      </w:r>
      <w:r w:rsidRPr="00E80A17">
        <w:t xml:space="preserve">% od plana. </w:t>
      </w:r>
    </w:p>
    <w:p w14:paraId="5C7A88E4" w14:textId="5287A634" w:rsidR="005421E6" w:rsidRPr="00E80A17" w:rsidRDefault="004A09E4" w:rsidP="004A09E4">
      <w:r w:rsidRPr="00E80A17">
        <w:t xml:space="preserve">Rashodi se odnose na proračunske korisnike Grada Buja </w:t>
      </w:r>
      <w:r w:rsidR="00C23BDB" w:rsidRPr="00E80A17">
        <w:t>– Buie:</w:t>
      </w:r>
      <w:r w:rsidRPr="00E80A17">
        <w:t xml:space="preserve"> Dječji vrtić Buje i Talijanski dječji vrtić Mrvica. Proračunski korisnici iz sredstava proračuna namiruju rashode za </w:t>
      </w:r>
      <w:r w:rsidRPr="00E80A17">
        <w:lastRenderedPageBreak/>
        <w:t xml:space="preserve">zaposlene te dio materijalnih rashoda. U </w:t>
      </w:r>
      <w:r w:rsidR="008A16B0">
        <w:t>2021. godini</w:t>
      </w:r>
      <w:r w:rsidRPr="00E80A17">
        <w:t xml:space="preserve"> </w:t>
      </w:r>
      <w:r w:rsidR="00C935BE">
        <w:t>na teret</w:t>
      </w:r>
      <w:r w:rsidRPr="00E80A17">
        <w:t xml:space="preserve"> izvornih sredstava proračuna Grada Buja - Buie </w:t>
      </w:r>
      <w:r w:rsidR="00C935BE">
        <w:t>rashodi za rad dječjih vrtića realizirani su u iznosu od 4.575.266,98 kuna.</w:t>
      </w:r>
      <w:r w:rsidR="00910BE1" w:rsidRPr="00E80A17">
        <w:t xml:space="preserve"> </w:t>
      </w:r>
    </w:p>
    <w:p w14:paraId="63E269F8" w14:textId="521760CD" w:rsidR="004A09E4" w:rsidRPr="00E80A17" w:rsidRDefault="00C935BE" w:rsidP="004A09E4">
      <w:r>
        <w:t>R</w:t>
      </w:r>
      <w:r w:rsidR="004A09E4" w:rsidRPr="00E80A17">
        <w:t xml:space="preserve">ashodi financirani iz sredstava pomoći </w:t>
      </w:r>
      <w:r w:rsidR="00886258" w:rsidRPr="00E80A17">
        <w:t>po osnovi Ugovora o sufinanciranju rada dječjih vrtića te ostalih pomoći i</w:t>
      </w:r>
      <w:r w:rsidR="004A09E4" w:rsidRPr="00E80A17">
        <w:t xml:space="preserve"> donacija </w:t>
      </w:r>
      <w:r>
        <w:t xml:space="preserve">ostvareni su </w:t>
      </w:r>
      <w:r w:rsidR="004A09E4" w:rsidRPr="00E80A17">
        <w:t xml:space="preserve">u ukupnom iznosu od </w:t>
      </w:r>
      <w:r>
        <w:t>549.071,61</w:t>
      </w:r>
      <w:r w:rsidR="004A09E4" w:rsidRPr="00E80A17">
        <w:t xml:space="preserve"> kuna. </w:t>
      </w:r>
    </w:p>
    <w:p w14:paraId="00083274" w14:textId="2FD569BB" w:rsidR="004A09E4" w:rsidRPr="00E80A17" w:rsidRDefault="004A09E4" w:rsidP="004A09E4">
      <w:r w:rsidRPr="00E80A17">
        <w:t xml:space="preserve">Rashodi financirani iz vlastitih sredstava </w:t>
      </w:r>
      <w:r w:rsidR="009D54A3">
        <w:t xml:space="preserve">i participacija </w:t>
      </w:r>
      <w:r w:rsidRPr="00E80A17">
        <w:t xml:space="preserve">iznose ukupno </w:t>
      </w:r>
      <w:r w:rsidR="0018037A">
        <w:t>988.669,51</w:t>
      </w:r>
      <w:r w:rsidR="00910BE1" w:rsidRPr="00E80A17">
        <w:t xml:space="preserve"> </w:t>
      </w:r>
      <w:r w:rsidRPr="00E80A17">
        <w:t>kuna.</w:t>
      </w:r>
      <w:r w:rsidR="005F509B" w:rsidRPr="00E80A17">
        <w:t xml:space="preserve"> Participacijama roditelja podmireno je </w:t>
      </w:r>
      <w:r w:rsidR="0018037A">
        <w:t>15,74</w:t>
      </w:r>
      <w:r w:rsidR="005F509B" w:rsidRPr="00E80A17">
        <w:t>% ukupnih troškova rada dječjih vrtića.</w:t>
      </w:r>
      <w:r w:rsidR="00B34FA6">
        <w:t xml:space="preserve"> </w:t>
      </w:r>
    </w:p>
    <w:p w14:paraId="55843A12" w14:textId="0AE81A25" w:rsidR="004A09E4" w:rsidRPr="00E80A17" w:rsidRDefault="004A09E4" w:rsidP="004A09E4">
      <w:r w:rsidRPr="00E80A17">
        <w:t xml:space="preserve">Dječji vrtić Buje ostvario je ukupne rashode u iznosu od </w:t>
      </w:r>
      <w:r w:rsidR="0018037A">
        <w:t>3.826.145,10</w:t>
      </w:r>
      <w:r w:rsidRPr="00E80A17">
        <w:t xml:space="preserve"> kuna, a Talijanski dječji vrtić Mrvica u iznosu od </w:t>
      </w:r>
      <w:r w:rsidR="0018037A">
        <w:t>2.286.863,00</w:t>
      </w:r>
      <w:r w:rsidRPr="00E80A17">
        <w:t xml:space="preserve"> kuna. </w:t>
      </w:r>
    </w:p>
    <w:p w14:paraId="4CB4ABA4" w14:textId="77777777" w:rsidR="00B34FA6" w:rsidRDefault="00B34FA6" w:rsidP="00C73786"/>
    <w:p w14:paraId="4A2997A8" w14:textId="0800EA6F" w:rsidR="00C73786" w:rsidRDefault="00C73786" w:rsidP="00C73786">
      <w:r w:rsidRPr="00E80A17">
        <w:t xml:space="preserve">Glava 00104: Pučko otvoreno učilište - realizirani su ukupni rashodi u iznosu od </w:t>
      </w:r>
      <w:r w:rsidR="0018037A">
        <w:t>1.157.308,22</w:t>
      </w:r>
      <w:r w:rsidRPr="00E80A17">
        <w:t xml:space="preserve"> kuna ili </w:t>
      </w:r>
      <w:r w:rsidR="0018037A">
        <w:t>80,16</w:t>
      </w:r>
      <w:r w:rsidRPr="00E80A17">
        <w:t xml:space="preserve">% </w:t>
      </w:r>
      <w:r w:rsidR="005F509B" w:rsidRPr="00E80A17">
        <w:t>od</w:t>
      </w:r>
      <w:r w:rsidRPr="00E80A17">
        <w:t xml:space="preserve"> plana. Od navedenog iznosa </w:t>
      </w:r>
      <w:r w:rsidR="00A5310C">
        <w:t>890.135,67</w:t>
      </w:r>
      <w:r w:rsidRPr="00E80A17">
        <w:t xml:space="preserve"> kuna </w:t>
      </w:r>
      <w:r w:rsidR="00082F8B">
        <w:t xml:space="preserve">ili </w:t>
      </w:r>
      <w:r w:rsidR="00A5310C">
        <w:t>76,91</w:t>
      </w:r>
      <w:r w:rsidR="00082F8B">
        <w:t xml:space="preserve">% </w:t>
      </w:r>
      <w:r w:rsidRPr="00E80A17">
        <w:t xml:space="preserve">rashoda </w:t>
      </w:r>
      <w:r w:rsidR="005421E6" w:rsidRPr="00E80A17">
        <w:t xml:space="preserve">izvršeno </w:t>
      </w:r>
      <w:r w:rsidRPr="00E80A17">
        <w:t xml:space="preserve">je </w:t>
      </w:r>
      <w:r w:rsidR="005421E6" w:rsidRPr="00E80A17">
        <w:t>na teret</w:t>
      </w:r>
      <w:r w:rsidRPr="00E80A17">
        <w:t xml:space="preserve"> izvornih sredstava proračuna. Rashodi financirani iz ostvarenih pomoći i donacija iznose</w:t>
      </w:r>
      <w:r w:rsidR="005F509B" w:rsidRPr="00E80A17">
        <w:t xml:space="preserve"> </w:t>
      </w:r>
      <w:r w:rsidR="00A5310C">
        <w:t>239.711,21</w:t>
      </w:r>
      <w:r w:rsidRPr="00E80A17">
        <w:t xml:space="preserve"> kuna, dok je iz vlastitih </w:t>
      </w:r>
      <w:r w:rsidR="00ED4B88">
        <w:t>prihoda</w:t>
      </w:r>
      <w:r w:rsidRPr="00E80A17">
        <w:t xml:space="preserve"> </w:t>
      </w:r>
      <w:r w:rsidR="00ED4B88">
        <w:t xml:space="preserve">i prihoda posebne namjene </w:t>
      </w:r>
      <w:r w:rsidRPr="00E80A17">
        <w:t xml:space="preserve">financirano </w:t>
      </w:r>
      <w:r w:rsidR="00A5310C">
        <w:t>27.461,34</w:t>
      </w:r>
      <w:r w:rsidRPr="00E80A17">
        <w:t xml:space="preserve"> kuna rashoda.  </w:t>
      </w:r>
    </w:p>
    <w:p w14:paraId="38ABE325" w14:textId="77777777" w:rsidR="00ED4B88" w:rsidRPr="00E80A17" w:rsidRDefault="00ED4B88" w:rsidP="00C73786">
      <w:r>
        <w:t>Radi posebnih okolnosti uzrokovanih korona virusom, uobičajene aktivnosti organizacije manifestacija i edukativnih programa realizirane su u manjem opsegu.</w:t>
      </w:r>
    </w:p>
    <w:p w14:paraId="3535D77C" w14:textId="77777777" w:rsidR="005B737B" w:rsidRPr="00E80A17" w:rsidRDefault="005B737B" w:rsidP="00C73786"/>
    <w:p w14:paraId="6D98901A" w14:textId="77777777" w:rsidR="005712E4" w:rsidRPr="00771E8F" w:rsidRDefault="005712E4" w:rsidP="005712E4">
      <w:pPr>
        <w:rPr>
          <w:b/>
          <w:bCs/>
          <w:u w:val="single"/>
        </w:rPr>
      </w:pPr>
      <w:r w:rsidRPr="00771E8F">
        <w:rPr>
          <w:b/>
          <w:bCs/>
          <w:u w:val="single"/>
        </w:rPr>
        <w:t>Upravni odjel za komunalne djelatnosti</w:t>
      </w:r>
    </w:p>
    <w:p w14:paraId="10DD3068" w14:textId="77777777" w:rsidR="005712E4" w:rsidRPr="00E80A17" w:rsidRDefault="005712E4" w:rsidP="005712E4"/>
    <w:p w14:paraId="1096BC1C" w14:textId="45283F17" w:rsidR="005712E4" w:rsidRPr="00E80A17" w:rsidRDefault="00E7734A" w:rsidP="005712E4">
      <w:r w:rsidRPr="00E80A17">
        <w:t xml:space="preserve">Glava 00201: </w:t>
      </w:r>
      <w:r w:rsidR="005712E4" w:rsidRPr="00E80A17">
        <w:t>Upravn</w:t>
      </w:r>
      <w:r w:rsidRPr="00E80A17">
        <w:t>i</w:t>
      </w:r>
      <w:r w:rsidR="005712E4" w:rsidRPr="00E80A17">
        <w:t xml:space="preserve"> odjel za komunalne djelatnosti</w:t>
      </w:r>
      <w:r w:rsidRPr="00E80A17">
        <w:t xml:space="preserve"> u </w:t>
      </w:r>
      <w:r w:rsidR="008F24CD">
        <w:t>2</w:t>
      </w:r>
      <w:r w:rsidRPr="00E80A17">
        <w:t>0</w:t>
      </w:r>
      <w:r w:rsidR="00BD5192">
        <w:t>2</w:t>
      </w:r>
      <w:r w:rsidR="00C43E54">
        <w:t>1</w:t>
      </w:r>
      <w:r w:rsidRPr="00E80A17">
        <w:t>. godin</w:t>
      </w:r>
      <w:r w:rsidR="008F24CD">
        <w:t>i</w:t>
      </w:r>
      <w:r w:rsidRPr="00E80A17">
        <w:t xml:space="preserve"> realizirao je ukupne rashode </w:t>
      </w:r>
      <w:r w:rsidR="005712E4" w:rsidRPr="00E80A17">
        <w:t xml:space="preserve">u iznosu od </w:t>
      </w:r>
      <w:r w:rsidR="008F24CD">
        <w:t>15.910.105,22</w:t>
      </w:r>
      <w:r w:rsidR="005712E4" w:rsidRPr="00E80A17">
        <w:t xml:space="preserve"> kuna ili </w:t>
      </w:r>
      <w:r w:rsidR="008F24CD">
        <w:t>0,83</w:t>
      </w:r>
      <w:r w:rsidR="00946871" w:rsidRPr="00E80A17">
        <w:t>%</w:t>
      </w:r>
      <w:r w:rsidR="005712E4" w:rsidRPr="00E80A17">
        <w:t xml:space="preserve"> </w:t>
      </w:r>
      <w:r w:rsidR="008F24CD">
        <w:t xml:space="preserve">više </w:t>
      </w:r>
      <w:r w:rsidR="005712E4" w:rsidRPr="00E80A17">
        <w:t>od plana.</w:t>
      </w:r>
    </w:p>
    <w:p w14:paraId="01BB25BD" w14:textId="77777777" w:rsidR="005712E4" w:rsidRPr="00E80A17" w:rsidRDefault="005712E4" w:rsidP="005712E4"/>
    <w:p w14:paraId="348412A8" w14:textId="62A3BAC6" w:rsidR="008F24CD" w:rsidRDefault="00E7734A" w:rsidP="005712E4">
      <w:r w:rsidRPr="00E80A17">
        <w:t>Program : Redovna djelatnost upravnih odjela</w:t>
      </w:r>
      <w:r w:rsidR="005712E4" w:rsidRPr="00E80A17">
        <w:t xml:space="preserve"> – rashodi su ostvareni u iznosu od </w:t>
      </w:r>
      <w:r w:rsidR="008F24CD">
        <w:t>695.582,21</w:t>
      </w:r>
      <w:r w:rsidR="005712E4" w:rsidRPr="00E80A17">
        <w:t xml:space="preserve"> ili </w:t>
      </w:r>
      <w:r w:rsidR="008F24CD">
        <w:t>82,03</w:t>
      </w:r>
      <w:r w:rsidR="005712E4" w:rsidRPr="00E80A17">
        <w:t xml:space="preserve">% od plana, a odnose se na rashode za zaposlene u </w:t>
      </w:r>
      <w:r w:rsidRPr="00E80A17">
        <w:t xml:space="preserve">upravnom </w:t>
      </w:r>
      <w:r w:rsidR="005712E4" w:rsidRPr="00E80A17">
        <w:t>odjelu</w:t>
      </w:r>
      <w:r w:rsidR="00BD5192">
        <w:t xml:space="preserve">. </w:t>
      </w:r>
      <w:r w:rsidR="00727700">
        <w:t>Planirana sredstva za troškove plać</w:t>
      </w:r>
      <w:r w:rsidR="00BE77A5">
        <w:t>e</w:t>
      </w:r>
      <w:r w:rsidR="008F24CD">
        <w:t xml:space="preserve"> pomoćnog komunalnog redara </w:t>
      </w:r>
      <w:r w:rsidR="00727700">
        <w:t xml:space="preserve">nisu utrošena jer zapošljavanje </w:t>
      </w:r>
      <w:r w:rsidR="008F24CD">
        <w:t>nije realizirano do kraja godina.</w:t>
      </w:r>
    </w:p>
    <w:p w14:paraId="03A3738B" w14:textId="56F8F3D1" w:rsidR="005712E4" w:rsidRPr="00E80A17" w:rsidRDefault="00BD5192" w:rsidP="005712E4">
      <w:r>
        <w:t xml:space="preserve">Planirana sredstva za </w:t>
      </w:r>
      <w:r w:rsidR="005712E4" w:rsidRPr="00E80A17">
        <w:t xml:space="preserve">kapitalnu pomoć komunalnom poduzeću </w:t>
      </w:r>
      <w:proofErr w:type="spellStart"/>
      <w:r w:rsidR="005712E4" w:rsidRPr="00E80A17">
        <w:t>Civitas</w:t>
      </w:r>
      <w:proofErr w:type="spellEnd"/>
      <w:r w:rsidR="005712E4" w:rsidRPr="00E80A17">
        <w:t xml:space="preserve"> </w:t>
      </w:r>
      <w:proofErr w:type="spellStart"/>
      <w:r w:rsidR="005712E4" w:rsidRPr="00E80A17">
        <w:t>Bullearum</w:t>
      </w:r>
      <w:proofErr w:type="spellEnd"/>
      <w:r w:rsidR="005712E4" w:rsidRPr="00E80A17">
        <w:t xml:space="preserve"> d.o.o. </w:t>
      </w:r>
      <w:r w:rsidR="008F24CD">
        <w:t xml:space="preserve">u toku 2021. </w:t>
      </w:r>
      <w:r>
        <w:t>godine</w:t>
      </w:r>
      <w:r w:rsidR="008F24CD">
        <w:t xml:space="preserve"> nisu utrošena</w:t>
      </w:r>
      <w:r>
        <w:t>.</w:t>
      </w:r>
      <w:r w:rsidR="005712E4" w:rsidRPr="00E80A17">
        <w:t xml:space="preserve"> </w:t>
      </w:r>
    </w:p>
    <w:p w14:paraId="30945199" w14:textId="77777777" w:rsidR="009C424D" w:rsidRPr="00E80A17" w:rsidRDefault="009C424D" w:rsidP="005712E4">
      <w:pPr>
        <w:ind w:firstLine="708"/>
      </w:pPr>
    </w:p>
    <w:p w14:paraId="450B2A99" w14:textId="3570B8D8" w:rsidR="005712E4" w:rsidRPr="00E80A17" w:rsidRDefault="00E7734A" w:rsidP="00E7734A">
      <w:r w:rsidRPr="00E80A17">
        <w:t>Program</w:t>
      </w:r>
      <w:r w:rsidR="005712E4" w:rsidRPr="00E80A17">
        <w:t xml:space="preserve">: Održavanje komunalne infrastrukture </w:t>
      </w:r>
      <w:r w:rsidR="009E7BCB">
        <w:t xml:space="preserve">– rashodi su </w:t>
      </w:r>
      <w:r w:rsidR="00555E2F">
        <w:t>izvršen</w:t>
      </w:r>
      <w:r w:rsidR="009E7BCB">
        <w:t xml:space="preserve">i </w:t>
      </w:r>
      <w:r w:rsidR="005712E4" w:rsidRPr="00E80A17">
        <w:t xml:space="preserve">u iznosu od </w:t>
      </w:r>
      <w:r w:rsidR="009E7BCB">
        <w:t xml:space="preserve">7.790.520,23 </w:t>
      </w:r>
      <w:r w:rsidR="009C424D" w:rsidRPr="00E80A17">
        <w:t xml:space="preserve">kuna ili </w:t>
      </w:r>
      <w:r w:rsidR="009E7BCB">
        <w:t>97,03</w:t>
      </w:r>
      <w:r w:rsidR="005712E4" w:rsidRPr="00E80A17">
        <w:t>% od plana. Ostvareni rashodi odnose se na troškove: javne i dekorativne rasvjete (</w:t>
      </w:r>
      <w:r w:rsidR="009E7BCB">
        <w:t xml:space="preserve">618.903,46 </w:t>
      </w:r>
      <w:r w:rsidR="005712E4" w:rsidRPr="00E80A17">
        <w:t>kn), održavanje nerazvrstanih cesta</w:t>
      </w:r>
      <w:r w:rsidR="00C43E54">
        <w:t>, poljskih puteva</w:t>
      </w:r>
      <w:r w:rsidR="005712E4" w:rsidRPr="00E80A17">
        <w:t xml:space="preserve"> i prometne signalizacije (</w:t>
      </w:r>
      <w:r w:rsidR="00C43E54">
        <w:t>1.</w:t>
      </w:r>
      <w:r w:rsidR="009E7BCB">
        <w:t>845.301,02</w:t>
      </w:r>
      <w:r w:rsidR="00C43E54">
        <w:t xml:space="preserve"> </w:t>
      </w:r>
      <w:r w:rsidR="005712E4" w:rsidRPr="00E80A17">
        <w:t>kn), na troškove čišćenja javnih površina</w:t>
      </w:r>
      <w:r w:rsidR="00317DB2">
        <w:t>,</w:t>
      </w:r>
      <w:r w:rsidR="005712E4" w:rsidRPr="00E80A17">
        <w:t xml:space="preserve"> odvoza otpada</w:t>
      </w:r>
      <w:r w:rsidR="00317DB2">
        <w:t>, dezinsekciju, deratizaciju i higijeničarsku službu</w:t>
      </w:r>
      <w:r w:rsidR="005712E4" w:rsidRPr="00E80A17">
        <w:t xml:space="preserve"> (</w:t>
      </w:r>
      <w:r w:rsidR="009E7BCB">
        <w:t>701.281,81</w:t>
      </w:r>
      <w:r w:rsidR="005712E4" w:rsidRPr="00E80A17">
        <w:t xml:space="preserve"> kn), </w:t>
      </w:r>
      <w:r w:rsidR="00082F8B">
        <w:t xml:space="preserve">troškove </w:t>
      </w:r>
      <w:r w:rsidR="005712E4" w:rsidRPr="00E80A17">
        <w:t xml:space="preserve">održavanja </w:t>
      </w:r>
      <w:r w:rsidR="00C43E54">
        <w:t xml:space="preserve">objekata </w:t>
      </w:r>
      <w:r w:rsidR="005712E4" w:rsidRPr="00E80A17">
        <w:t>oborinske odvodnje (</w:t>
      </w:r>
      <w:r w:rsidR="009E7BCB">
        <w:t>276.352,46</w:t>
      </w:r>
      <w:r w:rsidR="00662819" w:rsidRPr="00E80A17">
        <w:t xml:space="preserve"> </w:t>
      </w:r>
      <w:r w:rsidR="005712E4" w:rsidRPr="00E80A17">
        <w:t xml:space="preserve">kn), </w:t>
      </w:r>
      <w:r w:rsidR="00082F8B">
        <w:t xml:space="preserve">troškove </w:t>
      </w:r>
      <w:r w:rsidR="005712E4" w:rsidRPr="00E80A17">
        <w:t xml:space="preserve">održavanja javnih </w:t>
      </w:r>
      <w:r w:rsidR="00C43E54">
        <w:t xml:space="preserve">zelenih </w:t>
      </w:r>
      <w:r w:rsidR="005712E4" w:rsidRPr="00E80A17">
        <w:t>površina (</w:t>
      </w:r>
      <w:r w:rsidR="009E7BCB">
        <w:t>1.</w:t>
      </w:r>
      <w:r w:rsidR="00E44A13">
        <w:t>602.242,54</w:t>
      </w:r>
      <w:r w:rsidR="005712E4" w:rsidRPr="00E80A17">
        <w:t xml:space="preserve"> kn), održavanja groblja (</w:t>
      </w:r>
      <w:r w:rsidR="0062177C">
        <w:t>733.587,50</w:t>
      </w:r>
      <w:r w:rsidR="005712E4" w:rsidRPr="00E80A17">
        <w:t xml:space="preserve"> kn), održavanja sportskih objekata i terena (</w:t>
      </w:r>
      <w:r w:rsidR="00E44A13">
        <w:t>172.891,99</w:t>
      </w:r>
      <w:r w:rsidR="005712E4" w:rsidRPr="00E80A17">
        <w:t xml:space="preserve"> kn),</w:t>
      </w:r>
      <w:r w:rsidR="005712E4" w:rsidRPr="005D0D04">
        <w:rPr>
          <w:color w:val="FF0000"/>
        </w:rPr>
        <w:t xml:space="preserve"> </w:t>
      </w:r>
      <w:r w:rsidR="00AB2B61" w:rsidRPr="00245BDF">
        <w:t>uređenj</w:t>
      </w:r>
      <w:r w:rsidR="00082F8B">
        <w:t>a</w:t>
      </w:r>
      <w:r w:rsidR="00AB2B61" w:rsidRPr="00245BDF">
        <w:t xml:space="preserve"> pješačko - planinarske staze </w:t>
      </w:r>
      <w:proofErr w:type="spellStart"/>
      <w:r w:rsidR="00AB2B61" w:rsidRPr="00245BDF">
        <w:t>Zingarela</w:t>
      </w:r>
      <w:proofErr w:type="spellEnd"/>
      <w:r w:rsidR="00AB2B61" w:rsidRPr="00245BDF">
        <w:t xml:space="preserve"> (</w:t>
      </w:r>
      <w:r w:rsidR="0062177C">
        <w:t>48.750,00</w:t>
      </w:r>
      <w:r w:rsidR="00AB2B61" w:rsidRPr="00245BDF">
        <w:t xml:space="preserve"> kn)</w:t>
      </w:r>
      <w:r w:rsidR="00245BDF" w:rsidRPr="00245BDF">
        <w:t xml:space="preserve">, </w:t>
      </w:r>
      <w:r w:rsidR="005712E4" w:rsidRPr="00245BDF">
        <w:t xml:space="preserve">rashode </w:t>
      </w:r>
      <w:r w:rsidR="004E3780">
        <w:t>za režijske troškove</w:t>
      </w:r>
      <w:r w:rsidR="005712E4" w:rsidRPr="00AB2B61">
        <w:t xml:space="preserve"> sportsk</w:t>
      </w:r>
      <w:r w:rsidR="00145E48">
        <w:t>ih</w:t>
      </w:r>
      <w:r w:rsidR="005712E4" w:rsidRPr="00AB2B61">
        <w:t xml:space="preserve"> teren</w:t>
      </w:r>
      <w:r w:rsidR="00145E48">
        <w:t>a</w:t>
      </w:r>
      <w:r w:rsidR="005712E4" w:rsidRPr="00AB2B61">
        <w:t xml:space="preserve"> i ostal</w:t>
      </w:r>
      <w:r w:rsidR="00145E48">
        <w:t>ih</w:t>
      </w:r>
      <w:r w:rsidR="005712E4" w:rsidRPr="00AB2B61">
        <w:t xml:space="preserve"> objek</w:t>
      </w:r>
      <w:r w:rsidR="00145E48">
        <w:t>a</w:t>
      </w:r>
      <w:r w:rsidR="005712E4" w:rsidRPr="00AB2B61">
        <w:t>t</w:t>
      </w:r>
      <w:r w:rsidR="00145E48">
        <w:t>a</w:t>
      </w:r>
      <w:r w:rsidR="005712E4" w:rsidRPr="00AB2B61">
        <w:t xml:space="preserve"> u vlasništvu Grada (</w:t>
      </w:r>
      <w:r w:rsidR="00B416DE">
        <w:t>273.649,64</w:t>
      </w:r>
      <w:r w:rsidR="005712E4" w:rsidRPr="00AB2B61">
        <w:t xml:space="preserve"> kn)</w:t>
      </w:r>
      <w:r w:rsidR="00245BDF">
        <w:t xml:space="preserve">, tekuće i investicijsko održavanje </w:t>
      </w:r>
      <w:r w:rsidR="00E44A13">
        <w:t xml:space="preserve">poslovnih </w:t>
      </w:r>
      <w:r w:rsidR="00245BDF">
        <w:t>objekata (</w:t>
      </w:r>
      <w:r w:rsidR="00B416DE">
        <w:t>490.544,98</w:t>
      </w:r>
      <w:r w:rsidR="006F230B">
        <w:t xml:space="preserve"> kn),</w:t>
      </w:r>
      <w:r w:rsidR="00E44A13">
        <w:t xml:space="preserve"> tekuće i investicijsko održavanje stambenih objekata (406.094,37 kn), sanaciju zgrada u povijesnoj jezgri (19.625,00 kn), tekuće i investicijsko održavanje zgrade dječjeg vrtića (198.437,15 kn), tekuće i investicijsko održavanje zgrade Centra za inkluziju i podršku zajednici (193.965,00 kn)</w:t>
      </w:r>
      <w:r w:rsidR="00727700">
        <w:t>,</w:t>
      </w:r>
      <w:r w:rsidR="006F230B">
        <w:t xml:space="preserve"> psihološk</w:t>
      </w:r>
      <w:r w:rsidR="00145E48">
        <w:t>e</w:t>
      </w:r>
      <w:r w:rsidR="006F230B">
        <w:t xml:space="preserve"> barijer</w:t>
      </w:r>
      <w:r w:rsidR="00145E48">
        <w:t>e</w:t>
      </w:r>
      <w:r w:rsidR="006F230B">
        <w:t xml:space="preserve"> na pomorskom dobru (16.500,00 kn), usluge interneta prema projektu WIFI4EU kojim </w:t>
      </w:r>
      <w:r w:rsidR="00145E48">
        <w:t>je</w:t>
      </w:r>
      <w:r w:rsidR="006F230B">
        <w:t xml:space="preserve"> omoguć</w:t>
      </w:r>
      <w:r w:rsidR="00145E48">
        <w:t>en</w:t>
      </w:r>
      <w:r w:rsidR="006F230B">
        <w:t xml:space="preserve"> besplatni pristup internetu građanima i posjetiteljima u javnim prostorima (</w:t>
      </w:r>
      <w:r w:rsidR="00B416DE">
        <w:t>22.208,75</w:t>
      </w:r>
      <w:r w:rsidR="006F230B">
        <w:t xml:space="preserve"> kn), </w:t>
      </w:r>
      <w:r w:rsidR="00603E19">
        <w:t xml:space="preserve">uređenje starih javnih špina (19.125,00 kn), </w:t>
      </w:r>
      <w:r w:rsidR="006F230B">
        <w:t>održavanje sakralnih objekata (</w:t>
      </w:r>
      <w:r w:rsidR="00B416DE">
        <w:t>63.671,25</w:t>
      </w:r>
      <w:r w:rsidR="006F230B">
        <w:t xml:space="preserve"> kn)</w:t>
      </w:r>
      <w:r w:rsidR="00044804" w:rsidRPr="00AB2B61">
        <w:t xml:space="preserve"> </w:t>
      </w:r>
      <w:r w:rsidR="009C424D" w:rsidRPr="00AB2B61">
        <w:t xml:space="preserve">te </w:t>
      </w:r>
      <w:r w:rsidR="00F60561" w:rsidRPr="00AB2B61">
        <w:t xml:space="preserve">na </w:t>
      </w:r>
      <w:r w:rsidR="00246B77" w:rsidRPr="00AB2B61">
        <w:t>u</w:t>
      </w:r>
      <w:r w:rsidR="00597B05" w:rsidRPr="00AB2B61">
        <w:t>plate temeljem Ugovora o načinu i uvjetima povrata sredstava u proračun Istarske</w:t>
      </w:r>
      <w:r w:rsidR="00597B05" w:rsidRPr="00E80A17">
        <w:t xml:space="preserve"> županije za izgradnju ŽCGO „</w:t>
      </w:r>
      <w:proofErr w:type="spellStart"/>
      <w:r w:rsidR="00597B05" w:rsidRPr="00E80A17">
        <w:t>Kaštijun</w:t>
      </w:r>
      <w:proofErr w:type="spellEnd"/>
      <w:r w:rsidR="00597B05" w:rsidRPr="00E80A17">
        <w:t>“</w:t>
      </w:r>
      <w:r w:rsidR="00662819" w:rsidRPr="00E80A17">
        <w:t xml:space="preserve"> </w:t>
      </w:r>
      <w:r w:rsidR="00597B05" w:rsidRPr="00E80A17">
        <w:t>(</w:t>
      </w:r>
      <w:r w:rsidR="00B416DE">
        <w:t>87.388,31</w:t>
      </w:r>
      <w:r w:rsidR="00597B05" w:rsidRPr="00E80A17">
        <w:t xml:space="preserve"> kn)</w:t>
      </w:r>
      <w:r w:rsidR="005712E4" w:rsidRPr="00E80A17">
        <w:t>.</w:t>
      </w:r>
    </w:p>
    <w:p w14:paraId="586DF9DF" w14:textId="77777777" w:rsidR="005712E4" w:rsidRPr="00E80A17" w:rsidRDefault="005712E4" w:rsidP="005712E4">
      <w:pPr>
        <w:ind w:firstLine="708"/>
      </w:pPr>
    </w:p>
    <w:p w14:paraId="0E17D0B5" w14:textId="35B54B58" w:rsidR="00821E34" w:rsidRDefault="00B62B96" w:rsidP="00B62B96">
      <w:r w:rsidRPr="00E80A17">
        <w:t>Program</w:t>
      </w:r>
      <w:r w:rsidR="005712E4" w:rsidRPr="00E80A17">
        <w:t>: Gra</w:t>
      </w:r>
      <w:r w:rsidR="00603E19">
        <w:t>dnj</w:t>
      </w:r>
      <w:r w:rsidR="00145E48">
        <w:t>a</w:t>
      </w:r>
      <w:r w:rsidR="005712E4" w:rsidRPr="00E80A17">
        <w:t xml:space="preserve"> komunalne infrastrukture </w:t>
      </w:r>
      <w:r w:rsidR="00A14E35">
        <w:t xml:space="preserve">– rashodi su </w:t>
      </w:r>
      <w:r w:rsidR="005712E4" w:rsidRPr="00E80A17">
        <w:t>ostvaren</w:t>
      </w:r>
      <w:r w:rsidR="00A14E35">
        <w:t xml:space="preserve">i </w:t>
      </w:r>
      <w:r w:rsidR="005712E4" w:rsidRPr="00E80A17">
        <w:t xml:space="preserve">u vrijednosti od </w:t>
      </w:r>
      <w:r w:rsidR="00A14E35">
        <w:t>5.719.502,91</w:t>
      </w:r>
      <w:r w:rsidR="005712E4" w:rsidRPr="00E80A17">
        <w:t xml:space="preserve"> kuna ili </w:t>
      </w:r>
      <w:r w:rsidR="00A14E35">
        <w:t>15,97</w:t>
      </w:r>
      <w:r w:rsidR="005712E4" w:rsidRPr="00E80A17">
        <w:t xml:space="preserve">% </w:t>
      </w:r>
      <w:r w:rsidR="00A14E35">
        <w:t xml:space="preserve">više </w:t>
      </w:r>
      <w:r w:rsidR="005712E4" w:rsidRPr="00E80A17">
        <w:t xml:space="preserve">od plana. Rashodi se odnose na </w:t>
      </w:r>
      <w:r w:rsidR="00603E19">
        <w:t xml:space="preserve">projekt Zamjene javne </w:t>
      </w:r>
      <w:r w:rsidR="00603E19">
        <w:lastRenderedPageBreak/>
        <w:t>rasvjete LED rasvjetom (</w:t>
      </w:r>
      <w:r w:rsidR="00A14E35">
        <w:t>1.253.253,91</w:t>
      </w:r>
      <w:r w:rsidR="00603E19">
        <w:t xml:space="preserve"> kn)</w:t>
      </w:r>
      <w:r w:rsidR="00821E34">
        <w:t xml:space="preserve">, </w:t>
      </w:r>
      <w:r w:rsidR="000D1D71">
        <w:t xml:space="preserve">tekuću pomoć Županijskoj upravi za ceste u svrhu izgradnje rotora u naselju Kremenje (500.000,00 kn), uređenje parkirališta u gospodarsko -servisnoj zoni (125.962,50 kn), dogradnju javne rasvjete u naselju </w:t>
      </w:r>
      <w:proofErr w:type="spellStart"/>
      <w:r w:rsidR="000D1D71">
        <w:t>Kruj</w:t>
      </w:r>
      <w:proofErr w:type="spellEnd"/>
      <w:r w:rsidR="000D1D71">
        <w:t xml:space="preserve"> i </w:t>
      </w:r>
      <w:proofErr w:type="spellStart"/>
      <w:r w:rsidR="000D1D71">
        <w:t>Juricanija</w:t>
      </w:r>
      <w:proofErr w:type="spellEnd"/>
      <w:r w:rsidR="000D1D71">
        <w:t xml:space="preserve"> te izgradnju javne rasvjete na rotoru Kremenje (423.049</w:t>
      </w:r>
      <w:r w:rsidR="0062249C">
        <w:t xml:space="preserve">,15 kn), </w:t>
      </w:r>
      <w:r w:rsidR="00145E48">
        <w:t>iz</w:t>
      </w:r>
      <w:r w:rsidR="00652B78">
        <w:t>ra</w:t>
      </w:r>
      <w:r w:rsidR="00145E48">
        <w:t xml:space="preserve">du </w:t>
      </w:r>
      <w:r w:rsidR="00821E34">
        <w:t>elaborat</w:t>
      </w:r>
      <w:r w:rsidR="00145E48">
        <w:t>a</w:t>
      </w:r>
      <w:r w:rsidR="00821E34">
        <w:t xml:space="preserve"> urbane opreme (80.625,00 kn), </w:t>
      </w:r>
      <w:r w:rsidR="0062249C">
        <w:t xml:space="preserve">sustav za upravljanje prostornim i </w:t>
      </w:r>
      <w:proofErr w:type="spellStart"/>
      <w:r w:rsidR="0062249C">
        <w:t>neprostornim</w:t>
      </w:r>
      <w:proofErr w:type="spellEnd"/>
      <w:r w:rsidR="0062249C">
        <w:t xml:space="preserve"> bazama podataka ATLAS 14 (85.312,50 kn), </w:t>
      </w:r>
      <w:r w:rsidR="00821E34">
        <w:t xml:space="preserve">rekonstrukciju i asfaltiranje nerazvrstanih cesta </w:t>
      </w:r>
      <w:proofErr w:type="spellStart"/>
      <w:r w:rsidR="00821E34">
        <w:t>Kršin</w:t>
      </w:r>
      <w:proofErr w:type="spellEnd"/>
      <w:r w:rsidR="00821E34">
        <w:t xml:space="preserve"> – </w:t>
      </w:r>
      <w:proofErr w:type="spellStart"/>
      <w:r w:rsidR="00821E34">
        <w:t>Bracanija</w:t>
      </w:r>
      <w:proofErr w:type="spellEnd"/>
      <w:r w:rsidR="00821E34">
        <w:t xml:space="preserve">, </w:t>
      </w:r>
      <w:proofErr w:type="spellStart"/>
      <w:r w:rsidR="00821E34">
        <w:t>Vinjarija</w:t>
      </w:r>
      <w:proofErr w:type="spellEnd"/>
      <w:r w:rsidR="00821E34">
        <w:t xml:space="preserve"> – D200</w:t>
      </w:r>
      <w:r w:rsidR="0062249C">
        <w:t>,</w:t>
      </w:r>
      <w:r w:rsidR="00821E34">
        <w:t xml:space="preserve"> Marušići – </w:t>
      </w:r>
      <w:proofErr w:type="spellStart"/>
      <w:r w:rsidR="00821E34">
        <w:t>Črnci</w:t>
      </w:r>
      <w:proofErr w:type="spellEnd"/>
      <w:r w:rsidR="0062249C">
        <w:t xml:space="preserve">, </w:t>
      </w:r>
      <w:proofErr w:type="spellStart"/>
      <w:r w:rsidR="0062249C">
        <w:t>Krasica</w:t>
      </w:r>
      <w:proofErr w:type="spellEnd"/>
      <w:r w:rsidR="0062249C">
        <w:t xml:space="preserve"> – Punta te u naseljima </w:t>
      </w:r>
      <w:proofErr w:type="spellStart"/>
      <w:r w:rsidR="0062249C">
        <w:t>Momjan</w:t>
      </w:r>
      <w:proofErr w:type="spellEnd"/>
      <w:r w:rsidR="0062249C">
        <w:t xml:space="preserve"> i </w:t>
      </w:r>
      <w:proofErr w:type="spellStart"/>
      <w:r w:rsidR="0062249C">
        <w:t>Kruj</w:t>
      </w:r>
      <w:proofErr w:type="spellEnd"/>
      <w:r w:rsidR="00821E34">
        <w:t xml:space="preserve"> (</w:t>
      </w:r>
      <w:r w:rsidR="0062249C">
        <w:t>2.187.744,30</w:t>
      </w:r>
      <w:r w:rsidR="00821E34">
        <w:t xml:space="preserve"> kn)</w:t>
      </w:r>
      <w:r w:rsidR="0062249C">
        <w:t xml:space="preserve">, uređenje autobusne čekaonice u naselju </w:t>
      </w:r>
      <w:proofErr w:type="spellStart"/>
      <w:r w:rsidR="0062249C">
        <w:t>Buroli</w:t>
      </w:r>
      <w:proofErr w:type="spellEnd"/>
      <w:r w:rsidR="000C3E3F">
        <w:t xml:space="preserve"> (28.410,94 kn), rekonstrukciju potpornog zida uz parkiralište u </w:t>
      </w:r>
      <w:proofErr w:type="spellStart"/>
      <w:r w:rsidR="000C3E3F">
        <w:t>Momjanu</w:t>
      </w:r>
      <w:proofErr w:type="spellEnd"/>
      <w:r w:rsidR="000C3E3F">
        <w:t xml:space="preserve"> (277.144,61 kn)</w:t>
      </w:r>
      <w:r w:rsidR="00821E34">
        <w:t xml:space="preserve"> te </w:t>
      </w:r>
      <w:r w:rsidR="00145E48">
        <w:t xml:space="preserve">na </w:t>
      </w:r>
      <w:r w:rsidR="00821E34">
        <w:t>rekonstrukciju sportskih objekata odnosno svlačionica NK Marušići</w:t>
      </w:r>
      <w:r w:rsidR="00145E48">
        <w:t xml:space="preserve"> </w:t>
      </w:r>
      <w:r w:rsidR="00821E34">
        <w:t xml:space="preserve">i </w:t>
      </w:r>
      <w:r w:rsidR="00145E48">
        <w:t xml:space="preserve">uređenje okoliša i sanitarija </w:t>
      </w:r>
      <w:r w:rsidR="00821E34">
        <w:t>Tenis kluba Buje (7</w:t>
      </w:r>
      <w:r w:rsidR="000C3E3F">
        <w:t>58.000,00</w:t>
      </w:r>
      <w:r w:rsidR="00821E34">
        <w:t xml:space="preserve"> kn). </w:t>
      </w:r>
    </w:p>
    <w:p w14:paraId="4732BB74" w14:textId="217CD0C1" w:rsidR="004A291E" w:rsidRDefault="00727700" w:rsidP="00B62B96">
      <w:r>
        <w:t xml:space="preserve">Do realizacije rashoda u iznosu većem od </w:t>
      </w:r>
      <w:r w:rsidR="0002557B">
        <w:t xml:space="preserve">plana dovela je </w:t>
      </w:r>
      <w:r>
        <w:t xml:space="preserve">neplanirana donacija dijela radova za izgradnju potpornog zida uz parkiralište u </w:t>
      </w:r>
      <w:proofErr w:type="spellStart"/>
      <w:r>
        <w:t>Momjanu</w:t>
      </w:r>
      <w:proofErr w:type="spellEnd"/>
      <w:r>
        <w:t xml:space="preserve"> te asfaltiranje ceste u naselju </w:t>
      </w:r>
      <w:proofErr w:type="spellStart"/>
      <w:r>
        <w:t>Kruj</w:t>
      </w:r>
      <w:proofErr w:type="spellEnd"/>
      <w:r>
        <w:t xml:space="preserve"> za koje je ugovorena kompenzacija s obvezom za plaćanje komunalnog doprinosa.</w:t>
      </w:r>
    </w:p>
    <w:p w14:paraId="42AE6A6C" w14:textId="77777777" w:rsidR="005712E4" w:rsidRPr="00E80A17" w:rsidRDefault="005712E4" w:rsidP="005712E4"/>
    <w:p w14:paraId="383593B1" w14:textId="7458E3B7" w:rsidR="005712E4" w:rsidRPr="00E80A17" w:rsidRDefault="00B62B96" w:rsidP="005712E4">
      <w:r w:rsidRPr="00E80A17">
        <w:t>Program</w:t>
      </w:r>
      <w:r w:rsidR="005712E4" w:rsidRPr="00E80A17">
        <w:t xml:space="preserve">: Protupožarna i civilna zaštita – rashodi su ostvareni u ukupnom iznosu od </w:t>
      </w:r>
      <w:r w:rsidR="0003368B">
        <w:t xml:space="preserve">1.704.499,87 </w:t>
      </w:r>
      <w:r w:rsidR="005712E4" w:rsidRPr="00E80A17">
        <w:t xml:space="preserve">kuna ili </w:t>
      </w:r>
      <w:r w:rsidR="0003368B">
        <w:t>96,24</w:t>
      </w:r>
      <w:r w:rsidR="005712E4" w:rsidRPr="00E80A17">
        <w:t xml:space="preserve">% od </w:t>
      </w:r>
      <w:r w:rsidR="009832CF" w:rsidRPr="00E80A17">
        <w:t xml:space="preserve">godišnjeg </w:t>
      </w:r>
      <w:r w:rsidR="005712E4" w:rsidRPr="00E80A17">
        <w:t xml:space="preserve">plana. Najznačajniju stavku u ovom dijelu čini financiranje Javne vatrogasne postrojbe Umag </w:t>
      </w:r>
      <w:r w:rsidR="0003368B">
        <w:t>1.373.431,90</w:t>
      </w:r>
      <w:r w:rsidR="005712E4" w:rsidRPr="00E80A17">
        <w:t xml:space="preserve"> kuna. Grad Buje</w:t>
      </w:r>
      <w:r w:rsidR="00597B05" w:rsidRPr="00E80A17">
        <w:t xml:space="preserve"> - Buie</w:t>
      </w:r>
      <w:r w:rsidR="005712E4" w:rsidRPr="00E80A17">
        <w:t xml:space="preserve"> je u skladu s </w:t>
      </w:r>
      <w:r w:rsidR="00145E48">
        <w:t xml:space="preserve">visinom </w:t>
      </w:r>
      <w:r w:rsidR="005712E4" w:rsidRPr="00E80A17">
        <w:t>osnivačk</w:t>
      </w:r>
      <w:r w:rsidR="00145E48">
        <w:t>og</w:t>
      </w:r>
      <w:r w:rsidR="005712E4" w:rsidRPr="00E80A17">
        <w:t xml:space="preserve"> udjel</w:t>
      </w:r>
      <w:r w:rsidR="00145E48">
        <w:t>a</w:t>
      </w:r>
      <w:r w:rsidR="005712E4" w:rsidRPr="00E80A17">
        <w:t xml:space="preserve"> istu financirao </w:t>
      </w:r>
      <w:r w:rsidR="004743BC">
        <w:t>u iznosu od</w:t>
      </w:r>
      <w:r w:rsidR="005712E4" w:rsidRPr="00E80A17">
        <w:t xml:space="preserve"> 19,77% </w:t>
      </w:r>
      <w:r w:rsidR="004743BC">
        <w:t xml:space="preserve">od </w:t>
      </w:r>
      <w:r w:rsidR="005712E4" w:rsidRPr="00E80A17">
        <w:t xml:space="preserve">ukupnih rashoda. Sredstva u iznosu od </w:t>
      </w:r>
      <w:r w:rsidR="007B6868">
        <w:t>735.444,00</w:t>
      </w:r>
      <w:r w:rsidR="005712E4" w:rsidRPr="00E80A17">
        <w:t xml:space="preserve"> kuna koja se odnose na utvrđeni minimalni financijski standard za decentralizirano financiranje redovite djelatnosti Postrojbe, doznačena su iz državnog proračuna direktno u korist proračuna Grada Umaga. Grad Buje </w:t>
      </w:r>
      <w:r w:rsidR="00597B05" w:rsidRPr="00E80A17">
        <w:t xml:space="preserve">– Buie </w:t>
      </w:r>
      <w:r w:rsidR="005712E4" w:rsidRPr="00E80A17">
        <w:t xml:space="preserve">ostvario je dodatni udjel u porezu na dohodak od </w:t>
      </w:r>
      <w:r w:rsidR="007B6868">
        <w:t>97.981,93</w:t>
      </w:r>
      <w:r w:rsidR="005712E4" w:rsidRPr="00E80A17">
        <w:t xml:space="preserve"> kuna za financiranje vatrogastva, a razlika od </w:t>
      </w:r>
      <w:r w:rsidR="007B6868">
        <w:t>540.005,97</w:t>
      </w:r>
      <w:r w:rsidR="005712E4" w:rsidRPr="00E80A17">
        <w:t xml:space="preserve"> kuna podmir</w:t>
      </w:r>
      <w:r w:rsidR="00A57DCE" w:rsidRPr="00E80A17">
        <w:t>ena</w:t>
      </w:r>
      <w:r w:rsidR="005712E4" w:rsidRPr="00E80A17">
        <w:t xml:space="preserve"> </w:t>
      </w:r>
      <w:r w:rsidR="00A57DCE" w:rsidRPr="00E80A17">
        <w:t>j</w:t>
      </w:r>
      <w:r w:rsidR="005712E4" w:rsidRPr="00E80A17">
        <w:t>e iz drugih izvora</w:t>
      </w:r>
      <w:r w:rsidR="00566CD0">
        <w:t xml:space="preserve"> proračuna</w:t>
      </w:r>
      <w:r w:rsidR="005712E4" w:rsidRPr="00E80A17">
        <w:t xml:space="preserve">. </w:t>
      </w:r>
    </w:p>
    <w:p w14:paraId="7A6FBAB3" w14:textId="1AFAA332" w:rsidR="00FA4385" w:rsidRDefault="005712E4" w:rsidP="005712E4">
      <w:r w:rsidRPr="00E80A17">
        <w:t xml:space="preserve">Za financiranje Područne vatrogasne zajednice Umag doznačeno je </w:t>
      </w:r>
      <w:r w:rsidR="007B6868">
        <w:t>30</w:t>
      </w:r>
      <w:r w:rsidR="00B80165">
        <w:t>0.000,00</w:t>
      </w:r>
      <w:r w:rsidRPr="00E80A17">
        <w:t xml:space="preserve"> kuna, a Vatrogasn</w:t>
      </w:r>
      <w:r w:rsidR="004B5775" w:rsidRPr="00E80A17">
        <w:t>oj</w:t>
      </w:r>
      <w:r w:rsidRPr="00E80A17">
        <w:t xml:space="preserve"> zajednic</w:t>
      </w:r>
      <w:r w:rsidR="004B5775" w:rsidRPr="00E80A17">
        <w:t>i</w:t>
      </w:r>
      <w:r w:rsidRPr="00E80A17">
        <w:t xml:space="preserve"> Istarske županije </w:t>
      </w:r>
      <w:r w:rsidR="007B6868">
        <w:t>13.492,97</w:t>
      </w:r>
      <w:r w:rsidRPr="00E80A17">
        <w:t xml:space="preserve"> kuna. </w:t>
      </w:r>
    </w:p>
    <w:p w14:paraId="1C536BCA" w14:textId="202820EE" w:rsidR="007B6868" w:rsidRDefault="007B6868" w:rsidP="005712E4">
      <w:r>
        <w:t xml:space="preserve">U opremu za civilnu zaštitu uloženo je 12.450,00 kuna, a za izradu elaborata procjene rizika od katastrofa i velikih nesreća </w:t>
      </w:r>
      <w:r w:rsidR="00E35D4B">
        <w:t>utrošeno je 5.125,00 kuna.</w:t>
      </w:r>
    </w:p>
    <w:p w14:paraId="165F3A0B" w14:textId="77777777" w:rsidR="00C16113" w:rsidRDefault="00C16113" w:rsidP="005712E4"/>
    <w:p w14:paraId="2B5A5738" w14:textId="1AB11429" w:rsidR="005712E4" w:rsidRPr="00771E8F" w:rsidRDefault="005712E4" w:rsidP="005712E4">
      <w:pPr>
        <w:rPr>
          <w:b/>
          <w:bCs/>
          <w:u w:val="single"/>
        </w:rPr>
      </w:pPr>
      <w:r w:rsidRPr="00771E8F">
        <w:rPr>
          <w:b/>
          <w:bCs/>
          <w:u w:val="single"/>
        </w:rPr>
        <w:t>Upravni odjel za prostorno uređenje i upravljanje gradskom imovinom</w:t>
      </w:r>
    </w:p>
    <w:p w14:paraId="43D0D24A" w14:textId="77777777" w:rsidR="005712E4" w:rsidRPr="00771E8F" w:rsidRDefault="005712E4" w:rsidP="005712E4">
      <w:pPr>
        <w:rPr>
          <w:b/>
          <w:bCs/>
        </w:rPr>
      </w:pPr>
    </w:p>
    <w:p w14:paraId="3D203DA5" w14:textId="00078F41" w:rsidR="005712E4" w:rsidRPr="00E80A17" w:rsidRDefault="008C3942" w:rsidP="005712E4">
      <w:r w:rsidRPr="00E80A17">
        <w:t xml:space="preserve">Glava 00301: </w:t>
      </w:r>
      <w:r w:rsidR="005712E4" w:rsidRPr="00E80A17">
        <w:t>Upravn</w:t>
      </w:r>
      <w:r w:rsidRPr="00E80A17">
        <w:t xml:space="preserve">i </w:t>
      </w:r>
      <w:r w:rsidR="005712E4" w:rsidRPr="00E80A17">
        <w:t>odjel</w:t>
      </w:r>
      <w:r w:rsidRPr="00E80A17">
        <w:t xml:space="preserve"> </w:t>
      </w:r>
      <w:r w:rsidR="005712E4" w:rsidRPr="00E80A17">
        <w:t xml:space="preserve">za prostorno uređenje i upravljanje gradskom imovinom </w:t>
      </w:r>
      <w:r w:rsidRPr="00E80A17">
        <w:t xml:space="preserve">u </w:t>
      </w:r>
      <w:r w:rsidR="00231A11" w:rsidRPr="00E80A17">
        <w:t>20</w:t>
      </w:r>
      <w:r w:rsidR="000B1B83">
        <w:t>2</w:t>
      </w:r>
      <w:r w:rsidR="00B80165">
        <w:t>1</w:t>
      </w:r>
      <w:r w:rsidR="00231A11" w:rsidRPr="00E80A17">
        <w:t>. godin</w:t>
      </w:r>
      <w:r w:rsidR="00BA06C6">
        <w:t>i</w:t>
      </w:r>
      <w:r w:rsidRPr="00E80A17">
        <w:t xml:space="preserve"> ostvario je rashode u ukupnom </w:t>
      </w:r>
      <w:r w:rsidR="005712E4" w:rsidRPr="00E80A17">
        <w:t>iznos</w:t>
      </w:r>
      <w:r w:rsidRPr="00E80A17">
        <w:t xml:space="preserve">u od </w:t>
      </w:r>
      <w:r w:rsidR="00BA06C6">
        <w:t>5.690.244,91</w:t>
      </w:r>
      <w:r w:rsidRPr="00E80A17">
        <w:t xml:space="preserve"> </w:t>
      </w:r>
      <w:r w:rsidR="005712E4" w:rsidRPr="00E80A17">
        <w:t xml:space="preserve">kuna ili </w:t>
      </w:r>
      <w:r w:rsidR="00762415">
        <w:t>91,06</w:t>
      </w:r>
      <w:r w:rsidR="005712E4" w:rsidRPr="00E80A17">
        <w:t>% od plana.</w:t>
      </w:r>
    </w:p>
    <w:p w14:paraId="18E9B7D6" w14:textId="77777777" w:rsidR="005712E4" w:rsidRPr="00E80A17" w:rsidRDefault="005712E4" w:rsidP="005712E4"/>
    <w:p w14:paraId="593E5EDD" w14:textId="68C61865" w:rsidR="005712E4" w:rsidRDefault="008C3942" w:rsidP="005712E4">
      <w:r w:rsidRPr="00E80A17">
        <w:t>Program</w:t>
      </w:r>
      <w:r w:rsidR="005712E4" w:rsidRPr="00E80A17">
        <w:t xml:space="preserve">: </w:t>
      </w:r>
      <w:r w:rsidRPr="00E80A17">
        <w:t xml:space="preserve">Redovna djelatnost upravnih odjela  </w:t>
      </w:r>
      <w:r w:rsidR="005712E4" w:rsidRPr="00E80A17">
        <w:t xml:space="preserve">– rashodi su ostvareni u iznosu od </w:t>
      </w:r>
      <w:r w:rsidR="00762415">
        <w:t xml:space="preserve">698.791,03 </w:t>
      </w:r>
      <w:r w:rsidR="005712E4" w:rsidRPr="00E80A17">
        <w:t xml:space="preserve">kuna ili </w:t>
      </w:r>
      <w:r w:rsidR="00762415">
        <w:t>91,06</w:t>
      </w:r>
      <w:r w:rsidR="005712E4" w:rsidRPr="00E80A17">
        <w:t>% od plana, a odnose se na rashode za zaposlene u upravnom odjelu.</w:t>
      </w:r>
      <w:r w:rsidR="00BD5192">
        <w:t xml:space="preserve"> </w:t>
      </w:r>
    </w:p>
    <w:p w14:paraId="48CA211F" w14:textId="77777777" w:rsidR="000B1B83" w:rsidRPr="00E80A17" w:rsidRDefault="000B1B83" w:rsidP="005712E4"/>
    <w:p w14:paraId="0D657E21" w14:textId="1B354473" w:rsidR="00C46834" w:rsidRDefault="008C3942" w:rsidP="008C3942">
      <w:r w:rsidRPr="00E80A17">
        <w:t>Program</w:t>
      </w:r>
      <w:r w:rsidR="005712E4" w:rsidRPr="00E80A17">
        <w:t xml:space="preserve">: Gradnja kapitalnih objekata iznosi </w:t>
      </w:r>
      <w:r w:rsidR="00762415">
        <w:t>3.838.656,05</w:t>
      </w:r>
      <w:r w:rsidR="005712E4" w:rsidRPr="00E80A17">
        <w:t xml:space="preserve"> kuna</w:t>
      </w:r>
      <w:r w:rsidR="008D58C9" w:rsidRPr="00E80A17">
        <w:t xml:space="preserve"> ili </w:t>
      </w:r>
      <w:r w:rsidR="00762415">
        <w:t>91,91</w:t>
      </w:r>
      <w:r w:rsidR="008D58C9" w:rsidRPr="00E80A17">
        <w:t>% od plana</w:t>
      </w:r>
      <w:r w:rsidR="005712E4" w:rsidRPr="00E80A17">
        <w:t xml:space="preserve">, a odnosi se </w:t>
      </w:r>
      <w:r w:rsidR="009506AD">
        <w:t xml:space="preserve">na rashode po projektu sanacije i rekonstrukcije kaštela </w:t>
      </w:r>
      <w:proofErr w:type="spellStart"/>
      <w:r w:rsidR="009506AD">
        <w:t>Rota</w:t>
      </w:r>
      <w:proofErr w:type="spellEnd"/>
      <w:r w:rsidR="009506AD">
        <w:t xml:space="preserve"> (512.503,63 kn), </w:t>
      </w:r>
      <w:r w:rsidR="00E144D9" w:rsidRPr="00E80A17">
        <w:t xml:space="preserve">na rashode </w:t>
      </w:r>
      <w:r w:rsidR="00B80165">
        <w:t>za otkup i zamjenu građevinskog zemljišta (</w:t>
      </w:r>
      <w:r w:rsidR="009506AD">
        <w:t>282.606,52</w:t>
      </w:r>
      <w:r w:rsidR="00B80165">
        <w:t xml:space="preserve"> kn), </w:t>
      </w:r>
      <w:r w:rsidR="00C46834" w:rsidRPr="00E80A17">
        <w:t>na rashode za pripremu natječajne dokumentacije prilikom prodaje nekretnina (</w:t>
      </w:r>
      <w:r w:rsidR="009506AD">
        <w:t>47.8</w:t>
      </w:r>
      <w:r w:rsidR="00C46834">
        <w:t>00,00</w:t>
      </w:r>
      <w:r w:rsidR="00C46834" w:rsidRPr="00E80A17">
        <w:t xml:space="preserve"> kn),</w:t>
      </w:r>
      <w:r w:rsidR="00C46834">
        <w:t xml:space="preserve"> </w:t>
      </w:r>
      <w:r w:rsidR="009506AD">
        <w:t>povrat sredstava</w:t>
      </w:r>
      <w:r w:rsidR="00A01889">
        <w:t xml:space="preserve"> od prodaje </w:t>
      </w:r>
      <w:r w:rsidR="009506AD">
        <w:t>p</w:t>
      </w:r>
      <w:r w:rsidR="00A01889">
        <w:t>rema</w:t>
      </w:r>
      <w:r w:rsidR="009506AD">
        <w:t xml:space="preserve"> presudi </w:t>
      </w:r>
      <w:r w:rsidR="00A01889">
        <w:t xml:space="preserve">(163.137,50 kn), </w:t>
      </w:r>
      <w:r w:rsidR="00C46834">
        <w:t>energetsku obnovu zgrade dječjeg vrtića (1.890.835,26 kn)</w:t>
      </w:r>
      <w:r w:rsidR="00A01889">
        <w:t xml:space="preserve">, dokumentaciju za sanaciju spomenika Palim borcima u Plovaniji (50.000,00 kn), projektnu dokumentaciju za uređenje okoliša dječjeg vrtića (88.000,50 kn), sufinanciranje projekta uređenja Kuće istarskih kaštela u </w:t>
      </w:r>
      <w:proofErr w:type="spellStart"/>
      <w:r w:rsidR="00A01889">
        <w:t>Momjanu</w:t>
      </w:r>
      <w:proofErr w:type="spellEnd"/>
      <w:r w:rsidR="00A01889">
        <w:t xml:space="preserve"> (333.264,40 kn)</w:t>
      </w:r>
      <w:r w:rsidR="00C46834">
        <w:t xml:space="preserve"> i rekonstrukciju zgrade starog vatrogasnog doma / </w:t>
      </w:r>
      <w:r w:rsidR="004743BC">
        <w:t>„</w:t>
      </w:r>
      <w:r w:rsidR="00C46834">
        <w:t>stari Digitron</w:t>
      </w:r>
      <w:r w:rsidR="004743BC">
        <w:t>“</w:t>
      </w:r>
      <w:r w:rsidR="00C46834">
        <w:t xml:space="preserve"> (</w:t>
      </w:r>
      <w:r w:rsidR="00A01889">
        <w:t>470.508,24</w:t>
      </w:r>
      <w:r w:rsidR="00C46834">
        <w:t xml:space="preserve"> kn).</w:t>
      </w:r>
    </w:p>
    <w:p w14:paraId="01F55A57" w14:textId="77777777" w:rsidR="005712E4" w:rsidRPr="00E80A17" w:rsidRDefault="005712E4" w:rsidP="005712E4">
      <w:pPr>
        <w:ind w:firstLine="708"/>
      </w:pPr>
    </w:p>
    <w:p w14:paraId="3C976D95" w14:textId="4B81D674" w:rsidR="007061B2" w:rsidRPr="00E80A17" w:rsidRDefault="003839B2" w:rsidP="003839B2">
      <w:r w:rsidRPr="00E80A17">
        <w:t>Program</w:t>
      </w:r>
      <w:r w:rsidR="005712E4" w:rsidRPr="00E80A17">
        <w:t xml:space="preserve">: Prostorno uređenje i projekti iznosi ukupno </w:t>
      </w:r>
      <w:r w:rsidR="00A01889">
        <w:t>900.391,25</w:t>
      </w:r>
      <w:r w:rsidR="005712E4" w:rsidRPr="00E80A17">
        <w:t xml:space="preserve"> kuna</w:t>
      </w:r>
      <w:r w:rsidRPr="00E80A17">
        <w:t xml:space="preserve"> </w:t>
      </w:r>
      <w:r w:rsidR="008962B4" w:rsidRPr="00E80A17">
        <w:t xml:space="preserve">ili </w:t>
      </w:r>
      <w:r w:rsidR="00A01889">
        <w:t>96,04</w:t>
      </w:r>
      <w:r w:rsidR="008962B4" w:rsidRPr="00E80A17">
        <w:t>% od plana. O</w:t>
      </w:r>
      <w:r w:rsidR="005712E4" w:rsidRPr="00E80A17">
        <w:t xml:space="preserve">d </w:t>
      </w:r>
      <w:r w:rsidR="008962B4" w:rsidRPr="00E80A17">
        <w:t>to</w:t>
      </w:r>
      <w:r w:rsidR="005712E4" w:rsidRPr="00E80A17">
        <w:t xml:space="preserve">ga se </w:t>
      </w:r>
      <w:r w:rsidR="00C628E4">
        <w:t>131.650</w:t>
      </w:r>
      <w:r w:rsidR="009A5E1B">
        <w:t>,00</w:t>
      </w:r>
      <w:r w:rsidR="005712E4" w:rsidRPr="00E80A17">
        <w:t xml:space="preserve"> kuna </w:t>
      </w:r>
      <w:r w:rsidR="004F715F" w:rsidRPr="00E80A17">
        <w:t xml:space="preserve">odnosi </w:t>
      </w:r>
      <w:r w:rsidR="005712E4" w:rsidRPr="00E80A17">
        <w:t>na geodetsk</w:t>
      </w:r>
      <w:r w:rsidR="009A5E1B">
        <w:t>a</w:t>
      </w:r>
      <w:r w:rsidR="005712E4" w:rsidRPr="00E80A17">
        <w:t xml:space="preserve"> snimanj</w:t>
      </w:r>
      <w:r w:rsidR="009A5E1B">
        <w:t>a</w:t>
      </w:r>
      <w:r w:rsidR="005712E4" w:rsidRPr="00E80A17">
        <w:t xml:space="preserve"> i </w:t>
      </w:r>
      <w:r w:rsidR="009D3500" w:rsidRPr="00E80A17">
        <w:t xml:space="preserve">parcelacijske </w:t>
      </w:r>
      <w:r w:rsidR="005712E4" w:rsidRPr="00E80A17">
        <w:t>elaborate</w:t>
      </w:r>
      <w:r w:rsidR="008962B4" w:rsidRPr="00E80A17">
        <w:t xml:space="preserve">, </w:t>
      </w:r>
      <w:r w:rsidR="006525B0">
        <w:t>95.350,</w:t>
      </w:r>
      <w:r w:rsidR="00C46834">
        <w:t>00</w:t>
      </w:r>
      <w:r w:rsidR="009A5E1B">
        <w:t xml:space="preserve"> kuna na izradu UPU </w:t>
      </w:r>
      <w:r w:rsidR="00C46834">
        <w:t>Stanica Istok</w:t>
      </w:r>
      <w:r w:rsidR="009A5E1B">
        <w:t xml:space="preserve">, </w:t>
      </w:r>
      <w:r w:rsidR="006525B0">
        <w:t xml:space="preserve">47.500,00 kuna na izradu UPU </w:t>
      </w:r>
      <w:proofErr w:type="spellStart"/>
      <w:r w:rsidR="006525B0">
        <w:t>Kaldanija</w:t>
      </w:r>
      <w:proofErr w:type="spellEnd"/>
      <w:r w:rsidR="006525B0">
        <w:t xml:space="preserve">, 25.000,00 kuna na izradu Izmjena i dopuna PPU Grada Buja, </w:t>
      </w:r>
      <w:r w:rsidR="006D475D">
        <w:t xml:space="preserve">91.550,00 kuna na uređenje </w:t>
      </w:r>
      <w:r w:rsidR="006D475D">
        <w:lastRenderedPageBreak/>
        <w:t xml:space="preserve">prilaznog puta u </w:t>
      </w:r>
      <w:proofErr w:type="spellStart"/>
      <w:r w:rsidR="006D475D">
        <w:t>Kršetama</w:t>
      </w:r>
      <w:proofErr w:type="spellEnd"/>
      <w:r w:rsidR="006D475D">
        <w:t xml:space="preserve"> radi izrade UPU naselja </w:t>
      </w:r>
      <w:proofErr w:type="spellStart"/>
      <w:r w:rsidR="006D475D">
        <w:t>Kršete</w:t>
      </w:r>
      <w:proofErr w:type="spellEnd"/>
      <w:r w:rsidR="006D475D">
        <w:t xml:space="preserve">, </w:t>
      </w:r>
      <w:r w:rsidR="006525B0">
        <w:t>135.875,00 kuna na izradu parcelacijskih elaborata i snimki izvedenog stanja cesta, 70.000,00 kuna na sufinanciranje plaća zaposlenika za poslovima legalizacije, 31.250,00 kuna na izrad</w:t>
      </w:r>
      <w:r w:rsidR="0002557B">
        <w:t>u</w:t>
      </w:r>
      <w:r w:rsidR="006525B0">
        <w:t xml:space="preserve"> Godišnjeg plana upravljanja imovinom, 18.750,00 kuna na izradu provedbenog programa za Grad Buje, 35.000,00</w:t>
      </w:r>
      <w:r w:rsidR="008962B4" w:rsidRPr="00E80A17">
        <w:t xml:space="preserve"> kuna</w:t>
      </w:r>
      <w:r w:rsidR="005712E4" w:rsidRPr="00E80A17">
        <w:t xml:space="preserve"> na konzultantske usluge – informacijsk</w:t>
      </w:r>
      <w:r w:rsidRPr="00E80A17">
        <w:t>i sustav gospodarenja energijom</w:t>
      </w:r>
      <w:r w:rsidR="006D475D">
        <w:t>,</w:t>
      </w:r>
      <w:r w:rsidR="00013070" w:rsidRPr="00E80A17">
        <w:t xml:space="preserve"> </w:t>
      </w:r>
      <w:r w:rsidR="0026535D">
        <w:t>212.243,75</w:t>
      </w:r>
      <w:r w:rsidR="005712E4" w:rsidRPr="00E80A17">
        <w:t xml:space="preserve"> kuna na </w:t>
      </w:r>
      <w:r w:rsidR="0026535D">
        <w:t>izradu GIS sustava i nabavu sigurnosne opreme</w:t>
      </w:r>
      <w:r w:rsidR="006D475D">
        <w:t xml:space="preserve"> te 6.222,50 kuna na usluge vještačenja</w:t>
      </w:r>
      <w:r w:rsidR="0026535D">
        <w:t>.</w:t>
      </w:r>
      <w:r w:rsidR="005712E4" w:rsidRPr="00E80A17">
        <w:t xml:space="preserve"> </w:t>
      </w:r>
    </w:p>
    <w:p w14:paraId="1853CCE4" w14:textId="77777777" w:rsidR="005712E4" w:rsidRPr="00E80A17" w:rsidRDefault="005712E4" w:rsidP="005712E4">
      <w:pPr>
        <w:rPr>
          <w:sz w:val="20"/>
          <w:szCs w:val="20"/>
        </w:rPr>
      </w:pPr>
    </w:p>
    <w:p w14:paraId="61E8168D" w14:textId="610A0566" w:rsidR="00B54B14" w:rsidRDefault="003839B2" w:rsidP="005712E4">
      <w:r w:rsidRPr="00E80A17">
        <w:t xml:space="preserve">Program: </w:t>
      </w:r>
      <w:r w:rsidR="005712E4" w:rsidRPr="00E80A17">
        <w:t xml:space="preserve">EU i ostali fondovi – </w:t>
      </w:r>
      <w:r w:rsidRPr="00E80A17">
        <w:t>u</w:t>
      </w:r>
      <w:r w:rsidR="008962B4" w:rsidRPr="00E80A17">
        <w:t xml:space="preserve"> </w:t>
      </w:r>
      <w:r w:rsidRPr="00E80A17">
        <w:t>20</w:t>
      </w:r>
      <w:r w:rsidR="009A5E1B">
        <w:t>2</w:t>
      </w:r>
      <w:r w:rsidR="0026535D">
        <w:t>1</w:t>
      </w:r>
      <w:r w:rsidRPr="00E80A17">
        <w:t>. godin</w:t>
      </w:r>
      <w:r w:rsidR="0002557B">
        <w:t>i</w:t>
      </w:r>
      <w:r w:rsidRPr="00E80A17">
        <w:t xml:space="preserve"> realizirani su rashodi u ukupnom iznosu od </w:t>
      </w:r>
      <w:r w:rsidR="001A1DDB">
        <w:t>252.406,58</w:t>
      </w:r>
      <w:r w:rsidRPr="00E80A17">
        <w:t xml:space="preserve"> kuna ili </w:t>
      </w:r>
      <w:r w:rsidR="001A1DDB">
        <w:t>67,76</w:t>
      </w:r>
      <w:r w:rsidRPr="00E80A17">
        <w:t xml:space="preserve">% od plana, a </w:t>
      </w:r>
      <w:r w:rsidR="008962B4" w:rsidRPr="00E80A17">
        <w:t>odnose se na</w:t>
      </w:r>
      <w:r w:rsidR="00A34067" w:rsidRPr="00E80A17">
        <w:t xml:space="preserve"> rashod</w:t>
      </w:r>
      <w:r w:rsidR="008962B4" w:rsidRPr="00E80A17">
        <w:t>e</w:t>
      </w:r>
      <w:r w:rsidR="00A34067" w:rsidRPr="00E80A17">
        <w:t xml:space="preserve"> po projektu Tourism4all u iznosu od </w:t>
      </w:r>
      <w:r w:rsidR="001A1DDB">
        <w:t>146.567,58</w:t>
      </w:r>
      <w:r w:rsidR="00A34067" w:rsidRPr="00E80A17">
        <w:t xml:space="preserve"> kuna</w:t>
      </w:r>
      <w:r w:rsidR="001A1DDB">
        <w:t xml:space="preserve">, </w:t>
      </w:r>
      <w:r w:rsidR="004743BC">
        <w:t xml:space="preserve">na </w:t>
      </w:r>
      <w:r w:rsidR="008962B4" w:rsidRPr="00E80A17">
        <w:t xml:space="preserve">rashode za </w:t>
      </w:r>
      <w:r w:rsidR="00B54B14">
        <w:t xml:space="preserve">turističko </w:t>
      </w:r>
      <w:proofErr w:type="spellStart"/>
      <w:r w:rsidR="00B54B14">
        <w:t>brendiranje</w:t>
      </w:r>
      <w:proofErr w:type="spellEnd"/>
      <w:r w:rsidR="00B54B14">
        <w:t xml:space="preserve"> </w:t>
      </w:r>
      <w:proofErr w:type="spellStart"/>
      <w:r w:rsidR="00B54B14">
        <w:t>Momjanštine</w:t>
      </w:r>
      <w:proofErr w:type="spellEnd"/>
      <w:r w:rsidR="00B54B14">
        <w:t xml:space="preserve"> u iznosu od </w:t>
      </w:r>
      <w:r w:rsidR="0026535D">
        <w:t>15.875,00</w:t>
      </w:r>
      <w:r w:rsidR="00B54B14">
        <w:t xml:space="preserve"> kuna</w:t>
      </w:r>
      <w:r w:rsidR="001A1DDB">
        <w:t>,</w:t>
      </w:r>
      <w:r w:rsidR="0026535D">
        <w:t xml:space="preserve"> </w:t>
      </w:r>
      <w:r w:rsidR="004743BC">
        <w:t xml:space="preserve">na </w:t>
      </w:r>
      <w:r w:rsidR="0026535D">
        <w:t>kapitalnu pomoć za nabavu spremnika za odvojeno prikupljanje otpada 50.690,25 kuna</w:t>
      </w:r>
      <w:r w:rsidR="001A1DDB">
        <w:t xml:space="preserve">, na rashode za obilježavanje 40. obljetnice osnivanja kiparske škole </w:t>
      </w:r>
      <w:proofErr w:type="spellStart"/>
      <w:r w:rsidR="001A1DDB">
        <w:t>Kornarija</w:t>
      </w:r>
      <w:proofErr w:type="spellEnd"/>
      <w:r w:rsidR="001A1DDB">
        <w:t xml:space="preserve"> u iznosu od 7.273,75 kuna, te na plaćene članarine</w:t>
      </w:r>
      <w:r w:rsidR="00D97482">
        <w:t xml:space="preserve"> </w:t>
      </w:r>
      <w:r w:rsidR="001A1DDB">
        <w:t xml:space="preserve">Lokalnoj akcijskoj grupi Sjeverna Istra 25.000,00 kuna i Lokalnoj akcijskoj grupi u ribarstvu </w:t>
      </w:r>
      <w:proofErr w:type="spellStart"/>
      <w:r w:rsidR="00F44503">
        <w:t>Pinna</w:t>
      </w:r>
      <w:proofErr w:type="spellEnd"/>
      <w:r w:rsidR="00F44503">
        <w:t xml:space="preserve"> </w:t>
      </w:r>
      <w:proofErr w:type="spellStart"/>
      <w:r w:rsidR="00F44503">
        <w:t>nobilis</w:t>
      </w:r>
      <w:proofErr w:type="spellEnd"/>
      <w:r w:rsidR="00F44503">
        <w:t xml:space="preserve"> </w:t>
      </w:r>
      <w:r w:rsidR="001A1DDB">
        <w:t>7.000,00 kuna</w:t>
      </w:r>
      <w:r w:rsidR="00B54B14">
        <w:t>.</w:t>
      </w:r>
    </w:p>
    <w:p w14:paraId="1FB60341" w14:textId="77777777" w:rsidR="007C683C" w:rsidRDefault="007C683C" w:rsidP="00A2660D"/>
    <w:p w14:paraId="24A79AE6" w14:textId="77777777" w:rsidR="007C683C" w:rsidRPr="00E80A17" w:rsidRDefault="007C683C" w:rsidP="00A2660D"/>
    <w:p w14:paraId="4CEE2B91" w14:textId="555750AD" w:rsidR="005712E4" w:rsidRPr="00093EE6" w:rsidRDefault="00CC15C6" w:rsidP="00093EE6">
      <w:pPr>
        <w:rPr>
          <w:b/>
          <w:bCs/>
        </w:rPr>
      </w:pPr>
      <w:bookmarkStart w:id="27" w:name="_Toc78878322"/>
      <w:bookmarkStart w:id="28" w:name="_Toc79578509"/>
      <w:r w:rsidRPr="00093EE6">
        <w:rPr>
          <w:b/>
          <w:bCs/>
        </w:rPr>
        <w:t xml:space="preserve">STANJE NENAPLAĆENIH POTRAŽIVANJA ZA PRIHODE </w:t>
      </w:r>
      <w:r w:rsidR="00116C51" w:rsidRPr="00093EE6">
        <w:rPr>
          <w:b/>
          <w:bCs/>
        </w:rPr>
        <w:t>GRADA</w:t>
      </w:r>
      <w:r w:rsidRPr="00093EE6">
        <w:rPr>
          <w:b/>
          <w:bCs/>
        </w:rPr>
        <w:t xml:space="preserve"> I PRORAČUNSKIH KORISNIKA</w:t>
      </w:r>
      <w:r w:rsidR="007B47E4" w:rsidRPr="00093EE6">
        <w:rPr>
          <w:b/>
          <w:bCs/>
        </w:rPr>
        <w:t xml:space="preserve"> NA DAN </w:t>
      </w:r>
      <w:r w:rsidR="00230BD0" w:rsidRPr="00093EE6">
        <w:rPr>
          <w:b/>
          <w:bCs/>
        </w:rPr>
        <w:t>31.12</w:t>
      </w:r>
      <w:r w:rsidR="007B47E4" w:rsidRPr="00093EE6">
        <w:rPr>
          <w:b/>
          <w:bCs/>
        </w:rPr>
        <w:t>.20</w:t>
      </w:r>
      <w:r w:rsidR="007C683C" w:rsidRPr="00093EE6">
        <w:rPr>
          <w:b/>
          <w:bCs/>
        </w:rPr>
        <w:t>2</w:t>
      </w:r>
      <w:r w:rsidR="0026535D" w:rsidRPr="00093EE6">
        <w:rPr>
          <w:b/>
          <w:bCs/>
        </w:rPr>
        <w:t>1</w:t>
      </w:r>
      <w:r w:rsidR="007B47E4" w:rsidRPr="00093EE6">
        <w:rPr>
          <w:b/>
          <w:bCs/>
        </w:rPr>
        <w:t>. GODINE</w:t>
      </w:r>
      <w:bookmarkEnd w:id="27"/>
      <w:bookmarkEnd w:id="28"/>
    </w:p>
    <w:p w14:paraId="11BEE4DA" w14:textId="635E372A" w:rsidR="00E56D37" w:rsidRDefault="00E56D37" w:rsidP="008D615A">
      <w:pPr>
        <w:pStyle w:val="Subtitle1"/>
        <w:rPr>
          <w:rFonts w:ascii="Times New Roman" w:hAnsi="Times New Roman"/>
          <w:sz w:val="22"/>
          <w:szCs w:val="22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480"/>
        <w:gridCol w:w="2020"/>
        <w:gridCol w:w="1600"/>
        <w:gridCol w:w="1480"/>
      </w:tblGrid>
      <w:tr w:rsidR="00E56D37" w14:paraId="0A8D741F" w14:textId="77777777" w:rsidTr="00E56D37">
        <w:trPr>
          <w:trHeight w:val="465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B5F" w14:textId="77777777" w:rsidR="00E56D37" w:rsidRDefault="00E5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BDF" w14:textId="77777777" w:rsidR="00E56D37" w:rsidRDefault="00E5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Iznos nenaplaćenih potraživanja </w:t>
            </w:r>
          </w:p>
        </w:tc>
      </w:tr>
      <w:tr w:rsidR="00E56D37" w14:paraId="11C2A55E" w14:textId="77777777" w:rsidTr="00E56D37">
        <w:trPr>
          <w:trHeight w:val="102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6F06" w14:textId="77777777" w:rsidR="00E56D37" w:rsidRDefault="00E56D3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800" w14:textId="77777777" w:rsidR="00E56D37" w:rsidRDefault="00E5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za prihode poslovanja (konto 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45A" w14:textId="77777777" w:rsidR="00E56D37" w:rsidRDefault="00E5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 od prodaje nefinancijske imovine (konto 17)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E0F" w14:textId="77777777" w:rsidR="00E56D37" w:rsidRDefault="00E5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E56D37" w14:paraId="357D60C7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84C" w14:textId="77777777" w:rsidR="00E56D37" w:rsidRDefault="00E56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 Buje - Buie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1CF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9.638.832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1F8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2.728.010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A50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12.366.842    </w:t>
            </w:r>
          </w:p>
        </w:tc>
      </w:tr>
      <w:tr w:rsidR="00E56D37" w14:paraId="1CBF4DBB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CBB" w14:textId="77777777" w:rsidR="00E56D37" w:rsidRDefault="00E56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proračunski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2A1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301.046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C61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2AD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301.046    </w:t>
            </w:r>
          </w:p>
        </w:tc>
      </w:tr>
      <w:tr w:rsidR="00E56D37" w14:paraId="6019989C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253" w14:textId="77777777" w:rsidR="00E56D37" w:rsidRDefault="00E5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0B9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164.598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BBE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607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164.598    </w:t>
            </w:r>
          </w:p>
        </w:tc>
      </w:tr>
      <w:tr w:rsidR="00E56D37" w14:paraId="514AE3D7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26E" w14:textId="77777777" w:rsidR="00E56D37" w:rsidRDefault="00E5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Talijanski dječji vrtić Mrvica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62C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68.268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227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689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68.268    </w:t>
            </w:r>
          </w:p>
        </w:tc>
      </w:tr>
      <w:tr w:rsidR="00E56D37" w14:paraId="23F7492B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26D" w14:textId="77777777" w:rsidR="00E56D37" w:rsidRDefault="00E56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Pučko otvoreno učilište Buje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8D7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68.180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065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6AF" w14:textId="77777777" w:rsidR="00E56D37" w:rsidRDefault="00E56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68.180    </w:t>
            </w:r>
          </w:p>
        </w:tc>
      </w:tr>
      <w:tr w:rsidR="00E56D37" w14:paraId="582B657A" w14:textId="77777777" w:rsidTr="00E56D37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82F" w14:textId="77777777" w:rsidR="00E56D37" w:rsidRDefault="00E56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A72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9.939.878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2F2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2.728.010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C35" w14:textId="77777777" w:rsidR="00E56D37" w:rsidRDefault="00E56D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12.667.888    </w:t>
            </w:r>
          </w:p>
        </w:tc>
      </w:tr>
    </w:tbl>
    <w:p w14:paraId="680A347D" w14:textId="77777777" w:rsidR="006D6555" w:rsidRDefault="006D6555" w:rsidP="00A2660D">
      <w:pPr>
        <w:rPr>
          <w:b/>
        </w:rPr>
      </w:pPr>
    </w:p>
    <w:p w14:paraId="26F004C4" w14:textId="77777777" w:rsidR="00D83188" w:rsidRPr="00D83188" w:rsidRDefault="00D83188" w:rsidP="00A2660D">
      <w:pPr>
        <w:rPr>
          <w:bCs/>
          <w:u w:val="single"/>
        </w:rPr>
      </w:pPr>
      <w:r w:rsidRPr="00D83188">
        <w:rPr>
          <w:bCs/>
          <w:u w:val="single"/>
        </w:rPr>
        <w:t>Grad</w:t>
      </w:r>
    </w:p>
    <w:p w14:paraId="60F3A4B9" w14:textId="77F78CBF" w:rsidR="005943FA" w:rsidRDefault="006D6555" w:rsidP="00A2660D">
      <w:pPr>
        <w:rPr>
          <w:bCs/>
        </w:rPr>
      </w:pPr>
      <w:r w:rsidRPr="00CB41F0">
        <w:rPr>
          <w:bCs/>
        </w:rPr>
        <w:t>Stanje ukupnih nenaplaćenih potraživanja Grada Buja – Buie na dan 3</w:t>
      </w:r>
      <w:r w:rsidR="00E56D37">
        <w:rPr>
          <w:bCs/>
        </w:rPr>
        <w:t>1</w:t>
      </w:r>
      <w:r w:rsidRPr="00CB41F0">
        <w:rPr>
          <w:bCs/>
        </w:rPr>
        <w:t>.</w:t>
      </w:r>
      <w:r w:rsidR="00E56D37">
        <w:rPr>
          <w:bCs/>
        </w:rPr>
        <w:t>12</w:t>
      </w:r>
      <w:r w:rsidRPr="00CB41F0">
        <w:rPr>
          <w:bCs/>
        </w:rPr>
        <w:t>.2021. godine iznosi 1</w:t>
      </w:r>
      <w:r w:rsidR="00E56D37">
        <w:rPr>
          <w:bCs/>
        </w:rPr>
        <w:t xml:space="preserve">2.366.842 </w:t>
      </w:r>
      <w:r w:rsidRPr="00CB41F0">
        <w:rPr>
          <w:bCs/>
        </w:rPr>
        <w:t>kuna i već</w:t>
      </w:r>
      <w:r w:rsidR="00CB41F0">
        <w:rPr>
          <w:bCs/>
        </w:rPr>
        <w:t>e</w:t>
      </w:r>
      <w:r w:rsidRPr="00CB41F0">
        <w:rPr>
          <w:bCs/>
        </w:rPr>
        <w:t xml:space="preserve"> </w:t>
      </w:r>
      <w:r w:rsidR="00CB41F0">
        <w:rPr>
          <w:bCs/>
        </w:rPr>
        <w:t>je</w:t>
      </w:r>
      <w:r w:rsidRPr="00CB41F0">
        <w:rPr>
          <w:bCs/>
        </w:rPr>
        <w:t xml:space="preserve"> za </w:t>
      </w:r>
      <w:r w:rsidR="00CB41F0">
        <w:rPr>
          <w:bCs/>
        </w:rPr>
        <w:t>1,0</w:t>
      </w:r>
      <w:r w:rsidR="00A15C81">
        <w:rPr>
          <w:bCs/>
        </w:rPr>
        <w:t>1</w:t>
      </w:r>
      <w:r w:rsidR="00CB41F0">
        <w:rPr>
          <w:bCs/>
        </w:rPr>
        <w:t xml:space="preserve">% ili </w:t>
      </w:r>
      <w:r w:rsidRPr="00CB41F0">
        <w:rPr>
          <w:bCs/>
        </w:rPr>
        <w:t>1</w:t>
      </w:r>
      <w:r w:rsidR="00A15C81">
        <w:rPr>
          <w:bCs/>
        </w:rPr>
        <w:t>24.059</w:t>
      </w:r>
      <w:r w:rsidRPr="00CB41F0">
        <w:rPr>
          <w:bCs/>
        </w:rPr>
        <w:t xml:space="preserve"> kuna u odnosu na stanje</w:t>
      </w:r>
      <w:r w:rsidR="000C29FA">
        <w:rPr>
          <w:bCs/>
        </w:rPr>
        <w:t xml:space="preserve"> na dan</w:t>
      </w:r>
      <w:r w:rsidRPr="00CB41F0">
        <w:rPr>
          <w:bCs/>
        </w:rPr>
        <w:t xml:space="preserve"> 31.12.2020. godine</w:t>
      </w:r>
      <w:r w:rsidR="00CB41F0" w:rsidRPr="00CB41F0">
        <w:rPr>
          <w:bCs/>
        </w:rPr>
        <w:t>.</w:t>
      </w:r>
      <w:r w:rsidR="005943FA">
        <w:rPr>
          <w:bCs/>
        </w:rPr>
        <w:t xml:space="preserve"> </w:t>
      </w:r>
    </w:p>
    <w:p w14:paraId="7E033F05" w14:textId="21D8F4E2" w:rsidR="000C29FA" w:rsidRDefault="005943FA" w:rsidP="00A2660D">
      <w:pPr>
        <w:rPr>
          <w:bCs/>
        </w:rPr>
      </w:pPr>
      <w:r>
        <w:rPr>
          <w:bCs/>
        </w:rPr>
        <w:t xml:space="preserve">Stanje potraživanja za prihode poslovanja iznosi </w:t>
      </w:r>
      <w:r w:rsidR="004853F9">
        <w:rPr>
          <w:bCs/>
        </w:rPr>
        <w:t>9.638.832</w:t>
      </w:r>
      <w:r>
        <w:rPr>
          <w:bCs/>
        </w:rPr>
        <w:t xml:space="preserve"> kuna </w:t>
      </w:r>
      <w:r w:rsidR="00ED17DE">
        <w:rPr>
          <w:bCs/>
        </w:rPr>
        <w:t>i u odnosu na stanje</w:t>
      </w:r>
      <w:r w:rsidR="000C29FA">
        <w:rPr>
          <w:bCs/>
        </w:rPr>
        <w:t xml:space="preserve"> na dan</w:t>
      </w:r>
      <w:r w:rsidR="00ED17DE">
        <w:rPr>
          <w:bCs/>
        </w:rPr>
        <w:t xml:space="preserve"> 31.12.2020. godine veće je za </w:t>
      </w:r>
      <w:r w:rsidR="00553415">
        <w:rPr>
          <w:bCs/>
        </w:rPr>
        <w:t>1.210.366</w:t>
      </w:r>
      <w:r w:rsidR="00ED17DE">
        <w:rPr>
          <w:bCs/>
        </w:rPr>
        <w:t xml:space="preserve"> kuna. </w:t>
      </w:r>
      <w:r w:rsidR="000C29FA">
        <w:rPr>
          <w:bCs/>
        </w:rPr>
        <w:t xml:space="preserve">Od </w:t>
      </w:r>
      <w:r w:rsidR="004C4D02">
        <w:rPr>
          <w:bCs/>
        </w:rPr>
        <w:t xml:space="preserve">ukupnog </w:t>
      </w:r>
      <w:r w:rsidR="000C29FA">
        <w:rPr>
          <w:bCs/>
        </w:rPr>
        <w:t>iznos</w:t>
      </w:r>
      <w:r w:rsidR="004C4D02">
        <w:rPr>
          <w:bCs/>
        </w:rPr>
        <w:t>a,</w:t>
      </w:r>
      <w:r w:rsidR="000C29FA">
        <w:rPr>
          <w:bCs/>
        </w:rPr>
        <w:t xml:space="preserve"> </w:t>
      </w:r>
      <w:r w:rsidR="00553415">
        <w:rPr>
          <w:bCs/>
        </w:rPr>
        <w:t>1.912.903</w:t>
      </w:r>
      <w:r w:rsidR="000C29FA">
        <w:rPr>
          <w:bCs/>
        </w:rPr>
        <w:t xml:space="preserve"> kuna odnosi </w:t>
      </w:r>
      <w:r w:rsidR="006A2B7F">
        <w:rPr>
          <w:bCs/>
        </w:rPr>
        <w:t xml:space="preserve">se </w:t>
      </w:r>
      <w:r w:rsidR="000C29FA">
        <w:rPr>
          <w:bCs/>
        </w:rPr>
        <w:t xml:space="preserve">na porez na promet nekretnina koji obračunava i naplaćuje Porezna uprava, a iznos od 808.266 kuna na naknadu za razvoj vodoopskrbe koju obračunava i naplaćuje Istarski vodovod d.o.o. Od ukupno nenaplaćenih potraživanja </w:t>
      </w:r>
      <w:r w:rsidR="00553415">
        <w:rPr>
          <w:bCs/>
        </w:rPr>
        <w:t>8.730.780</w:t>
      </w:r>
      <w:r w:rsidR="000C29FA">
        <w:rPr>
          <w:bCs/>
        </w:rPr>
        <w:t xml:space="preserve"> kuna odnosi se na dospjela potraživanja, a iznos od </w:t>
      </w:r>
      <w:r w:rsidR="00553415">
        <w:rPr>
          <w:bCs/>
        </w:rPr>
        <w:t>908.052</w:t>
      </w:r>
      <w:r w:rsidR="00A646CB">
        <w:rPr>
          <w:bCs/>
        </w:rPr>
        <w:t xml:space="preserve"> </w:t>
      </w:r>
      <w:r w:rsidR="000C29FA">
        <w:rPr>
          <w:bCs/>
        </w:rPr>
        <w:t>kuna na nedospjela potraživanja. Najveći dio dospjelih potraživanja čine potraživanja za komunaln</w:t>
      </w:r>
      <w:r w:rsidR="00553415">
        <w:rPr>
          <w:bCs/>
        </w:rPr>
        <w:t>i</w:t>
      </w:r>
      <w:r w:rsidR="000C29FA">
        <w:rPr>
          <w:bCs/>
        </w:rPr>
        <w:t xml:space="preserve"> </w:t>
      </w:r>
      <w:r w:rsidR="00553415">
        <w:rPr>
          <w:bCs/>
        </w:rPr>
        <w:t xml:space="preserve">doprinos </w:t>
      </w:r>
      <w:r w:rsidR="000C29FA">
        <w:rPr>
          <w:bCs/>
        </w:rPr>
        <w:t>i komunaln</w:t>
      </w:r>
      <w:r w:rsidR="00553415">
        <w:rPr>
          <w:bCs/>
        </w:rPr>
        <w:t>u</w:t>
      </w:r>
      <w:r w:rsidR="000C29FA">
        <w:rPr>
          <w:bCs/>
        </w:rPr>
        <w:t xml:space="preserve"> </w:t>
      </w:r>
      <w:r w:rsidR="00553415">
        <w:rPr>
          <w:bCs/>
        </w:rPr>
        <w:t>naknadu</w:t>
      </w:r>
      <w:r w:rsidR="000C29FA">
        <w:rPr>
          <w:bCs/>
        </w:rPr>
        <w:t>.</w:t>
      </w:r>
    </w:p>
    <w:p w14:paraId="5D959FA5" w14:textId="206CB765" w:rsidR="00907695" w:rsidRPr="00CB41F0" w:rsidRDefault="00ED17DE" w:rsidP="00A2660D">
      <w:pPr>
        <w:rPr>
          <w:bCs/>
        </w:rPr>
      </w:pPr>
      <w:r>
        <w:rPr>
          <w:bCs/>
        </w:rPr>
        <w:t>Stanje potraživ</w:t>
      </w:r>
      <w:r w:rsidR="00960F52">
        <w:rPr>
          <w:bCs/>
        </w:rPr>
        <w:t>a</w:t>
      </w:r>
      <w:r>
        <w:rPr>
          <w:bCs/>
        </w:rPr>
        <w:t xml:space="preserve">nja od prodaje nefinancijske imovine iznosi </w:t>
      </w:r>
      <w:r w:rsidR="00553415">
        <w:rPr>
          <w:bCs/>
        </w:rPr>
        <w:t>2.728.010</w:t>
      </w:r>
      <w:r>
        <w:rPr>
          <w:bCs/>
        </w:rPr>
        <w:t xml:space="preserve"> kuna i u odnosu na stanje </w:t>
      </w:r>
      <w:r w:rsidR="00170109">
        <w:rPr>
          <w:bCs/>
        </w:rPr>
        <w:t xml:space="preserve">na dan </w:t>
      </w:r>
      <w:r>
        <w:rPr>
          <w:bCs/>
        </w:rPr>
        <w:t xml:space="preserve">31.12.2020. godine </w:t>
      </w:r>
      <w:r w:rsidR="0025172C">
        <w:rPr>
          <w:bCs/>
        </w:rPr>
        <w:t>manje</w:t>
      </w:r>
      <w:r>
        <w:rPr>
          <w:bCs/>
        </w:rPr>
        <w:t xml:space="preserve"> je za </w:t>
      </w:r>
      <w:r w:rsidR="0025172C">
        <w:rPr>
          <w:bCs/>
        </w:rPr>
        <w:t>1.086.307</w:t>
      </w:r>
      <w:r>
        <w:rPr>
          <w:bCs/>
        </w:rPr>
        <w:t xml:space="preserve"> </w:t>
      </w:r>
      <w:proofErr w:type="spellStart"/>
      <w:r>
        <w:rPr>
          <w:bCs/>
        </w:rPr>
        <w:t>kuna</w:t>
      </w:r>
      <w:r w:rsidR="00960F52">
        <w:rPr>
          <w:bCs/>
        </w:rPr>
        <w:t>.</w:t>
      </w:r>
      <w:r w:rsidR="000C29FA">
        <w:rPr>
          <w:bCs/>
        </w:rPr>
        <w:t>Od</w:t>
      </w:r>
      <w:proofErr w:type="spellEnd"/>
      <w:r w:rsidR="000C29FA">
        <w:rPr>
          <w:bCs/>
        </w:rPr>
        <w:t xml:space="preserve"> toga se iznos od 1.</w:t>
      </w:r>
      <w:r w:rsidR="0025172C">
        <w:rPr>
          <w:bCs/>
        </w:rPr>
        <w:t>089.116</w:t>
      </w:r>
      <w:r w:rsidR="000C29FA">
        <w:rPr>
          <w:bCs/>
        </w:rPr>
        <w:t xml:space="preserve"> kuna odnosi na dospjela, a iznos od </w:t>
      </w:r>
      <w:r w:rsidR="0025172C">
        <w:rPr>
          <w:bCs/>
        </w:rPr>
        <w:t>1.638.894</w:t>
      </w:r>
      <w:r w:rsidR="000C29FA">
        <w:rPr>
          <w:bCs/>
        </w:rPr>
        <w:t xml:space="preserve"> kuna na nedospjela potraživanja.</w:t>
      </w:r>
    </w:p>
    <w:p w14:paraId="501A6E75" w14:textId="77777777" w:rsidR="00CB41F0" w:rsidRDefault="00CB41F0" w:rsidP="00A2660D">
      <w:pPr>
        <w:rPr>
          <w:bCs/>
        </w:rPr>
      </w:pPr>
    </w:p>
    <w:p w14:paraId="210C5F77" w14:textId="77777777" w:rsidR="00D83188" w:rsidRPr="00D83188" w:rsidRDefault="00D83188" w:rsidP="00A2660D">
      <w:pPr>
        <w:rPr>
          <w:bCs/>
          <w:u w:val="single"/>
        </w:rPr>
      </w:pPr>
      <w:r w:rsidRPr="00D83188">
        <w:rPr>
          <w:bCs/>
          <w:u w:val="single"/>
        </w:rPr>
        <w:lastRenderedPageBreak/>
        <w:t>Proračunski korisnici</w:t>
      </w:r>
    </w:p>
    <w:p w14:paraId="72B70D5A" w14:textId="19745FC1" w:rsidR="00CB41F0" w:rsidRDefault="00CB41F0" w:rsidP="00A2660D">
      <w:pPr>
        <w:rPr>
          <w:bCs/>
        </w:rPr>
      </w:pPr>
      <w:r w:rsidRPr="00CB41F0">
        <w:rPr>
          <w:bCs/>
        </w:rPr>
        <w:t>Stanje ukupnih nenaplaćenih potraživanja svih proračunskih korisnika na dan 3</w:t>
      </w:r>
      <w:r w:rsidR="008349B5">
        <w:rPr>
          <w:bCs/>
        </w:rPr>
        <w:t>1</w:t>
      </w:r>
      <w:r w:rsidRPr="00CB41F0">
        <w:rPr>
          <w:bCs/>
        </w:rPr>
        <w:t>.</w:t>
      </w:r>
      <w:r w:rsidR="008349B5">
        <w:rPr>
          <w:bCs/>
        </w:rPr>
        <w:t>21</w:t>
      </w:r>
      <w:r w:rsidRPr="00CB41F0">
        <w:rPr>
          <w:bCs/>
        </w:rPr>
        <w:t xml:space="preserve">.2021. godine iznosi </w:t>
      </w:r>
      <w:r w:rsidR="00893B58">
        <w:rPr>
          <w:bCs/>
        </w:rPr>
        <w:t>301.046</w:t>
      </w:r>
      <w:r w:rsidRPr="00CB41F0">
        <w:rPr>
          <w:bCs/>
        </w:rPr>
        <w:t xml:space="preserve"> kuna i veće je za </w:t>
      </w:r>
      <w:r w:rsidR="00893B58">
        <w:rPr>
          <w:bCs/>
        </w:rPr>
        <w:t>29,83</w:t>
      </w:r>
      <w:r>
        <w:rPr>
          <w:bCs/>
        </w:rPr>
        <w:t xml:space="preserve">% ili </w:t>
      </w:r>
      <w:r w:rsidR="00893B58">
        <w:rPr>
          <w:bCs/>
        </w:rPr>
        <w:t>69.170</w:t>
      </w:r>
      <w:r w:rsidRPr="00CB41F0">
        <w:rPr>
          <w:bCs/>
        </w:rPr>
        <w:t xml:space="preserve"> kuna u odnosu na stanje </w:t>
      </w:r>
      <w:r w:rsidR="00170109">
        <w:rPr>
          <w:bCs/>
        </w:rPr>
        <w:t xml:space="preserve">na dan </w:t>
      </w:r>
      <w:r w:rsidRPr="00CB41F0">
        <w:rPr>
          <w:bCs/>
        </w:rPr>
        <w:t xml:space="preserve">31.12.2020. godine. </w:t>
      </w:r>
      <w:r w:rsidR="00ED17DE">
        <w:rPr>
          <w:bCs/>
        </w:rPr>
        <w:t>Ukupna potraživanja proračunskih korisnika odnose se na potraživanja za prihode poslovanja</w:t>
      </w:r>
      <w:r w:rsidR="000C29FA">
        <w:rPr>
          <w:bCs/>
        </w:rPr>
        <w:t xml:space="preserve"> od čega je </w:t>
      </w:r>
      <w:r w:rsidR="00156C59">
        <w:rPr>
          <w:bCs/>
        </w:rPr>
        <w:t>33.109</w:t>
      </w:r>
      <w:r w:rsidR="00170109">
        <w:rPr>
          <w:bCs/>
        </w:rPr>
        <w:t xml:space="preserve"> kuna dospjelo, a </w:t>
      </w:r>
      <w:r w:rsidR="00156C59">
        <w:rPr>
          <w:bCs/>
        </w:rPr>
        <w:t>267.937</w:t>
      </w:r>
      <w:r w:rsidR="00170109">
        <w:rPr>
          <w:bCs/>
        </w:rPr>
        <w:t xml:space="preserve"> kuna nedospjelo potraživanje</w:t>
      </w:r>
      <w:r w:rsidR="00ED17DE">
        <w:rPr>
          <w:bCs/>
        </w:rPr>
        <w:t>.</w:t>
      </w:r>
    </w:p>
    <w:p w14:paraId="6A2E58B5" w14:textId="77777777" w:rsidR="00AF27CD" w:rsidRDefault="00AF27CD" w:rsidP="00A2660D">
      <w:pPr>
        <w:rPr>
          <w:bCs/>
        </w:rPr>
      </w:pPr>
    </w:p>
    <w:p w14:paraId="208A34A6" w14:textId="4EE2D26A" w:rsidR="00AF27CD" w:rsidRDefault="00AF27CD" w:rsidP="00A2660D">
      <w:pPr>
        <w:rPr>
          <w:bCs/>
        </w:rPr>
      </w:pPr>
      <w:r>
        <w:rPr>
          <w:bCs/>
        </w:rPr>
        <w:t>Iznos od 188.866 kuna odnosi se na potraživanja proračunskih korisnika za sredstva uplaćena u nadležni proračun.</w:t>
      </w:r>
    </w:p>
    <w:p w14:paraId="73882D94" w14:textId="77777777" w:rsidR="00ED17DE" w:rsidRPr="00CB41F0" w:rsidRDefault="00ED17DE" w:rsidP="00A2660D">
      <w:pPr>
        <w:rPr>
          <w:bCs/>
        </w:rPr>
      </w:pPr>
    </w:p>
    <w:p w14:paraId="4A497895" w14:textId="77777777" w:rsidR="00F34B10" w:rsidRDefault="00F34B10" w:rsidP="00A2660D">
      <w:pPr>
        <w:rPr>
          <w:sz w:val="20"/>
          <w:szCs w:val="20"/>
        </w:rPr>
      </w:pPr>
    </w:p>
    <w:p w14:paraId="7FA3C2AB" w14:textId="48D40D4C" w:rsidR="00D93E2A" w:rsidRPr="00093EE6" w:rsidRDefault="007B47E4" w:rsidP="00093EE6">
      <w:pPr>
        <w:rPr>
          <w:b/>
          <w:bCs/>
        </w:rPr>
      </w:pPr>
      <w:bookmarkStart w:id="29" w:name="_Toc78878323"/>
      <w:bookmarkStart w:id="30" w:name="_Toc79578510"/>
      <w:r w:rsidRPr="00093EE6">
        <w:rPr>
          <w:b/>
          <w:bCs/>
        </w:rPr>
        <w:t xml:space="preserve">STANJE NEPODMIRENIH DOSPJELIH OBVEZA </w:t>
      </w:r>
      <w:r w:rsidR="00116C51" w:rsidRPr="00093EE6">
        <w:rPr>
          <w:b/>
          <w:bCs/>
        </w:rPr>
        <w:t>GRADA</w:t>
      </w:r>
      <w:r w:rsidRPr="00093EE6">
        <w:rPr>
          <w:b/>
          <w:bCs/>
        </w:rPr>
        <w:t xml:space="preserve"> I PRORAČUNSKIH </w:t>
      </w:r>
      <w:r w:rsidR="008D615A" w:rsidRPr="00093EE6">
        <w:rPr>
          <w:b/>
          <w:bCs/>
        </w:rPr>
        <w:t>K</w:t>
      </w:r>
      <w:r w:rsidRPr="00093EE6">
        <w:rPr>
          <w:b/>
          <w:bCs/>
        </w:rPr>
        <w:t xml:space="preserve">ORISNIKA NA DAN </w:t>
      </w:r>
      <w:r w:rsidR="00AF27CD" w:rsidRPr="00093EE6">
        <w:rPr>
          <w:b/>
          <w:bCs/>
        </w:rPr>
        <w:t>31.12</w:t>
      </w:r>
      <w:r w:rsidR="007C683C" w:rsidRPr="00093EE6">
        <w:rPr>
          <w:b/>
          <w:bCs/>
        </w:rPr>
        <w:t>.202</w:t>
      </w:r>
      <w:r w:rsidR="00D83188" w:rsidRPr="00093EE6">
        <w:rPr>
          <w:b/>
          <w:bCs/>
        </w:rPr>
        <w:t>1</w:t>
      </w:r>
      <w:r w:rsidRPr="00093EE6">
        <w:rPr>
          <w:b/>
          <w:bCs/>
        </w:rPr>
        <w:t>. GODINE</w:t>
      </w:r>
      <w:bookmarkEnd w:id="29"/>
      <w:bookmarkEnd w:id="30"/>
    </w:p>
    <w:p w14:paraId="0A0F08F6" w14:textId="7DD76B81" w:rsidR="00735637" w:rsidRDefault="00735637" w:rsidP="008D615A">
      <w:pPr>
        <w:pStyle w:val="Subtitle1"/>
        <w:rPr>
          <w:rFonts w:ascii="Times New Roman" w:hAnsi="Times New Roman"/>
          <w:sz w:val="22"/>
          <w:szCs w:val="22"/>
        </w:rPr>
      </w:pPr>
    </w:p>
    <w:tbl>
      <w:tblPr>
        <w:tblW w:w="5630" w:type="dxa"/>
        <w:tblLook w:val="04A0" w:firstRow="1" w:lastRow="0" w:firstColumn="1" w:lastColumn="0" w:noHBand="0" w:noVBand="1"/>
      </w:tblPr>
      <w:tblGrid>
        <w:gridCol w:w="3000"/>
        <w:gridCol w:w="2630"/>
      </w:tblGrid>
      <w:tr w:rsidR="00735637" w14:paraId="0B9C6545" w14:textId="77777777" w:rsidTr="00735637">
        <w:trPr>
          <w:trHeight w:val="10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426" w14:textId="77777777" w:rsidR="00735637" w:rsidRDefault="007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E54" w14:textId="77777777" w:rsidR="00735637" w:rsidRDefault="007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nepodmirenih dospjelih obveza</w:t>
            </w:r>
          </w:p>
        </w:tc>
      </w:tr>
      <w:tr w:rsidR="00735637" w14:paraId="35055BBB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900" w14:textId="77777777" w:rsidR="00735637" w:rsidRDefault="00735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 Buje - Buie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D991" w14:textId="77777777" w:rsidR="00735637" w:rsidRDefault="007356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115.755    </w:t>
            </w:r>
          </w:p>
        </w:tc>
      </w:tr>
      <w:tr w:rsidR="00735637" w14:paraId="62A9C5DE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66C" w14:textId="77777777" w:rsidR="00735637" w:rsidRDefault="00735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proračunski korisnici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DA3" w14:textId="77777777" w:rsidR="00735637" w:rsidRDefault="007356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38.486    </w:t>
            </w:r>
          </w:p>
        </w:tc>
      </w:tr>
      <w:tr w:rsidR="00735637" w14:paraId="4B7745EE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392" w14:textId="77777777" w:rsidR="00735637" w:rsidRDefault="0073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vrtić Buje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8E4" w14:textId="77777777" w:rsidR="00735637" w:rsidRDefault="00735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9.512    </w:t>
            </w:r>
          </w:p>
        </w:tc>
      </w:tr>
      <w:tr w:rsidR="00735637" w14:paraId="083AFA1D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0A8" w14:textId="77777777" w:rsidR="00735637" w:rsidRDefault="0073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Talijanski dječji vrtić Mrvica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4A9" w14:textId="77777777" w:rsidR="00735637" w:rsidRDefault="00735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28.974    </w:t>
            </w:r>
          </w:p>
        </w:tc>
      </w:tr>
      <w:tr w:rsidR="00735637" w14:paraId="28FCEEFC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19B" w14:textId="77777777" w:rsidR="00735637" w:rsidRDefault="0073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Pučko otvoreno učilište Buje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48D" w14:textId="77777777" w:rsidR="00735637" w:rsidRDefault="007356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-      </w:t>
            </w:r>
          </w:p>
        </w:tc>
      </w:tr>
      <w:tr w:rsidR="00735637" w14:paraId="7A55A72E" w14:textId="77777777" w:rsidTr="00735637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378" w14:textId="77777777" w:rsidR="00735637" w:rsidRDefault="00735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5BA" w14:textId="77777777" w:rsidR="00735637" w:rsidRDefault="007356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154.241    </w:t>
            </w:r>
          </w:p>
        </w:tc>
      </w:tr>
    </w:tbl>
    <w:p w14:paraId="4C441F29" w14:textId="77777777" w:rsidR="00735637" w:rsidRPr="008D615A" w:rsidRDefault="00735637" w:rsidP="008D615A">
      <w:pPr>
        <w:pStyle w:val="Subtitle1"/>
        <w:rPr>
          <w:rFonts w:ascii="Times New Roman" w:hAnsi="Times New Roman"/>
          <w:sz w:val="22"/>
          <w:szCs w:val="22"/>
        </w:rPr>
      </w:pPr>
    </w:p>
    <w:p w14:paraId="7FBC0F28" w14:textId="77777777" w:rsidR="00C357FD" w:rsidRDefault="00C357FD" w:rsidP="00A2660D">
      <w:pPr>
        <w:rPr>
          <w:b/>
        </w:rPr>
      </w:pPr>
    </w:p>
    <w:p w14:paraId="1E2DCF83" w14:textId="4D4028CD" w:rsidR="00735637" w:rsidRPr="00CC4264" w:rsidRDefault="00C357FD" w:rsidP="00A2660D">
      <w:pPr>
        <w:rPr>
          <w:bCs/>
          <w:u w:val="single"/>
        </w:rPr>
      </w:pPr>
      <w:r w:rsidRPr="00CC4264">
        <w:rPr>
          <w:bCs/>
          <w:u w:val="single"/>
        </w:rPr>
        <w:t>Grad</w:t>
      </w:r>
    </w:p>
    <w:p w14:paraId="17B171B3" w14:textId="373B02D1" w:rsidR="00C357FD" w:rsidRDefault="00C357FD" w:rsidP="00A2660D">
      <w:pPr>
        <w:rPr>
          <w:bCs/>
        </w:rPr>
      </w:pPr>
      <w:r>
        <w:rPr>
          <w:bCs/>
        </w:rPr>
        <w:t xml:space="preserve">Stanje ukupnih dospjelih nepodmirenih obveza Grada Buja – Buie na dan </w:t>
      </w:r>
      <w:r w:rsidR="00735637">
        <w:rPr>
          <w:bCs/>
        </w:rPr>
        <w:t>12</w:t>
      </w:r>
      <w:r>
        <w:rPr>
          <w:bCs/>
        </w:rPr>
        <w:t>.</w:t>
      </w:r>
      <w:r w:rsidR="00735637">
        <w:rPr>
          <w:bCs/>
        </w:rPr>
        <w:t>12</w:t>
      </w:r>
      <w:r>
        <w:rPr>
          <w:bCs/>
        </w:rPr>
        <w:t xml:space="preserve">.2021. godine iznosi </w:t>
      </w:r>
      <w:r w:rsidR="00735637">
        <w:rPr>
          <w:bCs/>
        </w:rPr>
        <w:t>115.755</w:t>
      </w:r>
      <w:r>
        <w:rPr>
          <w:bCs/>
        </w:rPr>
        <w:t xml:space="preserve"> kuna i za </w:t>
      </w:r>
      <w:r w:rsidR="00735637">
        <w:rPr>
          <w:bCs/>
        </w:rPr>
        <w:t>46.551</w:t>
      </w:r>
      <w:r>
        <w:rPr>
          <w:bCs/>
        </w:rPr>
        <w:t xml:space="preserve"> kuna je veće u odnosu na stanje na dan 31.12.2020. godine. Od ukupno dospjelih obveza dospjelo je na plaćanje unutar 60 dana </w:t>
      </w:r>
      <w:r w:rsidR="00735637">
        <w:rPr>
          <w:bCs/>
        </w:rPr>
        <w:t>44.139</w:t>
      </w:r>
      <w:r>
        <w:rPr>
          <w:bCs/>
        </w:rPr>
        <w:t xml:space="preserve"> kuna</w:t>
      </w:r>
      <w:r w:rsidR="000B22BE">
        <w:rPr>
          <w:bCs/>
        </w:rPr>
        <w:t xml:space="preserve">, iznad 181 do 360 dana dospjelo je </w:t>
      </w:r>
      <w:r w:rsidR="00735637">
        <w:rPr>
          <w:bCs/>
        </w:rPr>
        <w:t>53.616</w:t>
      </w:r>
      <w:r w:rsidR="000B22BE">
        <w:rPr>
          <w:bCs/>
        </w:rPr>
        <w:t xml:space="preserve"> kuna i više od 360 dana dospjelo je 1</w:t>
      </w:r>
      <w:r w:rsidR="00735637">
        <w:rPr>
          <w:bCs/>
        </w:rPr>
        <w:t>8.000</w:t>
      </w:r>
      <w:r w:rsidR="000B22BE">
        <w:rPr>
          <w:bCs/>
        </w:rPr>
        <w:t xml:space="preserve"> kuna.</w:t>
      </w:r>
    </w:p>
    <w:p w14:paraId="40CB05C7" w14:textId="77777777" w:rsidR="004C5E68" w:rsidRDefault="004C5E68" w:rsidP="00A2660D">
      <w:pPr>
        <w:rPr>
          <w:bCs/>
        </w:rPr>
      </w:pPr>
    </w:p>
    <w:p w14:paraId="47A96B99" w14:textId="77777777" w:rsidR="004C5E68" w:rsidRDefault="004C5E68" w:rsidP="00A2660D">
      <w:pPr>
        <w:rPr>
          <w:bCs/>
        </w:rPr>
      </w:pPr>
    </w:p>
    <w:p w14:paraId="4991B149" w14:textId="77777777" w:rsidR="000B22BE" w:rsidRPr="00CC4264" w:rsidRDefault="000B22BE" w:rsidP="00A2660D">
      <w:pPr>
        <w:rPr>
          <w:bCs/>
          <w:u w:val="single"/>
        </w:rPr>
      </w:pPr>
      <w:r w:rsidRPr="00CC4264">
        <w:rPr>
          <w:bCs/>
          <w:u w:val="single"/>
        </w:rPr>
        <w:t>Proračunski korisnici</w:t>
      </w:r>
    </w:p>
    <w:p w14:paraId="754B1C27" w14:textId="5F933628" w:rsidR="00CC4264" w:rsidRDefault="000B22BE" w:rsidP="00A2660D">
      <w:pPr>
        <w:rPr>
          <w:bCs/>
        </w:rPr>
      </w:pPr>
      <w:r>
        <w:rPr>
          <w:bCs/>
        </w:rPr>
        <w:t>Stanje ukupnih dospjelih nepodmirenih obveza svih proračunskih korisnika iznos</w:t>
      </w:r>
      <w:r w:rsidR="00960F52">
        <w:rPr>
          <w:bCs/>
        </w:rPr>
        <w:t>i</w:t>
      </w:r>
      <w:r>
        <w:rPr>
          <w:bCs/>
        </w:rPr>
        <w:t xml:space="preserve"> </w:t>
      </w:r>
      <w:r w:rsidR="00735637">
        <w:rPr>
          <w:bCs/>
        </w:rPr>
        <w:t>38.486</w:t>
      </w:r>
      <w:r>
        <w:rPr>
          <w:bCs/>
        </w:rPr>
        <w:t xml:space="preserve"> kuna i za </w:t>
      </w:r>
      <w:r w:rsidR="003C3D1C">
        <w:rPr>
          <w:bCs/>
        </w:rPr>
        <w:t>32.530</w:t>
      </w:r>
      <w:r>
        <w:rPr>
          <w:bCs/>
        </w:rPr>
        <w:t xml:space="preserve"> kuna veće </w:t>
      </w:r>
      <w:r w:rsidR="00960F52">
        <w:rPr>
          <w:bCs/>
        </w:rPr>
        <w:t>je</w:t>
      </w:r>
      <w:r>
        <w:rPr>
          <w:bCs/>
        </w:rPr>
        <w:t xml:space="preserve"> u odnosu na početno stanje. </w:t>
      </w:r>
    </w:p>
    <w:p w14:paraId="5D83EDD1" w14:textId="436A16CA" w:rsidR="00907695" w:rsidRPr="00C357FD" w:rsidRDefault="00CC4264" w:rsidP="00A2660D">
      <w:pPr>
        <w:rPr>
          <w:bCs/>
        </w:rPr>
      </w:pPr>
      <w:r>
        <w:rPr>
          <w:bCs/>
        </w:rPr>
        <w:t>Dospjela obveza među proračunskim korisnicima za podmirenje zajedničkih troškova iznosi 2</w:t>
      </w:r>
      <w:r w:rsidR="003C3D1C">
        <w:rPr>
          <w:bCs/>
        </w:rPr>
        <w:t>8.974</w:t>
      </w:r>
      <w:r>
        <w:rPr>
          <w:bCs/>
        </w:rPr>
        <w:t xml:space="preserve"> kuna (obveze prema dobavljačima su podmirene).</w:t>
      </w:r>
    </w:p>
    <w:p w14:paraId="29474943" w14:textId="4A840908" w:rsidR="00BE0C56" w:rsidRDefault="00BE0C56" w:rsidP="00A2660D">
      <w:pPr>
        <w:rPr>
          <w:b/>
        </w:rPr>
      </w:pPr>
    </w:p>
    <w:p w14:paraId="465B514C" w14:textId="384A9ED6" w:rsidR="006B5E4E" w:rsidRDefault="006B5E4E" w:rsidP="00A2660D">
      <w:pPr>
        <w:rPr>
          <w:b/>
        </w:rPr>
      </w:pPr>
    </w:p>
    <w:p w14:paraId="21BC437F" w14:textId="4E762B1D" w:rsidR="006B5E4E" w:rsidRDefault="006B5E4E" w:rsidP="00A2660D">
      <w:pPr>
        <w:rPr>
          <w:b/>
        </w:rPr>
      </w:pPr>
    </w:p>
    <w:p w14:paraId="2660D86B" w14:textId="6C5B5563" w:rsidR="006B5E4E" w:rsidRDefault="006B5E4E" w:rsidP="00A2660D">
      <w:pPr>
        <w:rPr>
          <w:b/>
        </w:rPr>
      </w:pPr>
    </w:p>
    <w:p w14:paraId="06E7B2FA" w14:textId="01C9C59D" w:rsidR="006B5E4E" w:rsidRDefault="006B5E4E" w:rsidP="00A2660D">
      <w:pPr>
        <w:rPr>
          <w:b/>
        </w:rPr>
      </w:pPr>
    </w:p>
    <w:p w14:paraId="34AED2A1" w14:textId="57FE2A08" w:rsidR="006B5E4E" w:rsidRDefault="006B5E4E" w:rsidP="00A2660D">
      <w:pPr>
        <w:rPr>
          <w:b/>
        </w:rPr>
      </w:pPr>
    </w:p>
    <w:p w14:paraId="4C9F5E2E" w14:textId="77777777" w:rsidR="00AF50AF" w:rsidRDefault="00AF50AF" w:rsidP="00A2660D">
      <w:pPr>
        <w:rPr>
          <w:b/>
        </w:rPr>
      </w:pPr>
    </w:p>
    <w:p w14:paraId="11307059" w14:textId="77777777" w:rsidR="006B5E4E" w:rsidRDefault="006B5E4E" w:rsidP="00A2660D">
      <w:pPr>
        <w:rPr>
          <w:b/>
        </w:rPr>
      </w:pPr>
    </w:p>
    <w:p w14:paraId="2ED25D1E" w14:textId="77777777" w:rsidR="00BC03F5" w:rsidRPr="00E80A17" w:rsidRDefault="00BC03F5" w:rsidP="00A2660D">
      <w:pPr>
        <w:rPr>
          <w:b/>
        </w:rPr>
      </w:pPr>
    </w:p>
    <w:p w14:paraId="574B1034" w14:textId="77777777" w:rsidR="00FA4385" w:rsidRDefault="00FA4385" w:rsidP="00A2660D">
      <w:pPr>
        <w:rPr>
          <w:sz w:val="20"/>
          <w:szCs w:val="20"/>
        </w:rPr>
      </w:pPr>
    </w:p>
    <w:p w14:paraId="75B97F97" w14:textId="1C803D42" w:rsidR="00A37624" w:rsidRPr="00093EE6" w:rsidRDefault="00A37624" w:rsidP="00093EE6">
      <w:pPr>
        <w:rPr>
          <w:b/>
          <w:bCs/>
        </w:rPr>
      </w:pPr>
      <w:bookmarkStart w:id="31" w:name="_Toc78878324"/>
      <w:bookmarkStart w:id="32" w:name="_Toc79578511"/>
      <w:r w:rsidRPr="00093EE6">
        <w:rPr>
          <w:b/>
          <w:bCs/>
        </w:rPr>
        <w:t>STANJE POTENCIJALNIH OBVEZA PO OSNOVI SUDSKIH POSTUPAKA</w:t>
      </w:r>
      <w:bookmarkEnd w:id="31"/>
      <w:bookmarkEnd w:id="32"/>
    </w:p>
    <w:p w14:paraId="7EBAD820" w14:textId="61024AF2" w:rsidR="000A7BE0" w:rsidRPr="00093EE6" w:rsidRDefault="000A7BE0" w:rsidP="00093EE6">
      <w:pPr>
        <w:rPr>
          <w:b/>
          <w:bCs/>
        </w:rPr>
      </w:pPr>
    </w:p>
    <w:p w14:paraId="3002018D" w14:textId="77777777" w:rsidR="000A7BE0" w:rsidRPr="008D615A" w:rsidRDefault="000A7BE0" w:rsidP="008D615A">
      <w:pPr>
        <w:pStyle w:val="Subtitle1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650"/>
        <w:gridCol w:w="1897"/>
        <w:gridCol w:w="1559"/>
        <w:gridCol w:w="1402"/>
        <w:gridCol w:w="1433"/>
        <w:gridCol w:w="1418"/>
      </w:tblGrid>
      <w:tr w:rsidR="000A7BE0" w14:paraId="17AF460D" w14:textId="77777777" w:rsidTr="000A7BE0">
        <w:trPr>
          <w:trHeight w:val="17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550F7299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4CAC2FC6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prirode spora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04B190C1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pravne / fizičke osobe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2B0AFD14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 financijskog učinka IMOVINA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5F9BAE3F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procijenjena vrijednost financijskog učinka </w:t>
            </w:r>
            <w:r>
              <w:rPr>
                <w:b/>
                <w:bCs/>
                <w:sz w:val="22"/>
                <w:szCs w:val="22"/>
              </w:rPr>
              <w:br/>
              <w:t>OBVEZA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C0C0C0"/>
            <w:vAlign w:val="center"/>
            <w:hideMark/>
          </w:tcPr>
          <w:p w14:paraId="727899C0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procijenjeno vrijeme odljeva ili priljeva sredstava</w:t>
            </w:r>
          </w:p>
        </w:tc>
      </w:tr>
      <w:tr w:rsidR="000A7BE0" w14:paraId="284E90F5" w14:textId="77777777" w:rsidTr="000A7BE0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1865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2F5" w14:textId="77777777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Ovršni postupak na pokretninama je na temelju prigovora prešao u parnični postupak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9CC" w14:textId="1D2BE24C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 w:rsidRPr="00BE0C56">
              <w:rPr>
                <w:color w:val="000000"/>
                <w:sz w:val="18"/>
                <w:szCs w:val="18"/>
              </w:rPr>
              <w:t>fizička osoba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3F5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31.419,09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DFF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EF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2AE41298" w14:textId="77777777" w:rsidTr="000A7BE0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BE73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281" w14:textId="77777777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Tužba protiv otkaza Ugovora o osnivanju prava služnosti na javnim površinama – služnost za EKI mrežu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AF3" w14:textId="77777777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Hrvatski Telekom d.d. , Zagreb,</w:t>
            </w:r>
            <w:r>
              <w:rPr>
                <w:color w:val="000000"/>
                <w:sz w:val="22"/>
                <w:szCs w:val="22"/>
              </w:rPr>
              <w:br/>
              <w:t>Roberta Frangeša Mihanovića 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F2E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EE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25.000,12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D45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108C5679" w14:textId="77777777" w:rsidTr="000A7BE0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046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2BF" w14:textId="77777777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Tužba radi stjecanja bez osnove - korištenje nekretnina bez plaćanja naknade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E65" w14:textId="77777777" w:rsidR="000A7BE0" w:rsidRDefault="000A7B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Hrvatski Telekom d.d. , Zagreb,</w:t>
            </w:r>
            <w:r>
              <w:rPr>
                <w:color w:val="000000"/>
                <w:sz w:val="22"/>
                <w:szCs w:val="22"/>
              </w:rPr>
              <w:br/>
              <w:t>Roberta Frangeša Mihanovića 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DB2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1.539.487,31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9CF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35E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57BBC049" w14:textId="77777777" w:rsidTr="000A7BE0">
        <w:trPr>
          <w:trHeight w:val="8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11B5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DF8" w14:textId="77777777" w:rsidR="000A7BE0" w:rsidRDefault="000A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Tužba radi utvrđenja prava vlasništva, k.č.br. 355/6 i 889/52 k.o. Kaštel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E9E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FFB" w14:textId="77777777" w:rsidR="000A7BE0" w:rsidRDefault="000A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E5BA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115.111,11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420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4A61C701" w14:textId="77777777" w:rsidTr="000A7BE0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75B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B0C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Tužba radi naknade štete za prodane nekretnine, k.č.br.375/15 u 3/5 dijela, 3258/26, 3258/38 k.o. Buje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ECB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DDE" w14:textId="77777777" w:rsidR="000A7BE0" w:rsidRDefault="000A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B9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223.736,16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0F9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66BB0322" w14:textId="77777777" w:rsidTr="000A7BE0">
        <w:trPr>
          <w:trHeight w:val="14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5432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CC0A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Tužba radi utvrđenja prava vlasništva na k.č.br. 364, 376, 383/1, 396/1, 396/2, 409/3, 409/2, 378/1, 390/1, 391, 379/2, 383/2, 377, 659/2, 418, 419/2, 419/3, 456/3, 456/1, </w:t>
            </w:r>
            <w:r>
              <w:rPr>
                <w:sz w:val="22"/>
                <w:szCs w:val="22"/>
              </w:rPr>
              <w:lastRenderedPageBreak/>
              <w:t>456/6, i dr. sve k.o. Kaštel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F94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REPUBLIKA HRVATSKA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EC06" w14:textId="77777777" w:rsidR="000A7BE0" w:rsidRDefault="000A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44C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10.000,00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ACF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51504326" w14:textId="77777777" w:rsidTr="000A7BE0">
        <w:trPr>
          <w:trHeight w:val="8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AAF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4AB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Tužba radi priznanja ulaganja u poslovni prostor, Buje, Istarska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67A" w14:textId="6FD4F16C" w:rsidR="000A7BE0" w:rsidRDefault="000A7BE0">
            <w:pPr>
              <w:jc w:val="center"/>
              <w:rPr>
                <w:sz w:val="22"/>
                <w:szCs w:val="22"/>
              </w:rPr>
            </w:pPr>
            <w:r w:rsidRPr="00BE0C56">
              <w:rPr>
                <w:color w:val="000000"/>
                <w:sz w:val="18"/>
                <w:szCs w:val="18"/>
              </w:rPr>
              <w:t>fizička osoba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C32" w14:textId="77777777" w:rsidR="000A7BE0" w:rsidRDefault="000A7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4A4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206.063,70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68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10F8F0A2" w14:textId="77777777" w:rsidTr="000A7BE0">
        <w:trPr>
          <w:trHeight w:val="8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DED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8DC3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Tužba radi poništenja zemljišnoknjižnog upisa i povrata u prijašnje stanje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251" w14:textId="30884A8D" w:rsidR="000A7BE0" w:rsidRDefault="000A7BE0">
            <w:pPr>
              <w:jc w:val="center"/>
              <w:rPr>
                <w:sz w:val="22"/>
                <w:szCs w:val="22"/>
              </w:rPr>
            </w:pPr>
            <w:r w:rsidRPr="00BE0C56">
              <w:rPr>
                <w:color w:val="000000"/>
                <w:sz w:val="18"/>
                <w:szCs w:val="18"/>
              </w:rPr>
              <w:t>fizička osoba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40C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99.000,00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A29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7CA8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7EF6ABFD" w14:textId="77777777" w:rsidTr="000A7BE0">
        <w:trPr>
          <w:trHeight w:val="8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1CA" w14:textId="77777777" w:rsidR="000A7BE0" w:rsidRDefault="000A7B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74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Tužba radi predaje u posjed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483" w14:textId="2BC48C65" w:rsidR="000A7BE0" w:rsidRDefault="000A7BE0">
            <w:pPr>
              <w:jc w:val="center"/>
              <w:rPr>
                <w:sz w:val="22"/>
                <w:szCs w:val="22"/>
              </w:rPr>
            </w:pPr>
            <w:r w:rsidRPr="00BE0C56">
              <w:rPr>
                <w:color w:val="000000"/>
                <w:sz w:val="18"/>
                <w:szCs w:val="18"/>
              </w:rPr>
              <w:t>fizička osoba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0A1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105.000,00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E91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E7E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7BE0" w14:paraId="7540254F" w14:textId="77777777" w:rsidTr="000A7BE0">
        <w:trPr>
          <w:trHeight w:val="42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F68" w14:textId="77777777" w:rsidR="000A7BE0" w:rsidRDefault="000A7B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6D28E46B" w14:textId="77777777" w:rsidR="000A7BE0" w:rsidRDefault="000A7B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1.774.906,40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0F0F0"/>
            <w:noWrap/>
            <w:vAlign w:val="center"/>
            <w:hideMark/>
          </w:tcPr>
          <w:p w14:paraId="54CFBC54" w14:textId="77777777" w:rsidR="000A7BE0" w:rsidRDefault="000A7B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579.911,09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C3D" w14:textId="77777777" w:rsidR="000A7BE0" w:rsidRDefault="000A7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6860C8DA" w14:textId="77777777" w:rsidR="00A37624" w:rsidRDefault="00A37624" w:rsidP="006D0589">
      <w:pPr>
        <w:autoSpaceDE w:val="0"/>
        <w:autoSpaceDN w:val="0"/>
        <w:adjustRightInd w:val="0"/>
        <w:rPr>
          <w:b/>
          <w:bCs/>
          <w:lang w:val="pl-PL"/>
        </w:rPr>
      </w:pPr>
    </w:p>
    <w:p w14:paraId="64063CEB" w14:textId="77777777" w:rsidR="00486DFC" w:rsidRDefault="00486DFC" w:rsidP="006D0589">
      <w:pPr>
        <w:autoSpaceDE w:val="0"/>
        <w:autoSpaceDN w:val="0"/>
        <w:adjustRightInd w:val="0"/>
        <w:rPr>
          <w:b/>
          <w:bCs/>
          <w:spacing w:val="-3"/>
          <w:sz w:val="22"/>
          <w:szCs w:val="22"/>
          <w:lang w:val="pl-PL"/>
        </w:rPr>
      </w:pPr>
    </w:p>
    <w:p w14:paraId="31EB53E3" w14:textId="77777777" w:rsidR="004B782B" w:rsidRPr="00E80A17" w:rsidRDefault="004B782B" w:rsidP="006D0589">
      <w:pPr>
        <w:autoSpaceDE w:val="0"/>
        <w:autoSpaceDN w:val="0"/>
        <w:adjustRightInd w:val="0"/>
        <w:rPr>
          <w:b/>
          <w:bCs/>
          <w:spacing w:val="-3"/>
          <w:sz w:val="22"/>
          <w:szCs w:val="22"/>
          <w:lang w:val="pl-PL"/>
        </w:rPr>
      </w:pPr>
    </w:p>
    <w:p w14:paraId="2BFDEF5A" w14:textId="77777777" w:rsidR="008839C2" w:rsidRDefault="008839C2" w:rsidP="006D0589">
      <w:pPr>
        <w:autoSpaceDE w:val="0"/>
        <w:autoSpaceDN w:val="0"/>
        <w:adjustRightInd w:val="0"/>
        <w:rPr>
          <w:b/>
          <w:bCs/>
          <w:spacing w:val="-3"/>
          <w:sz w:val="22"/>
          <w:szCs w:val="22"/>
          <w:lang w:val="pl-PL"/>
        </w:rPr>
      </w:pPr>
    </w:p>
    <w:p w14:paraId="47D418E6" w14:textId="77777777" w:rsidR="004B782B" w:rsidRPr="001D4A9F" w:rsidRDefault="00A37624" w:rsidP="006D0589">
      <w:pPr>
        <w:autoSpaceDE w:val="0"/>
        <w:autoSpaceDN w:val="0"/>
        <w:adjustRightInd w:val="0"/>
        <w:rPr>
          <w:spacing w:val="-3"/>
          <w:sz w:val="22"/>
          <w:szCs w:val="22"/>
          <w:u w:val="single"/>
          <w:lang w:val="pl-PL"/>
        </w:rPr>
      </w:pPr>
      <w:r w:rsidRPr="001D4A9F">
        <w:rPr>
          <w:spacing w:val="-3"/>
          <w:sz w:val="22"/>
          <w:szCs w:val="22"/>
          <w:u w:val="single"/>
          <w:lang w:val="pl-PL"/>
        </w:rPr>
        <w:t>Grad</w:t>
      </w:r>
    </w:p>
    <w:p w14:paraId="2ECC1B27" w14:textId="1DBE1E94" w:rsidR="00A37624" w:rsidRDefault="00A3762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  <w:r>
        <w:rPr>
          <w:spacing w:val="-3"/>
          <w:sz w:val="22"/>
          <w:szCs w:val="22"/>
          <w:lang w:val="pl-PL"/>
        </w:rPr>
        <w:t xml:space="preserve">Grad Buje – Buie vodi </w:t>
      </w:r>
      <w:r w:rsidR="000A7BE0">
        <w:rPr>
          <w:spacing w:val="-3"/>
          <w:sz w:val="22"/>
          <w:szCs w:val="22"/>
          <w:lang w:val="pl-PL"/>
        </w:rPr>
        <w:t>5</w:t>
      </w:r>
      <w:r>
        <w:rPr>
          <w:spacing w:val="-3"/>
          <w:sz w:val="22"/>
          <w:szCs w:val="22"/>
          <w:lang w:val="pl-PL"/>
        </w:rPr>
        <w:t xml:space="preserve"> sudskih sporova potencijalne vrijednosti obveza od 579.911,09 kuna, a istovremeno vodi </w:t>
      </w:r>
      <w:r w:rsidR="00170109">
        <w:rPr>
          <w:spacing w:val="-3"/>
          <w:sz w:val="22"/>
          <w:szCs w:val="22"/>
          <w:lang w:val="pl-PL"/>
        </w:rPr>
        <w:t xml:space="preserve">i </w:t>
      </w:r>
      <w:r w:rsidR="000A7BE0">
        <w:rPr>
          <w:spacing w:val="-3"/>
          <w:sz w:val="22"/>
          <w:szCs w:val="22"/>
          <w:lang w:val="pl-PL"/>
        </w:rPr>
        <w:t>4</w:t>
      </w:r>
      <w:r>
        <w:rPr>
          <w:spacing w:val="-3"/>
          <w:sz w:val="22"/>
          <w:szCs w:val="22"/>
          <w:lang w:val="pl-PL"/>
        </w:rPr>
        <w:t xml:space="preserve"> sudsk</w:t>
      </w:r>
      <w:r w:rsidR="006A2B7F">
        <w:rPr>
          <w:spacing w:val="-3"/>
          <w:sz w:val="22"/>
          <w:szCs w:val="22"/>
          <w:lang w:val="pl-PL"/>
        </w:rPr>
        <w:t>a</w:t>
      </w:r>
      <w:r>
        <w:rPr>
          <w:spacing w:val="-3"/>
          <w:sz w:val="22"/>
          <w:szCs w:val="22"/>
          <w:lang w:val="pl-PL"/>
        </w:rPr>
        <w:t xml:space="preserve"> spor</w:t>
      </w:r>
      <w:r w:rsidR="006A2B7F">
        <w:rPr>
          <w:spacing w:val="-3"/>
          <w:sz w:val="22"/>
          <w:szCs w:val="22"/>
          <w:lang w:val="pl-PL"/>
        </w:rPr>
        <w:t>a</w:t>
      </w:r>
      <w:r>
        <w:rPr>
          <w:spacing w:val="-3"/>
          <w:sz w:val="22"/>
          <w:szCs w:val="22"/>
          <w:lang w:val="pl-PL"/>
        </w:rPr>
        <w:t xml:space="preserve"> potencijalne imovine u vrijednosti od 1.</w:t>
      </w:r>
      <w:r w:rsidR="000A7BE0">
        <w:rPr>
          <w:spacing w:val="-3"/>
          <w:sz w:val="22"/>
          <w:szCs w:val="22"/>
          <w:lang w:val="pl-PL"/>
        </w:rPr>
        <w:t>774.906,40</w:t>
      </w:r>
      <w:r>
        <w:rPr>
          <w:spacing w:val="-3"/>
          <w:sz w:val="22"/>
          <w:szCs w:val="22"/>
          <w:lang w:val="pl-PL"/>
        </w:rPr>
        <w:t xml:space="preserve"> kuna.</w:t>
      </w:r>
    </w:p>
    <w:p w14:paraId="673A7AB6" w14:textId="77777777" w:rsidR="00A37624" w:rsidRDefault="00A3762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49828643" w14:textId="77777777" w:rsidR="00A37624" w:rsidRPr="001D4A9F" w:rsidRDefault="00A37624" w:rsidP="006D0589">
      <w:pPr>
        <w:autoSpaceDE w:val="0"/>
        <w:autoSpaceDN w:val="0"/>
        <w:adjustRightInd w:val="0"/>
        <w:rPr>
          <w:spacing w:val="-3"/>
          <w:sz w:val="22"/>
          <w:szCs w:val="22"/>
          <w:u w:val="single"/>
          <w:lang w:val="pl-PL"/>
        </w:rPr>
      </w:pPr>
      <w:r w:rsidRPr="001D4A9F">
        <w:rPr>
          <w:spacing w:val="-3"/>
          <w:sz w:val="22"/>
          <w:szCs w:val="22"/>
          <w:u w:val="single"/>
          <w:lang w:val="pl-PL"/>
        </w:rPr>
        <w:t>Proračunski korisnici</w:t>
      </w:r>
    </w:p>
    <w:p w14:paraId="2F6592A1" w14:textId="1EDDD58A" w:rsidR="00A37624" w:rsidRDefault="00A3762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  <w:r>
        <w:rPr>
          <w:spacing w:val="-3"/>
          <w:sz w:val="22"/>
          <w:szCs w:val="22"/>
          <w:lang w:val="pl-PL"/>
        </w:rPr>
        <w:t>Proračunski korisnici nemaju aktivnih sudskih sporova</w:t>
      </w:r>
      <w:r w:rsidR="001D4A9F">
        <w:rPr>
          <w:spacing w:val="-3"/>
          <w:sz w:val="22"/>
          <w:szCs w:val="22"/>
          <w:lang w:val="pl-PL"/>
        </w:rPr>
        <w:t>.</w:t>
      </w:r>
      <w:r>
        <w:rPr>
          <w:spacing w:val="-3"/>
          <w:sz w:val="22"/>
          <w:szCs w:val="22"/>
          <w:lang w:val="pl-PL"/>
        </w:rPr>
        <w:t xml:space="preserve"> </w:t>
      </w:r>
    </w:p>
    <w:p w14:paraId="3F55C754" w14:textId="58CCC432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428F9478" w14:textId="193FA56D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39B9F44E" w14:textId="2DDE2689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3E791336" w14:textId="45E2D65C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2A4655CC" w14:textId="67564CCC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74CD1834" w14:textId="7B268AE2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10AAF405" w14:textId="0960174C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466A69EB" w14:textId="7B6E35C2" w:rsidR="0053690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4E114810" w14:textId="77777777" w:rsidR="00536904" w:rsidRPr="00A37624" w:rsidRDefault="00536904" w:rsidP="006D0589">
      <w:pPr>
        <w:autoSpaceDE w:val="0"/>
        <w:autoSpaceDN w:val="0"/>
        <w:adjustRightInd w:val="0"/>
        <w:rPr>
          <w:spacing w:val="-3"/>
          <w:sz w:val="22"/>
          <w:szCs w:val="22"/>
          <w:lang w:val="pl-PL"/>
        </w:rPr>
      </w:pPr>
    </w:p>
    <w:p w14:paraId="66B6FF9B" w14:textId="77777777" w:rsidR="006D0589" w:rsidRPr="00E80A17" w:rsidRDefault="006D0589" w:rsidP="006D0589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14:paraId="1578C457" w14:textId="77777777" w:rsidR="008839C2" w:rsidRPr="00E80A17" w:rsidRDefault="008839C2" w:rsidP="008631A1">
      <w:pPr>
        <w:pStyle w:val="Standard"/>
        <w:rPr>
          <w:rFonts w:eastAsia="SimSun" w:cs="Times New Roman"/>
          <w:b/>
          <w:bCs/>
          <w:sz w:val="22"/>
          <w:szCs w:val="22"/>
          <w:lang w:val="it-IT" w:bidi="ar-SA"/>
        </w:rPr>
      </w:pPr>
    </w:p>
    <w:p w14:paraId="5510E7B7" w14:textId="77777777" w:rsidR="006D0589" w:rsidRPr="00E80A17" w:rsidRDefault="006D0589" w:rsidP="009D377D">
      <w:pPr>
        <w:framePr w:w="9495" w:wrap="auto" w:hAnchor="text" w:x="993"/>
        <w:rPr>
          <w:sz w:val="20"/>
          <w:szCs w:val="20"/>
        </w:rPr>
        <w:sectPr w:rsidR="006D0589" w:rsidRPr="00E80A17" w:rsidSect="0009551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23AB627" w14:textId="2B6CAEF0" w:rsidR="00C56132" w:rsidRDefault="0098037A" w:rsidP="00F22C87">
      <w:pPr>
        <w:pStyle w:val="Naslov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33" w:name="_Toc448391042"/>
      <w:bookmarkStart w:id="34" w:name="_Toc78878325"/>
      <w:bookmarkStart w:id="35" w:name="_Toc79578512"/>
      <w:bookmarkStart w:id="36" w:name="_Toc100757164"/>
      <w:r w:rsidRPr="00536904">
        <w:rPr>
          <w:rFonts w:ascii="Times New Roman" w:hAnsi="Times New Roman"/>
          <w:sz w:val="24"/>
          <w:szCs w:val="24"/>
        </w:rPr>
        <w:lastRenderedPageBreak/>
        <w:t>IZVJEŠTAJ O PROVEDBI PLANA RAZVOJNIH PROGRAMA</w:t>
      </w:r>
      <w:bookmarkEnd w:id="33"/>
      <w:bookmarkEnd w:id="34"/>
      <w:bookmarkEnd w:id="35"/>
      <w:bookmarkEnd w:id="36"/>
    </w:p>
    <w:p w14:paraId="699DA62F" w14:textId="5FFD59CD" w:rsidR="00536904" w:rsidRDefault="00536904" w:rsidP="00C56132">
      <w:pPr>
        <w:pStyle w:val="Title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3841" w:type="dxa"/>
        <w:tblLook w:val="04A0" w:firstRow="1" w:lastRow="0" w:firstColumn="1" w:lastColumn="0" w:noHBand="0" w:noVBand="1"/>
      </w:tblPr>
      <w:tblGrid>
        <w:gridCol w:w="1537"/>
        <w:gridCol w:w="8244"/>
        <w:gridCol w:w="1460"/>
        <w:gridCol w:w="1360"/>
        <w:gridCol w:w="1240"/>
      </w:tblGrid>
      <w:tr w:rsidR="00536904" w:rsidRPr="00536904" w14:paraId="73FE36A9" w14:textId="77777777" w:rsidTr="00536904">
        <w:trPr>
          <w:trHeight w:val="240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6AD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DAE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618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IZVORNI PLAN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DF1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B5E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INDEKS</w:t>
            </w:r>
          </w:p>
        </w:tc>
      </w:tr>
      <w:tr w:rsidR="00536904" w:rsidRPr="00536904" w14:paraId="6E333A3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F8C9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C3FEA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RAZDJEL/GLAVA/PROGRAM/PROJEKT/OPIS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C875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 xml:space="preserve"> 2021.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D8D1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9921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(4/3*100)</w:t>
            </w:r>
          </w:p>
        </w:tc>
      </w:tr>
      <w:tr w:rsidR="00536904" w:rsidRPr="00536904" w14:paraId="43CB73A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194B" w14:textId="6516B98C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5369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28A3" w14:textId="2D0174EA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53690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DF9D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612E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BDEB5" w14:textId="77777777" w:rsidR="00536904" w:rsidRPr="00536904" w:rsidRDefault="00536904" w:rsidP="00536904">
            <w:pPr>
              <w:jc w:val="center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36904" w:rsidRPr="00536904" w14:paraId="1A7E972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4BC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Razdjel 002 UPRAVNI ODJEL ZA KOMUNALNE DJELATNOSTI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B2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4.931.926,85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37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5.719.502,91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FE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115,97</w:t>
            </w:r>
          </w:p>
        </w:tc>
      </w:tr>
      <w:tr w:rsidR="00536904" w:rsidRPr="00536904" w14:paraId="196FF092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DFE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Glava 00201 UPRAVNI ODJEL ZA KOMUNALNE DJELATNOSTI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CF1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4.931.926,85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EB6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5.719.502,91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8B1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115,97</w:t>
            </w:r>
          </w:p>
        </w:tc>
      </w:tr>
      <w:tr w:rsidR="00536904" w:rsidRPr="00536904" w14:paraId="39991BB9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496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Program 2005 GRADNJA KOMUNALNE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D7F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4.931.926,85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67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5.719.502,91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24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115,97</w:t>
            </w:r>
          </w:p>
        </w:tc>
      </w:tr>
      <w:tr w:rsidR="00536904" w:rsidRPr="00536904" w14:paraId="3D80228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651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K200023 ZAMJENA JAVNE RASVJETE LED RASVJETOM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0A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1.185.646,41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811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1.253.253,91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6165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105,70</w:t>
            </w:r>
          </w:p>
        </w:tc>
      </w:tr>
      <w:tr w:rsidR="00536904" w:rsidRPr="00536904" w14:paraId="23ABAF6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FC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43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D2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83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122989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78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CE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4D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67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FC7371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33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8C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75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B5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AF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1E3180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5B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03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D4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9C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CF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E76665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62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14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84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E5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35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91DF69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F1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E1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01D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4E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DD0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5558DC4E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7D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24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316.773,02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D0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4C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121,34</w:t>
            </w:r>
          </w:p>
        </w:tc>
      </w:tr>
      <w:tr w:rsidR="00536904" w:rsidRPr="00536904" w14:paraId="01881D1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06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7F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316.773,02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59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2D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121,34</w:t>
            </w:r>
          </w:p>
        </w:tc>
      </w:tr>
      <w:tr w:rsidR="00536904" w:rsidRPr="00536904" w14:paraId="44A886C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8D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08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49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316.773,02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41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3A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121,34</w:t>
            </w:r>
          </w:p>
        </w:tc>
      </w:tr>
      <w:tr w:rsidR="00536904" w:rsidRPr="00536904" w14:paraId="393F994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7D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B9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E4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316.773,02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CC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C6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121,34</w:t>
            </w:r>
          </w:p>
        </w:tc>
      </w:tr>
      <w:tr w:rsidR="00536904" w:rsidRPr="00536904" w14:paraId="644EBED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FE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EF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D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316.773,02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34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3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121,34</w:t>
            </w:r>
          </w:p>
        </w:tc>
      </w:tr>
      <w:tr w:rsidR="00536904" w:rsidRPr="00536904" w14:paraId="5566D41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80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F1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051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2A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384.380,52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9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0B86D428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5F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8. NAMJENSKI PRIMICI OD ZADUŽIVANJA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73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52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D2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DFD32F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BD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8.1. NAMJENSKI PRIMICI OD ZADUŽIVANJA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24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1E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98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3DD507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99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A8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4A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CF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9B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348212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EC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EB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41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D30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85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70E094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25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78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8F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A9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DF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25DF54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31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731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0DF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AD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863.473,39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68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0B30332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414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K200027 NERAZVRSTANE CESTE - UREĐENI DIJELOVI GRAĐEVINSKOG PODRUČJA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832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612.500,00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4357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DE4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81,63</w:t>
            </w:r>
          </w:p>
        </w:tc>
      </w:tr>
      <w:tr w:rsidR="00536904" w:rsidRPr="00536904" w14:paraId="34E2E47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15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D92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6B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E3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81,63</w:t>
            </w:r>
          </w:p>
        </w:tc>
      </w:tr>
      <w:tr w:rsidR="00536904" w:rsidRPr="00536904" w14:paraId="25322250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93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0D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C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7B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81,63</w:t>
            </w:r>
          </w:p>
        </w:tc>
      </w:tr>
      <w:tr w:rsidR="00536904" w:rsidRPr="00536904" w14:paraId="1B881ED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E6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3D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6D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16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93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6598B3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39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F1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5B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4B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58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3B6CA3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9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22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49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7A8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FB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8F2835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8D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A8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7C8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153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57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57ACDE78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FBF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36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2F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98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CE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4EF3218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8C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04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F2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C4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5F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575971C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E2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48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C2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36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80F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450753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8C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CF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633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68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DE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46F7BD01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99E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K200028 JAVNA PARKIRALIŠTA - UREĐENI DIJELOVI GRAĐEVINSKOG PODRUČJA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AA9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D66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14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536904" w:rsidRPr="00536904" w14:paraId="7BAD191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78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08D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BD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05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18FBEB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17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53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DB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CE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0EF6AC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F7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EE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56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76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6E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25C76C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AE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43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8C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8A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95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CE6934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702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EF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7E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CD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1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968224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FB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54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FE73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1A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125.962,50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C7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80EA8A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695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K200029 JAVNE ZELENE POVRŠINE - UREĐENI DIJELOVI GRAĐEVINSKOG PODRUČJA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C6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9FD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5F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6904" w:rsidRPr="00536904" w14:paraId="2B873E2E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86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B0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46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E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555D564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7B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617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7F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2D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2532A2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19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08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ED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C7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7B6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E08FDD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116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97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71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A7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67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4828915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94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71D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72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39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D5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E11354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F3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450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EB3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B7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8A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4A6C7B9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AAD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K200030 JAVNA RASVJETA - UREĐENI DIJELOVI GRAĐEVINSKOG PODRUČJA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CD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9B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FBD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117,71</w:t>
            </w:r>
          </w:p>
        </w:tc>
      </w:tr>
      <w:tr w:rsidR="00536904" w:rsidRPr="00536904" w14:paraId="7AB66E51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11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6C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7F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C7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117,71</w:t>
            </w:r>
          </w:p>
        </w:tc>
      </w:tr>
      <w:tr w:rsidR="00536904" w:rsidRPr="00536904" w14:paraId="601C4CC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1C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4E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A8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23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117,71</w:t>
            </w:r>
          </w:p>
        </w:tc>
      </w:tr>
      <w:tr w:rsidR="00536904" w:rsidRPr="00536904" w14:paraId="12F601F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289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E8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9F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3D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DE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117,71</w:t>
            </w:r>
          </w:p>
        </w:tc>
      </w:tr>
      <w:tr w:rsidR="00536904" w:rsidRPr="00536904" w14:paraId="07C9DFF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C6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B6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66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7A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28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117,71</w:t>
            </w:r>
          </w:p>
        </w:tc>
      </w:tr>
      <w:tr w:rsidR="00536904" w:rsidRPr="00536904" w14:paraId="2BAA001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2D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47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34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359.388,40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C0C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15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117,71</w:t>
            </w:r>
          </w:p>
        </w:tc>
      </w:tr>
      <w:tr w:rsidR="00536904" w:rsidRPr="00536904" w14:paraId="08588B7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F2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0C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288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82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423.049,15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A3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4DB69708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A59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K200032 PLANSKA DOKUMENTACIJA I OSTALO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68F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165.937,50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7B4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165.937,50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205E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536904" w:rsidRPr="00536904" w14:paraId="7FE8E931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26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53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165.937,50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6A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165.937,50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BE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EB4EC78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09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4.1. PRIHODI POSEBNE NAMJENE - 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69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5A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CD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11118B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FD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69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C6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648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50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BBB67A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5D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16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53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CF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7F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03B43C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4D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8F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E4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04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D71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A8E3CF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E1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B3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499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AC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C9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B590C5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7B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1F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2C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38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92CCFC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333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3F2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B3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7C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79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460110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14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52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3F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E0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1F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D4A45B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C0C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6C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B5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ED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6F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01320A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2C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88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2C2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87C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85.312,50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CC3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760A760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ABD9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lastRenderedPageBreak/>
              <w:t>Kapitalni projekt K200033 NERAZVRSTANE CESTE - REKONSTRUKCIJA POSTOJEĆIH GRAĐEVINA KOMUNALNE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83D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1.479.992,04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624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2.187.744,30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E83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147,82</w:t>
            </w:r>
          </w:p>
        </w:tc>
      </w:tr>
      <w:tr w:rsidR="00536904" w:rsidRPr="00536904" w14:paraId="1E9B9DE6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08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7D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1.351.057,04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BD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1F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152,39</w:t>
            </w:r>
          </w:p>
        </w:tc>
      </w:tr>
      <w:tr w:rsidR="00536904" w:rsidRPr="00536904" w14:paraId="105DDD15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C1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A9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1.351.057,04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B5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5A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152,39</w:t>
            </w:r>
          </w:p>
        </w:tc>
      </w:tr>
      <w:tr w:rsidR="00536904" w:rsidRPr="00536904" w14:paraId="03DF16F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3A4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ADB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DD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1.351.057,04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F7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9D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152,39</w:t>
            </w:r>
          </w:p>
        </w:tc>
      </w:tr>
      <w:tr w:rsidR="00536904" w:rsidRPr="00536904" w14:paraId="17C9383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6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FB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04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1.351.057,04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E5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BB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152,39</w:t>
            </w:r>
          </w:p>
        </w:tc>
      </w:tr>
      <w:tr w:rsidR="00536904" w:rsidRPr="00536904" w14:paraId="4F48B58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A1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0E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FD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1.351.057,04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2B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90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152,39</w:t>
            </w:r>
          </w:p>
        </w:tc>
      </w:tr>
      <w:tr w:rsidR="00536904" w:rsidRPr="00536904" w14:paraId="2707CFE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2E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17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EFC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5B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2.058.809,30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1D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325FFDD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43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16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CC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FA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FCF433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5F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62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43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C9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73F972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670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D6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52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09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7C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3B244B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AB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2A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B8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FC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C5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1C149A0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A6B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DC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36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CB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D7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90AF7E1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CD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B2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ED6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62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128.935,00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22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1A8B5FC6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14C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K200034 GRAĐEVINE I UREĐAJI JAVNE NAMJENE - REKONSTRUKCIJA POSTOJEĆIH GRAĐEVINA KOMUNALNE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B34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917.500,00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03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1.063.555,55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743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115,92</w:t>
            </w:r>
          </w:p>
        </w:tc>
      </w:tr>
      <w:tr w:rsidR="00536904" w:rsidRPr="00536904" w14:paraId="57B2EB0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12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C6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FB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115.910,74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AC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90,91</w:t>
            </w:r>
          </w:p>
        </w:tc>
      </w:tr>
      <w:tr w:rsidR="00536904" w:rsidRPr="00536904" w14:paraId="7F15A22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6A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78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AD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115.910,74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FA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90,91</w:t>
            </w:r>
          </w:p>
        </w:tc>
      </w:tr>
      <w:tr w:rsidR="00536904" w:rsidRPr="00536904" w14:paraId="1EAB149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C5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A6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E4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AC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115.910,74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D7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90,91</w:t>
            </w:r>
          </w:p>
        </w:tc>
      </w:tr>
      <w:tr w:rsidR="00536904" w:rsidRPr="00536904" w14:paraId="7372ED0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4D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0F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C5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F1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115.910,74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DC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90,91</w:t>
            </w:r>
          </w:p>
        </w:tc>
      </w:tr>
      <w:tr w:rsidR="00536904" w:rsidRPr="00536904" w14:paraId="32C8BE70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C1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FC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96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FA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115.910,74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83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90,91</w:t>
            </w:r>
          </w:p>
        </w:tc>
      </w:tr>
      <w:tr w:rsidR="00536904" w:rsidRPr="00536904" w14:paraId="1FA6732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91F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BA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8C8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13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28.410,94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BD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0DDCE75E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EF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7A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82E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B7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87.499,80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5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13B1C8C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1B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6. DONACIJE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92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17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61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28F9FAE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9F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6.1. DONACIJE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E4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D6F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3D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C57922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E5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17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CB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50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35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4507C90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06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0F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2C3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7A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A3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0293582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ED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15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D4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AF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25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07AA80A0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F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A6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FFE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1F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189.644,81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DB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3F76A01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06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9D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AB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071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95,95</w:t>
            </w:r>
          </w:p>
        </w:tc>
      </w:tr>
      <w:tr w:rsidR="00536904" w:rsidRPr="00536904" w14:paraId="546B9676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01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20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F3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8C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95,95</w:t>
            </w:r>
          </w:p>
        </w:tc>
      </w:tr>
      <w:tr w:rsidR="00536904" w:rsidRPr="00536904" w14:paraId="6E99A22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A4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93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CB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ED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D2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95,95</w:t>
            </w:r>
          </w:p>
        </w:tc>
      </w:tr>
      <w:tr w:rsidR="00536904" w:rsidRPr="00536904" w14:paraId="28A398A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73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B9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A7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50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DA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95,95</w:t>
            </w:r>
          </w:p>
        </w:tc>
      </w:tr>
      <w:tr w:rsidR="00536904" w:rsidRPr="00536904" w14:paraId="05F718B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26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AD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1E0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E0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33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95,95</w:t>
            </w:r>
          </w:p>
        </w:tc>
      </w:tr>
      <w:tr w:rsidR="00536904" w:rsidRPr="00536904" w14:paraId="49FF0948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48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56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CBA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32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9E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E19142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1FC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Razdjel 003 UPRAVNI ODJEL ZA PROSTORNO UREĐENJE I UPRAVLJANJE GRADSKOM IMOVINOM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0C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4.436.829,01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2F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4.157.502,78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8E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93,70</w:t>
            </w:r>
          </w:p>
        </w:tc>
      </w:tr>
      <w:tr w:rsidR="00536904" w:rsidRPr="00536904" w14:paraId="5A6B5A3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9DB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Glava 00301 UPRAVNI ODJEL ZA PROSTORNO UREĐENJE I UPRAVLJANJE GRADSKOM IMOVINOM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BAE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4.436.829,01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A19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4.157.502,78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C8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93,70</w:t>
            </w:r>
          </w:p>
        </w:tc>
      </w:tr>
      <w:tr w:rsidR="00536904" w:rsidRPr="00536904" w14:paraId="7AD01A5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150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Program 3002 GRADNJA KAPITALNIH OBJEKATA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B06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3.499.310,26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A4E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3.257.111,53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3DC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93,08</w:t>
            </w:r>
          </w:p>
        </w:tc>
      </w:tr>
      <w:tr w:rsidR="00536904" w:rsidRPr="00536904" w14:paraId="5F7717A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AB58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lastRenderedPageBreak/>
              <w:t>Kapitalni projekt K300002 REKONSTRUKCIJA KAŠTELA ROTA MOMJAN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A1E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839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512.503,63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7F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97,62</w:t>
            </w:r>
          </w:p>
        </w:tc>
      </w:tr>
      <w:tr w:rsidR="00536904" w:rsidRPr="00536904" w14:paraId="2BDDA68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82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5.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76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4E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84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118,53</w:t>
            </w:r>
          </w:p>
        </w:tc>
      </w:tr>
      <w:tr w:rsidR="00536904" w:rsidRPr="00536904" w14:paraId="7276DEA5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66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2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D1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92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118,53</w:t>
            </w:r>
          </w:p>
        </w:tc>
      </w:tr>
      <w:tr w:rsidR="00536904" w:rsidRPr="00536904" w14:paraId="4E7EDA6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33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7C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07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CA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E0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118,53</w:t>
            </w:r>
          </w:p>
        </w:tc>
      </w:tr>
      <w:tr w:rsidR="00536904" w:rsidRPr="00536904" w14:paraId="7246510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24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D2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B7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E2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56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118,53</w:t>
            </w:r>
          </w:p>
        </w:tc>
      </w:tr>
      <w:tr w:rsidR="00536904" w:rsidRPr="00536904" w14:paraId="245F84E0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FAA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17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02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65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B0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118,53</w:t>
            </w:r>
          </w:p>
        </w:tc>
      </w:tr>
      <w:tr w:rsidR="00536904" w:rsidRPr="00536904" w14:paraId="18A601F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58D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DA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16E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E6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474.101,63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2F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1A7569F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F2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59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E2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36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30,72</w:t>
            </w:r>
          </w:p>
        </w:tc>
      </w:tr>
      <w:tr w:rsidR="00536904" w:rsidRPr="00536904" w14:paraId="67D365F7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08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BE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BD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79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30,72</w:t>
            </w:r>
          </w:p>
        </w:tc>
      </w:tr>
      <w:tr w:rsidR="00536904" w:rsidRPr="00536904" w14:paraId="13F5243E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1B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34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6E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CF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76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30,72</w:t>
            </w:r>
          </w:p>
        </w:tc>
      </w:tr>
      <w:tr w:rsidR="00536904" w:rsidRPr="00536904" w14:paraId="7F5FFBC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AF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C2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1C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DE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F4F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30,72</w:t>
            </w:r>
          </w:p>
        </w:tc>
      </w:tr>
      <w:tr w:rsidR="00536904" w:rsidRPr="00536904" w14:paraId="0E1C62C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DCC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64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E0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19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5C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30,72</w:t>
            </w:r>
          </w:p>
        </w:tc>
      </w:tr>
      <w:tr w:rsidR="00536904" w:rsidRPr="00536904" w14:paraId="1A0C0B7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4D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1A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15C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C6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38.402,00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E4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55716F26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F2D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K300011 ENERGETSKA OBNOVA DJEČJEG VRTIĆA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99C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1.890.835,26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4D3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1.890.835,26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5EE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536904" w:rsidRPr="00536904" w14:paraId="279F77C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00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5.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39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243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B9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DC282C1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28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8C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01C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3C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128748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37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AE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3B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98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24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B55905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ED4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A6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46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F3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24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D05A30E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04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6D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DA6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AE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F4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F7B822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A4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75C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DE2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AB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1.275.021,73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9F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7E3EAF8E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77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6D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EE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42F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5C52F20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2C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6E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52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BD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B0E696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30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58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F1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AF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2A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94E86A3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568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4A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95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29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0B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81B8DF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59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66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56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B2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30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FA6E31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0E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B0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C206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F8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615.813,53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59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582C17D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951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K300021 SANACIJA SPOMENIKA PALIM BORCIMA U PLOVANIJI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F2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907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98C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536904" w:rsidRPr="00536904" w14:paraId="4EC8B202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42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5.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AD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87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C0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22AB77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4E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4D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96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23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4F9D1E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FD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F5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CD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03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937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E71190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E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6A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A1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BD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0D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14AFF1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96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6C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2E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99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28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60C2F5E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C8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34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787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E16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76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72C64025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85C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K300031 KUĆA ISTARSKIH KAŠTELA U MOMJANU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26E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503.475,00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283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333.264,40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DD1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66,19</w:t>
            </w:r>
          </w:p>
        </w:tc>
      </w:tr>
      <w:tr w:rsidR="00536904" w:rsidRPr="00536904" w14:paraId="4712300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A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D4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C7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3C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DBE6BD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9A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4.1. PRIHODI POSEBNE NAMJENE - 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57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99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55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3D667C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2B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24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12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8C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F3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BE171D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E04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3B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089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AE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D3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135816E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9B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50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F7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83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AB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66C2B6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D9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18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917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EC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3.475,00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83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3A2759A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46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A0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28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67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65,96</w:t>
            </w:r>
          </w:p>
        </w:tc>
      </w:tr>
      <w:tr w:rsidR="00536904" w:rsidRPr="00536904" w14:paraId="6A81F27D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00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A02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13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59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65,96</w:t>
            </w:r>
          </w:p>
        </w:tc>
      </w:tr>
      <w:tr w:rsidR="00536904" w:rsidRPr="00536904" w14:paraId="045425B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BB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67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FF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98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93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65,96</w:t>
            </w:r>
          </w:p>
        </w:tc>
      </w:tr>
      <w:tr w:rsidR="00536904" w:rsidRPr="00536904" w14:paraId="2A77324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F2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EE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E1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DD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31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65,96</w:t>
            </w:r>
          </w:p>
        </w:tc>
      </w:tr>
      <w:tr w:rsidR="00536904" w:rsidRPr="00536904" w14:paraId="3FDC15DB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46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EC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DD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54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B6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65,96</w:t>
            </w:r>
          </w:p>
        </w:tc>
      </w:tr>
      <w:tr w:rsidR="00536904" w:rsidRPr="00536904" w14:paraId="34B789E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AB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54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8EA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97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0A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033A17FE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87F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K300032 REKONSTRUKCIJA ZGRADE STAROG VATROGASNOG DOMA / STARI DIGITRON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07BC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89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A84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88,78</w:t>
            </w:r>
          </w:p>
        </w:tc>
      </w:tr>
      <w:tr w:rsidR="00536904" w:rsidRPr="00536904" w14:paraId="0A93B298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8A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C5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23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86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88,78</w:t>
            </w:r>
          </w:p>
        </w:tc>
      </w:tr>
      <w:tr w:rsidR="00536904" w:rsidRPr="00536904" w14:paraId="406DD550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AC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36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D1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85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88,78</w:t>
            </w:r>
          </w:p>
        </w:tc>
      </w:tr>
      <w:tr w:rsidR="00536904" w:rsidRPr="00536904" w14:paraId="134C690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62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93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42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B0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0D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88,78</w:t>
            </w:r>
          </w:p>
        </w:tc>
      </w:tr>
      <w:tr w:rsidR="00536904" w:rsidRPr="00536904" w14:paraId="5EECCEC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93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59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6B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5BB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0E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88,78</w:t>
            </w:r>
          </w:p>
        </w:tc>
      </w:tr>
      <w:tr w:rsidR="00536904" w:rsidRPr="00536904" w14:paraId="17EEFFB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B8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E0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FB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38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AB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88,78</w:t>
            </w:r>
          </w:p>
        </w:tc>
      </w:tr>
      <w:tr w:rsidR="00536904" w:rsidRPr="00536904" w14:paraId="7515524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0E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EF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481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39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470.508,24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F3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5551301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028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Program 3003 PROSTORNO UREĐENJE I PROJEKTI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F43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937.518,75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A49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900.391,25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1068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96,04</w:t>
            </w:r>
          </w:p>
        </w:tc>
      </w:tr>
      <w:tr w:rsidR="00536904" w:rsidRPr="00536904" w14:paraId="16AE859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335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K300007 IZRADA PROSTORNO PLANSKE DOKUMENTACIJE I OSTALIH PROJEKATA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459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725.275,00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7BC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688.147,50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320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94,88</w:t>
            </w:r>
          </w:p>
        </w:tc>
      </w:tr>
      <w:tr w:rsidR="00536904" w:rsidRPr="00536904" w14:paraId="373D633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EC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35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F4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6E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94,84</w:t>
            </w:r>
          </w:p>
        </w:tc>
      </w:tr>
      <w:tr w:rsidR="00536904" w:rsidRPr="00536904" w14:paraId="0682B42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DF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06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6C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EB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94,84</w:t>
            </w:r>
          </w:p>
        </w:tc>
      </w:tr>
      <w:tr w:rsidR="00536904" w:rsidRPr="00536904" w14:paraId="133B048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6E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AA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3F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FC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EF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94,84</w:t>
            </w:r>
          </w:p>
        </w:tc>
      </w:tr>
      <w:tr w:rsidR="00536904" w:rsidRPr="00536904" w14:paraId="6D99510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57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04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E2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09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06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91,22</w:t>
            </w:r>
          </w:p>
        </w:tc>
      </w:tr>
      <w:tr w:rsidR="00536904" w:rsidRPr="00536904" w14:paraId="1820F86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5B6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09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56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0F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03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96,02</w:t>
            </w:r>
          </w:p>
        </w:tc>
      </w:tr>
      <w:tr w:rsidR="00536904" w:rsidRPr="00536904" w14:paraId="777AC1B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00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679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E188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CA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91.222,50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A2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7A24B94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1F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F4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DE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03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DD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</w:tr>
      <w:tr w:rsidR="00536904" w:rsidRPr="00536904" w14:paraId="1D4B2B7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48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20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0562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C0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8D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3F4A8F95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C8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17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91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56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58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91D600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46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5D2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E9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9C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44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A9323A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9B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3C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4D6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86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DF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448E950C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4A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17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362.425,00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FF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359.075,00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10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99,08</w:t>
            </w:r>
          </w:p>
        </w:tc>
      </w:tr>
      <w:tr w:rsidR="00536904" w:rsidRPr="00536904" w14:paraId="74BB3F3D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21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4.1. PRIHODI POSEBNE NAMJENE - 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49F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A5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9C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52A87213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D9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1E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29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D0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0A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F86CA4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2F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BF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8F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C2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0B7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4612039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37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EF4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36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35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3A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E7886F2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8B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66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9E0A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08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91.550,00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9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A63CD4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F4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4.2. PRIHODI POSEBNE NAMJENE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F9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270.875,00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48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267.525,00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83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98,76</w:t>
            </w:r>
          </w:p>
        </w:tc>
      </w:tr>
      <w:tr w:rsidR="00536904" w:rsidRPr="00536904" w14:paraId="72E78F2E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BE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19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3D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270.875,00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AA0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267.525,00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5F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98,76</w:t>
            </w:r>
          </w:p>
        </w:tc>
      </w:tr>
      <w:tr w:rsidR="00536904" w:rsidRPr="00536904" w14:paraId="17832E9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F1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87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BC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270.875,00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00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267.525,00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39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98,76</w:t>
            </w:r>
          </w:p>
        </w:tc>
      </w:tr>
      <w:tr w:rsidR="00536904" w:rsidRPr="00536904" w14:paraId="37F6E228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AF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840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F8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270.875,00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09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267.525,00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2C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98,76</w:t>
            </w:r>
          </w:p>
        </w:tc>
      </w:tr>
      <w:tr w:rsidR="00536904" w:rsidRPr="00536904" w14:paraId="7BE59B33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7A9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3237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AAE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619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27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267.525,00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99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7434F905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75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87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192.850,00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45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8A0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87,04</w:t>
            </w:r>
          </w:p>
        </w:tc>
      </w:tr>
      <w:tr w:rsidR="00536904" w:rsidRPr="00536904" w14:paraId="0FE31AD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3F0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00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192.850,00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F9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85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87,04</w:t>
            </w:r>
          </w:p>
        </w:tc>
      </w:tr>
      <w:tr w:rsidR="00536904" w:rsidRPr="00536904" w14:paraId="5F374FF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75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56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CF8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192.850,00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79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98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87,04</w:t>
            </w:r>
          </w:p>
        </w:tc>
      </w:tr>
      <w:tr w:rsidR="00536904" w:rsidRPr="00536904" w14:paraId="2D08E7E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8B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BD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04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192.850,00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DF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C8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87,04</w:t>
            </w:r>
          </w:p>
        </w:tc>
      </w:tr>
      <w:tr w:rsidR="00536904" w:rsidRPr="00536904" w14:paraId="68F9EB8F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56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9D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C8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192.850,00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CC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CC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87,04</w:t>
            </w:r>
          </w:p>
        </w:tc>
      </w:tr>
      <w:tr w:rsidR="00536904" w:rsidRPr="00536904" w14:paraId="1DE42993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D9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DB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23C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B2F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167.850,00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FC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1AA1238F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0ED" w14:textId="77777777" w:rsidR="00536904" w:rsidRPr="00536904" w:rsidRDefault="00536904" w:rsidP="00536904">
            <w:pPr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Kapitalni projekt K300017 IZRADA GIS SUSTAVA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A9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212.243,75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C01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212.243,75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5D6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536904" w:rsidRPr="00536904" w14:paraId="79F92C44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CFF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5.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76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EC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A1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E13DD73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F2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E2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F9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C1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39D6B5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63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C7B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83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87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11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751A6BD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C8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831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7C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D7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B6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8DBC90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15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92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56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0C8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20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FA5F5C6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4F5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A0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6C3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23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6B1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2C52CE0B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85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Izvor 7.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B6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D7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A2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1B5A995" w14:textId="77777777" w:rsidTr="00536904">
        <w:trPr>
          <w:trHeight w:val="2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2D6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7.1. PRIHODI OD NEFIN.IMOVINE I NADOKNADE ŠTETA OD OSIG.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99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46B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06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3D3FE524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00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67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340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724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3AE3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77C308D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547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E6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EE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66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132.243,75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429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027D85FC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EA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2D4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106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124.810,00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D2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124.810,00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5E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12811097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9CA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86D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75D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57D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124.810,00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9EC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62A2C3DA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9C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54C8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21A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7.433,75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C9E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7.433,75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D5E7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100,00</w:t>
            </w:r>
          </w:p>
        </w:tc>
      </w:tr>
      <w:tr w:rsidR="00536904" w:rsidRPr="00536904" w14:paraId="2F046819" w14:textId="77777777" w:rsidTr="00536904">
        <w:trPr>
          <w:trHeight w:val="24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03C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4262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FB3" w14:textId="77777777" w:rsidR="00536904" w:rsidRPr="00536904" w:rsidRDefault="00536904" w:rsidP="00536904">
            <w:pPr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9ED2" w14:textId="77777777" w:rsidR="00536904" w:rsidRPr="00536904" w:rsidRDefault="00536904" w:rsidP="0053690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B22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  <w:r w:rsidRPr="00536904">
              <w:rPr>
                <w:sz w:val="18"/>
                <w:szCs w:val="18"/>
              </w:rPr>
              <w:t>7.433,75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2DB5" w14:textId="77777777" w:rsidR="00536904" w:rsidRPr="00536904" w:rsidRDefault="00536904" w:rsidP="00536904">
            <w:pPr>
              <w:jc w:val="right"/>
              <w:rPr>
                <w:sz w:val="18"/>
                <w:szCs w:val="18"/>
              </w:rPr>
            </w:pPr>
          </w:p>
        </w:tc>
      </w:tr>
      <w:tr w:rsidR="00536904" w:rsidRPr="00536904" w14:paraId="043ABC9D" w14:textId="77777777" w:rsidTr="00536904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5DEC" w14:textId="77777777" w:rsidR="00536904" w:rsidRPr="00536904" w:rsidRDefault="00536904" w:rsidP="005369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6904">
              <w:rPr>
                <w:b/>
                <w:bCs/>
                <w:color w:val="000000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1495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9.368.755,86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568B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9.877.005,69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F81A" w14:textId="77777777" w:rsidR="00536904" w:rsidRPr="00536904" w:rsidRDefault="00536904" w:rsidP="00536904">
            <w:pPr>
              <w:jc w:val="right"/>
              <w:rPr>
                <w:b/>
                <w:bCs/>
                <w:sz w:val="18"/>
                <w:szCs w:val="18"/>
              </w:rPr>
            </w:pPr>
            <w:r w:rsidRPr="00536904">
              <w:rPr>
                <w:b/>
                <w:bCs/>
                <w:sz w:val="18"/>
                <w:szCs w:val="18"/>
              </w:rPr>
              <w:t>105,42</w:t>
            </w:r>
          </w:p>
        </w:tc>
      </w:tr>
    </w:tbl>
    <w:p w14:paraId="156AE990" w14:textId="418EF5DB" w:rsidR="00536904" w:rsidRDefault="00536904" w:rsidP="00536904">
      <w:pPr>
        <w:pStyle w:val="Title1"/>
        <w:numPr>
          <w:ilvl w:val="0"/>
          <w:numId w:val="0"/>
        </w:numPr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47AA369" w14:textId="77777777" w:rsidR="00536904" w:rsidRDefault="00536904" w:rsidP="00C56132">
      <w:pPr>
        <w:pStyle w:val="Title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216AA24E" w14:textId="77777777" w:rsidR="006D0096" w:rsidRPr="00E80A17" w:rsidRDefault="006D0096" w:rsidP="006D0096"/>
    <w:p w14:paraId="12E13D4B" w14:textId="77777777" w:rsidR="006D0096" w:rsidRPr="00E80A17" w:rsidRDefault="006D0096" w:rsidP="006D0096"/>
    <w:sectPr w:rsidR="006D0096" w:rsidRPr="00E80A17" w:rsidSect="009803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F194" w14:textId="77777777" w:rsidR="00C03D0D" w:rsidRDefault="00C03D0D">
      <w:r>
        <w:separator/>
      </w:r>
    </w:p>
  </w:endnote>
  <w:endnote w:type="continuationSeparator" w:id="0">
    <w:p w14:paraId="28ADEDFC" w14:textId="77777777" w:rsidR="00C03D0D" w:rsidRDefault="00C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937370"/>
      <w:docPartObj>
        <w:docPartGallery w:val="Page Numbers (Bottom of Page)"/>
        <w:docPartUnique/>
      </w:docPartObj>
    </w:sdtPr>
    <w:sdtEndPr/>
    <w:sdtContent>
      <w:p w14:paraId="47E9E7B4" w14:textId="51B4AD25" w:rsidR="00976031" w:rsidRDefault="00C03D0D">
        <w:pPr>
          <w:pStyle w:val="Podnoje"/>
          <w:jc w:val="right"/>
        </w:pPr>
      </w:p>
    </w:sdtContent>
  </w:sdt>
  <w:p w14:paraId="3042F750" w14:textId="77777777" w:rsidR="008602BF" w:rsidRDefault="008602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370247"/>
      <w:docPartObj>
        <w:docPartGallery w:val="Page Numbers (Bottom of Page)"/>
        <w:docPartUnique/>
      </w:docPartObj>
    </w:sdtPr>
    <w:sdtEndPr/>
    <w:sdtContent>
      <w:p w14:paraId="492142EA" w14:textId="77777777" w:rsidR="00976031" w:rsidRDefault="009760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0F5DC" w14:textId="77777777" w:rsidR="00976031" w:rsidRDefault="009760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901D" w14:textId="77777777" w:rsidR="00C03D0D" w:rsidRDefault="00C03D0D">
      <w:r>
        <w:separator/>
      </w:r>
    </w:p>
  </w:footnote>
  <w:footnote w:type="continuationSeparator" w:id="0">
    <w:p w14:paraId="052EFC85" w14:textId="77777777" w:rsidR="00C03D0D" w:rsidRDefault="00C0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24B"/>
    <w:multiLevelType w:val="hybridMultilevel"/>
    <w:tmpl w:val="F1D2BDAE"/>
    <w:lvl w:ilvl="0" w:tplc="8D60322A">
      <w:start w:val="3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9A9"/>
    <w:multiLevelType w:val="hybridMultilevel"/>
    <w:tmpl w:val="9ADC76DA"/>
    <w:lvl w:ilvl="0" w:tplc="4C90B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FF1"/>
    <w:multiLevelType w:val="hybridMultilevel"/>
    <w:tmpl w:val="B9C8D906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DD8"/>
    <w:multiLevelType w:val="multilevel"/>
    <w:tmpl w:val="2140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6656632"/>
    <w:multiLevelType w:val="hybridMultilevel"/>
    <w:tmpl w:val="57D018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DC6"/>
    <w:multiLevelType w:val="hybridMultilevel"/>
    <w:tmpl w:val="315CFABE"/>
    <w:lvl w:ilvl="0" w:tplc="AFA4CB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62480"/>
    <w:multiLevelType w:val="multilevel"/>
    <w:tmpl w:val="FE6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07666"/>
    <w:multiLevelType w:val="hybridMultilevel"/>
    <w:tmpl w:val="FCDC06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69F7"/>
    <w:multiLevelType w:val="hybridMultilevel"/>
    <w:tmpl w:val="373A112C"/>
    <w:lvl w:ilvl="0" w:tplc="E26E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339B3"/>
    <w:multiLevelType w:val="hybridMultilevel"/>
    <w:tmpl w:val="711A6F1A"/>
    <w:lvl w:ilvl="0" w:tplc="9C20EC1C">
      <w:start w:val="1"/>
      <w:numFmt w:val="decimal"/>
      <w:pStyle w:val="Title1"/>
      <w:lvlText w:val="%1."/>
      <w:lvlJc w:val="left"/>
      <w:pPr>
        <w:ind w:left="9291" w:hanging="360"/>
      </w:pPr>
    </w:lvl>
    <w:lvl w:ilvl="1" w:tplc="041A0019" w:tentative="1">
      <w:start w:val="1"/>
      <w:numFmt w:val="lowerLetter"/>
      <w:lvlText w:val="%2."/>
      <w:lvlJc w:val="left"/>
      <w:pPr>
        <w:ind w:left="1659" w:hanging="360"/>
      </w:pPr>
    </w:lvl>
    <w:lvl w:ilvl="2" w:tplc="041A001B" w:tentative="1">
      <w:start w:val="1"/>
      <w:numFmt w:val="lowerRoman"/>
      <w:lvlText w:val="%3."/>
      <w:lvlJc w:val="right"/>
      <w:pPr>
        <w:ind w:left="2379" w:hanging="180"/>
      </w:pPr>
    </w:lvl>
    <w:lvl w:ilvl="3" w:tplc="041A000F" w:tentative="1">
      <w:start w:val="1"/>
      <w:numFmt w:val="decimal"/>
      <w:lvlText w:val="%4."/>
      <w:lvlJc w:val="left"/>
      <w:pPr>
        <w:ind w:left="3099" w:hanging="360"/>
      </w:pPr>
    </w:lvl>
    <w:lvl w:ilvl="4" w:tplc="041A0019" w:tentative="1">
      <w:start w:val="1"/>
      <w:numFmt w:val="lowerLetter"/>
      <w:lvlText w:val="%5."/>
      <w:lvlJc w:val="left"/>
      <w:pPr>
        <w:ind w:left="3819" w:hanging="360"/>
      </w:pPr>
    </w:lvl>
    <w:lvl w:ilvl="5" w:tplc="041A001B" w:tentative="1">
      <w:start w:val="1"/>
      <w:numFmt w:val="lowerRoman"/>
      <w:lvlText w:val="%6."/>
      <w:lvlJc w:val="right"/>
      <w:pPr>
        <w:ind w:left="4539" w:hanging="180"/>
      </w:pPr>
    </w:lvl>
    <w:lvl w:ilvl="6" w:tplc="041A000F" w:tentative="1">
      <w:start w:val="1"/>
      <w:numFmt w:val="decimal"/>
      <w:lvlText w:val="%7."/>
      <w:lvlJc w:val="left"/>
      <w:pPr>
        <w:ind w:left="5259" w:hanging="360"/>
      </w:pPr>
    </w:lvl>
    <w:lvl w:ilvl="7" w:tplc="041A0019" w:tentative="1">
      <w:start w:val="1"/>
      <w:numFmt w:val="lowerLetter"/>
      <w:lvlText w:val="%8."/>
      <w:lvlJc w:val="left"/>
      <w:pPr>
        <w:ind w:left="5979" w:hanging="360"/>
      </w:pPr>
    </w:lvl>
    <w:lvl w:ilvl="8" w:tplc="041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 w15:restartNumberingAfterBreak="0">
    <w:nsid w:val="6DD0053C"/>
    <w:multiLevelType w:val="hybridMultilevel"/>
    <w:tmpl w:val="507AA8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0C5"/>
    <w:multiLevelType w:val="hybridMultilevel"/>
    <w:tmpl w:val="9536E31A"/>
    <w:lvl w:ilvl="0" w:tplc="6AB87A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11460">
    <w:abstractNumId w:val="2"/>
  </w:num>
  <w:num w:numId="2" w16cid:durableId="807085993">
    <w:abstractNumId w:val="0"/>
  </w:num>
  <w:num w:numId="3" w16cid:durableId="258032002">
    <w:abstractNumId w:val="3"/>
  </w:num>
  <w:num w:numId="4" w16cid:durableId="74397580">
    <w:abstractNumId w:val="5"/>
  </w:num>
  <w:num w:numId="5" w16cid:durableId="1341201887">
    <w:abstractNumId w:val="9"/>
  </w:num>
  <w:num w:numId="6" w16cid:durableId="952832909">
    <w:abstractNumId w:val="1"/>
  </w:num>
  <w:num w:numId="7" w16cid:durableId="2095591767">
    <w:abstractNumId w:val="11"/>
  </w:num>
  <w:num w:numId="8" w16cid:durableId="205216436">
    <w:abstractNumId w:val="4"/>
  </w:num>
  <w:num w:numId="9" w16cid:durableId="1703241297">
    <w:abstractNumId w:val="10"/>
  </w:num>
  <w:num w:numId="10" w16cid:durableId="216556142">
    <w:abstractNumId w:val="7"/>
  </w:num>
  <w:num w:numId="11" w16cid:durableId="1999839118">
    <w:abstractNumId w:val="9"/>
    <w:lvlOverride w:ilvl="0">
      <w:startOverride w:val="1"/>
    </w:lvlOverride>
  </w:num>
  <w:num w:numId="12" w16cid:durableId="441074200">
    <w:abstractNumId w:val="9"/>
  </w:num>
  <w:num w:numId="13" w16cid:durableId="533539720">
    <w:abstractNumId w:val="9"/>
    <w:lvlOverride w:ilvl="0">
      <w:startOverride w:val="1"/>
    </w:lvlOverride>
  </w:num>
  <w:num w:numId="14" w16cid:durableId="395905569">
    <w:abstractNumId w:val="9"/>
  </w:num>
  <w:num w:numId="15" w16cid:durableId="543756687">
    <w:abstractNumId w:val="9"/>
    <w:lvlOverride w:ilvl="0">
      <w:startOverride w:val="1"/>
    </w:lvlOverride>
  </w:num>
  <w:num w:numId="16" w16cid:durableId="1172989587">
    <w:abstractNumId w:val="9"/>
    <w:lvlOverride w:ilvl="0">
      <w:startOverride w:val="1"/>
    </w:lvlOverride>
  </w:num>
  <w:num w:numId="17" w16cid:durableId="160976639">
    <w:abstractNumId w:val="9"/>
  </w:num>
  <w:num w:numId="18" w16cid:durableId="104734458">
    <w:abstractNumId w:val="1"/>
  </w:num>
  <w:num w:numId="19" w16cid:durableId="450789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3402049">
    <w:abstractNumId w:val="9"/>
  </w:num>
  <w:num w:numId="21" w16cid:durableId="1475679368">
    <w:abstractNumId w:val="9"/>
  </w:num>
  <w:num w:numId="22" w16cid:durableId="136239425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8"/>
    <w:rsid w:val="00001A82"/>
    <w:rsid w:val="00001ADE"/>
    <w:rsid w:val="00001C2F"/>
    <w:rsid w:val="00001F88"/>
    <w:rsid w:val="0000227A"/>
    <w:rsid w:val="000027B7"/>
    <w:rsid w:val="00004131"/>
    <w:rsid w:val="000067DF"/>
    <w:rsid w:val="0000690D"/>
    <w:rsid w:val="00007D33"/>
    <w:rsid w:val="00010CB0"/>
    <w:rsid w:val="00011452"/>
    <w:rsid w:val="000118E6"/>
    <w:rsid w:val="00012068"/>
    <w:rsid w:val="0001235A"/>
    <w:rsid w:val="00013070"/>
    <w:rsid w:val="00015006"/>
    <w:rsid w:val="0001560E"/>
    <w:rsid w:val="00015B21"/>
    <w:rsid w:val="00016E6D"/>
    <w:rsid w:val="000175D8"/>
    <w:rsid w:val="00017A12"/>
    <w:rsid w:val="000201B3"/>
    <w:rsid w:val="000203BE"/>
    <w:rsid w:val="00021199"/>
    <w:rsid w:val="00022592"/>
    <w:rsid w:val="00022C57"/>
    <w:rsid w:val="00023351"/>
    <w:rsid w:val="000238B6"/>
    <w:rsid w:val="00023E33"/>
    <w:rsid w:val="000246C7"/>
    <w:rsid w:val="00024908"/>
    <w:rsid w:val="000254C9"/>
    <w:rsid w:val="0002557B"/>
    <w:rsid w:val="00025A04"/>
    <w:rsid w:val="00027216"/>
    <w:rsid w:val="00032546"/>
    <w:rsid w:val="000325E0"/>
    <w:rsid w:val="0003368B"/>
    <w:rsid w:val="0003488A"/>
    <w:rsid w:val="00034CEF"/>
    <w:rsid w:val="000365D8"/>
    <w:rsid w:val="000376F5"/>
    <w:rsid w:val="00037A21"/>
    <w:rsid w:val="00037DB1"/>
    <w:rsid w:val="00037F5B"/>
    <w:rsid w:val="0004004D"/>
    <w:rsid w:val="0004076D"/>
    <w:rsid w:val="00041CAB"/>
    <w:rsid w:val="00042274"/>
    <w:rsid w:val="00043FA8"/>
    <w:rsid w:val="00044804"/>
    <w:rsid w:val="00044BEA"/>
    <w:rsid w:val="0004537F"/>
    <w:rsid w:val="00046533"/>
    <w:rsid w:val="000465C8"/>
    <w:rsid w:val="000466B8"/>
    <w:rsid w:val="00046956"/>
    <w:rsid w:val="000473FF"/>
    <w:rsid w:val="0004778C"/>
    <w:rsid w:val="00047FA2"/>
    <w:rsid w:val="0005034D"/>
    <w:rsid w:val="00051946"/>
    <w:rsid w:val="0005555F"/>
    <w:rsid w:val="00056099"/>
    <w:rsid w:val="00056312"/>
    <w:rsid w:val="00056D4F"/>
    <w:rsid w:val="00057668"/>
    <w:rsid w:val="00057F1E"/>
    <w:rsid w:val="00057F51"/>
    <w:rsid w:val="0006013F"/>
    <w:rsid w:val="00060DE8"/>
    <w:rsid w:val="0006178C"/>
    <w:rsid w:val="0006352D"/>
    <w:rsid w:val="00064751"/>
    <w:rsid w:val="0006561E"/>
    <w:rsid w:val="0006772C"/>
    <w:rsid w:val="00070292"/>
    <w:rsid w:val="0007031F"/>
    <w:rsid w:val="00070C01"/>
    <w:rsid w:val="00072DC8"/>
    <w:rsid w:val="00072EB9"/>
    <w:rsid w:val="00072FBD"/>
    <w:rsid w:val="00073586"/>
    <w:rsid w:val="00073B28"/>
    <w:rsid w:val="00073D37"/>
    <w:rsid w:val="0007453B"/>
    <w:rsid w:val="00076052"/>
    <w:rsid w:val="00076387"/>
    <w:rsid w:val="00076A26"/>
    <w:rsid w:val="00077718"/>
    <w:rsid w:val="00081599"/>
    <w:rsid w:val="000820D7"/>
    <w:rsid w:val="00082F8B"/>
    <w:rsid w:val="00083139"/>
    <w:rsid w:val="00084BAD"/>
    <w:rsid w:val="000867EC"/>
    <w:rsid w:val="000873CF"/>
    <w:rsid w:val="00087F41"/>
    <w:rsid w:val="00090548"/>
    <w:rsid w:val="00090F41"/>
    <w:rsid w:val="00091AFA"/>
    <w:rsid w:val="0009263F"/>
    <w:rsid w:val="00092904"/>
    <w:rsid w:val="00093EE6"/>
    <w:rsid w:val="00094691"/>
    <w:rsid w:val="00095519"/>
    <w:rsid w:val="00095774"/>
    <w:rsid w:val="0009589E"/>
    <w:rsid w:val="00096DA0"/>
    <w:rsid w:val="00096E2F"/>
    <w:rsid w:val="000A143A"/>
    <w:rsid w:val="000A16C4"/>
    <w:rsid w:val="000A22E1"/>
    <w:rsid w:val="000A2790"/>
    <w:rsid w:val="000A28B3"/>
    <w:rsid w:val="000A3447"/>
    <w:rsid w:val="000A387D"/>
    <w:rsid w:val="000A4E1E"/>
    <w:rsid w:val="000A5081"/>
    <w:rsid w:val="000A5241"/>
    <w:rsid w:val="000A5B57"/>
    <w:rsid w:val="000A61B3"/>
    <w:rsid w:val="000A7BE0"/>
    <w:rsid w:val="000B0134"/>
    <w:rsid w:val="000B0512"/>
    <w:rsid w:val="000B13A8"/>
    <w:rsid w:val="000B1B83"/>
    <w:rsid w:val="000B22BE"/>
    <w:rsid w:val="000B3E57"/>
    <w:rsid w:val="000B3EB0"/>
    <w:rsid w:val="000B49AF"/>
    <w:rsid w:val="000B4BDF"/>
    <w:rsid w:val="000B4C80"/>
    <w:rsid w:val="000B62DC"/>
    <w:rsid w:val="000B6F34"/>
    <w:rsid w:val="000C0698"/>
    <w:rsid w:val="000C107C"/>
    <w:rsid w:val="000C1151"/>
    <w:rsid w:val="000C1B91"/>
    <w:rsid w:val="000C29FA"/>
    <w:rsid w:val="000C2F3A"/>
    <w:rsid w:val="000C3E3F"/>
    <w:rsid w:val="000C4EEF"/>
    <w:rsid w:val="000C569B"/>
    <w:rsid w:val="000C5AFA"/>
    <w:rsid w:val="000C7354"/>
    <w:rsid w:val="000C766A"/>
    <w:rsid w:val="000C7BB9"/>
    <w:rsid w:val="000D0928"/>
    <w:rsid w:val="000D0AC9"/>
    <w:rsid w:val="000D1D71"/>
    <w:rsid w:val="000D3170"/>
    <w:rsid w:val="000D365C"/>
    <w:rsid w:val="000D41F4"/>
    <w:rsid w:val="000D57E9"/>
    <w:rsid w:val="000D610E"/>
    <w:rsid w:val="000D78FE"/>
    <w:rsid w:val="000E0706"/>
    <w:rsid w:val="000E0842"/>
    <w:rsid w:val="000E0985"/>
    <w:rsid w:val="000E1F26"/>
    <w:rsid w:val="000E2377"/>
    <w:rsid w:val="000E274E"/>
    <w:rsid w:val="000E2B05"/>
    <w:rsid w:val="000E4941"/>
    <w:rsid w:val="000E4BA8"/>
    <w:rsid w:val="000E5153"/>
    <w:rsid w:val="000E6AB6"/>
    <w:rsid w:val="000E732E"/>
    <w:rsid w:val="000E7591"/>
    <w:rsid w:val="000F0F88"/>
    <w:rsid w:val="000F1609"/>
    <w:rsid w:val="000F21AE"/>
    <w:rsid w:val="000F3031"/>
    <w:rsid w:val="000F3152"/>
    <w:rsid w:val="000F31FF"/>
    <w:rsid w:val="000F476E"/>
    <w:rsid w:val="000F50C9"/>
    <w:rsid w:val="000F542D"/>
    <w:rsid w:val="000F6394"/>
    <w:rsid w:val="000F6CC3"/>
    <w:rsid w:val="000F6E0A"/>
    <w:rsid w:val="000F731A"/>
    <w:rsid w:val="00100AFD"/>
    <w:rsid w:val="00100DEC"/>
    <w:rsid w:val="0010145E"/>
    <w:rsid w:val="00101C0A"/>
    <w:rsid w:val="001034B9"/>
    <w:rsid w:val="00105AF1"/>
    <w:rsid w:val="001069FE"/>
    <w:rsid w:val="001070A3"/>
    <w:rsid w:val="00107343"/>
    <w:rsid w:val="001078B4"/>
    <w:rsid w:val="00107AF9"/>
    <w:rsid w:val="00107BF3"/>
    <w:rsid w:val="0011218C"/>
    <w:rsid w:val="00113501"/>
    <w:rsid w:val="00113982"/>
    <w:rsid w:val="0011564D"/>
    <w:rsid w:val="00116690"/>
    <w:rsid w:val="00116C51"/>
    <w:rsid w:val="0011709B"/>
    <w:rsid w:val="0011784B"/>
    <w:rsid w:val="00117BB7"/>
    <w:rsid w:val="00117C13"/>
    <w:rsid w:val="00120D63"/>
    <w:rsid w:val="00121B9F"/>
    <w:rsid w:val="0012239B"/>
    <w:rsid w:val="00122A62"/>
    <w:rsid w:val="00122B27"/>
    <w:rsid w:val="00122B43"/>
    <w:rsid w:val="00124238"/>
    <w:rsid w:val="001245FA"/>
    <w:rsid w:val="00124DFD"/>
    <w:rsid w:val="00125554"/>
    <w:rsid w:val="00125832"/>
    <w:rsid w:val="00127899"/>
    <w:rsid w:val="00127988"/>
    <w:rsid w:val="00130ED3"/>
    <w:rsid w:val="00131DB7"/>
    <w:rsid w:val="00132289"/>
    <w:rsid w:val="001328C8"/>
    <w:rsid w:val="00132CAE"/>
    <w:rsid w:val="0013373C"/>
    <w:rsid w:val="00133931"/>
    <w:rsid w:val="00133CDE"/>
    <w:rsid w:val="001378E7"/>
    <w:rsid w:val="00137C51"/>
    <w:rsid w:val="0014009A"/>
    <w:rsid w:val="00140CA4"/>
    <w:rsid w:val="001415AB"/>
    <w:rsid w:val="00141B57"/>
    <w:rsid w:val="00141CE5"/>
    <w:rsid w:val="00143B94"/>
    <w:rsid w:val="0014496D"/>
    <w:rsid w:val="00145E48"/>
    <w:rsid w:val="00145F5F"/>
    <w:rsid w:val="001470D5"/>
    <w:rsid w:val="00147AC1"/>
    <w:rsid w:val="00150638"/>
    <w:rsid w:val="00150CD3"/>
    <w:rsid w:val="001513A9"/>
    <w:rsid w:val="00153254"/>
    <w:rsid w:val="00153361"/>
    <w:rsid w:val="00153414"/>
    <w:rsid w:val="001546DD"/>
    <w:rsid w:val="00154E78"/>
    <w:rsid w:val="00155C38"/>
    <w:rsid w:val="00156078"/>
    <w:rsid w:val="00156C59"/>
    <w:rsid w:val="0016057B"/>
    <w:rsid w:val="001606DD"/>
    <w:rsid w:val="0016084A"/>
    <w:rsid w:val="00161971"/>
    <w:rsid w:val="00161C25"/>
    <w:rsid w:val="00161CE2"/>
    <w:rsid w:val="001623F7"/>
    <w:rsid w:val="0016291E"/>
    <w:rsid w:val="001629C9"/>
    <w:rsid w:val="00162ACC"/>
    <w:rsid w:val="001643EC"/>
    <w:rsid w:val="001647C6"/>
    <w:rsid w:val="00165457"/>
    <w:rsid w:val="0016661C"/>
    <w:rsid w:val="001678BF"/>
    <w:rsid w:val="001679D6"/>
    <w:rsid w:val="00170109"/>
    <w:rsid w:val="00170B74"/>
    <w:rsid w:val="0017120F"/>
    <w:rsid w:val="001726AF"/>
    <w:rsid w:val="00172C6E"/>
    <w:rsid w:val="0017303A"/>
    <w:rsid w:val="00173B68"/>
    <w:rsid w:val="001743A2"/>
    <w:rsid w:val="00174808"/>
    <w:rsid w:val="00174E60"/>
    <w:rsid w:val="00175100"/>
    <w:rsid w:val="001754AC"/>
    <w:rsid w:val="00175F4E"/>
    <w:rsid w:val="0017674A"/>
    <w:rsid w:val="0017701D"/>
    <w:rsid w:val="00177A88"/>
    <w:rsid w:val="0018037A"/>
    <w:rsid w:val="00181565"/>
    <w:rsid w:val="00181C38"/>
    <w:rsid w:val="00181EC2"/>
    <w:rsid w:val="001843B3"/>
    <w:rsid w:val="00184B89"/>
    <w:rsid w:val="00185F67"/>
    <w:rsid w:val="001872B1"/>
    <w:rsid w:val="001877E5"/>
    <w:rsid w:val="001879E1"/>
    <w:rsid w:val="001908D9"/>
    <w:rsid w:val="00191079"/>
    <w:rsid w:val="0019168D"/>
    <w:rsid w:val="00192026"/>
    <w:rsid w:val="00192681"/>
    <w:rsid w:val="0019276D"/>
    <w:rsid w:val="0019381F"/>
    <w:rsid w:val="00193C12"/>
    <w:rsid w:val="00194164"/>
    <w:rsid w:val="001944E7"/>
    <w:rsid w:val="0019563E"/>
    <w:rsid w:val="00195853"/>
    <w:rsid w:val="00195B87"/>
    <w:rsid w:val="00196439"/>
    <w:rsid w:val="00196FB1"/>
    <w:rsid w:val="00197AEC"/>
    <w:rsid w:val="00197B5B"/>
    <w:rsid w:val="001A0269"/>
    <w:rsid w:val="001A084E"/>
    <w:rsid w:val="001A1755"/>
    <w:rsid w:val="001A19AC"/>
    <w:rsid w:val="001A1DDB"/>
    <w:rsid w:val="001A424C"/>
    <w:rsid w:val="001A4AAE"/>
    <w:rsid w:val="001A4E5F"/>
    <w:rsid w:val="001A61EF"/>
    <w:rsid w:val="001A7093"/>
    <w:rsid w:val="001A791F"/>
    <w:rsid w:val="001B0553"/>
    <w:rsid w:val="001B06DC"/>
    <w:rsid w:val="001B158D"/>
    <w:rsid w:val="001B3B1F"/>
    <w:rsid w:val="001B3F3A"/>
    <w:rsid w:val="001B4404"/>
    <w:rsid w:val="001B48F7"/>
    <w:rsid w:val="001B5563"/>
    <w:rsid w:val="001B63F4"/>
    <w:rsid w:val="001B6459"/>
    <w:rsid w:val="001C0103"/>
    <w:rsid w:val="001C076D"/>
    <w:rsid w:val="001C09C1"/>
    <w:rsid w:val="001C3E8F"/>
    <w:rsid w:val="001C4E99"/>
    <w:rsid w:val="001C54E4"/>
    <w:rsid w:val="001C55A3"/>
    <w:rsid w:val="001C6A7E"/>
    <w:rsid w:val="001C7201"/>
    <w:rsid w:val="001D0068"/>
    <w:rsid w:val="001D0157"/>
    <w:rsid w:val="001D0A30"/>
    <w:rsid w:val="001D1163"/>
    <w:rsid w:val="001D30BC"/>
    <w:rsid w:val="001D40FE"/>
    <w:rsid w:val="001D4A26"/>
    <w:rsid w:val="001D4A9F"/>
    <w:rsid w:val="001D7416"/>
    <w:rsid w:val="001D7A3E"/>
    <w:rsid w:val="001D7B37"/>
    <w:rsid w:val="001D7B63"/>
    <w:rsid w:val="001E06D4"/>
    <w:rsid w:val="001E0D31"/>
    <w:rsid w:val="001E1986"/>
    <w:rsid w:val="001E1C98"/>
    <w:rsid w:val="001E1CFB"/>
    <w:rsid w:val="001E1DC8"/>
    <w:rsid w:val="001E1DF3"/>
    <w:rsid w:val="001E4DF5"/>
    <w:rsid w:val="001E6C47"/>
    <w:rsid w:val="001E77FF"/>
    <w:rsid w:val="001F002A"/>
    <w:rsid w:val="001F13DF"/>
    <w:rsid w:val="001F2234"/>
    <w:rsid w:val="001F2336"/>
    <w:rsid w:val="001F23E4"/>
    <w:rsid w:val="001F350D"/>
    <w:rsid w:val="001F3811"/>
    <w:rsid w:val="001F39A3"/>
    <w:rsid w:val="001F452F"/>
    <w:rsid w:val="001F58CC"/>
    <w:rsid w:val="001F68CA"/>
    <w:rsid w:val="001F6909"/>
    <w:rsid w:val="001F7848"/>
    <w:rsid w:val="001F7B7A"/>
    <w:rsid w:val="00200FAE"/>
    <w:rsid w:val="00201394"/>
    <w:rsid w:val="002016E1"/>
    <w:rsid w:val="002036AC"/>
    <w:rsid w:val="00205099"/>
    <w:rsid w:val="0020584E"/>
    <w:rsid w:val="00205902"/>
    <w:rsid w:val="00205A7E"/>
    <w:rsid w:val="00205E25"/>
    <w:rsid w:val="00205E52"/>
    <w:rsid w:val="002064DB"/>
    <w:rsid w:val="00210B7D"/>
    <w:rsid w:val="00210BBC"/>
    <w:rsid w:val="00210D5A"/>
    <w:rsid w:val="00211B86"/>
    <w:rsid w:val="002126B9"/>
    <w:rsid w:val="002127AD"/>
    <w:rsid w:val="00212BB3"/>
    <w:rsid w:val="0021476D"/>
    <w:rsid w:val="00215103"/>
    <w:rsid w:val="002158C4"/>
    <w:rsid w:val="00215D2D"/>
    <w:rsid w:val="00215F5F"/>
    <w:rsid w:val="00217EF1"/>
    <w:rsid w:val="00222B98"/>
    <w:rsid w:val="00223518"/>
    <w:rsid w:val="00223536"/>
    <w:rsid w:val="002238A2"/>
    <w:rsid w:val="00223EF3"/>
    <w:rsid w:val="00224826"/>
    <w:rsid w:val="00224FE8"/>
    <w:rsid w:val="002253AF"/>
    <w:rsid w:val="00225C59"/>
    <w:rsid w:val="00225DB0"/>
    <w:rsid w:val="00226BB1"/>
    <w:rsid w:val="002270FE"/>
    <w:rsid w:val="00227334"/>
    <w:rsid w:val="00230076"/>
    <w:rsid w:val="00230BD0"/>
    <w:rsid w:val="00231584"/>
    <w:rsid w:val="00231A11"/>
    <w:rsid w:val="00231A84"/>
    <w:rsid w:val="00232701"/>
    <w:rsid w:val="00232D46"/>
    <w:rsid w:val="002338C2"/>
    <w:rsid w:val="00234364"/>
    <w:rsid w:val="002349DB"/>
    <w:rsid w:val="002351E3"/>
    <w:rsid w:val="00235FA4"/>
    <w:rsid w:val="00236393"/>
    <w:rsid w:val="00236747"/>
    <w:rsid w:val="00236CD7"/>
    <w:rsid w:val="0023737F"/>
    <w:rsid w:val="00237D12"/>
    <w:rsid w:val="00240A80"/>
    <w:rsid w:val="00242003"/>
    <w:rsid w:val="00243831"/>
    <w:rsid w:val="00243ABA"/>
    <w:rsid w:val="0024565A"/>
    <w:rsid w:val="00245804"/>
    <w:rsid w:val="00245BDF"/>
    <w:rsid w:val="00245D9B"/>
    <w:rsid w:val="00246A31"/>
    <w:rsid w:val="00246B77"/>
    <w:rsid w:val="0025172C"/>
    <w:rsid w:val="00252FED"/>
    <w:rsid w:val="00253C01"/>
    <w:rsid w:val="00254205"/>
    <w:rsid w:val="002547BD"/>
    <w:rsid w:val="00254E44"/>
    <w:rsid w:val="00254ED4"/>
    <w:rsid w:val="002558C4"/>
    <w:rsid w:val="00255FA6"/>
    <w:rsid w:val="002562E3"/>
    <w:rsid w:val="002565E1"/>
    <w:rsid w:val="002600A5"/>
    <w:rsid w:val="0026024F"/>
    <w:rsid w:val="00260397"/>
    <w:rsid w:val="0026082C"/>
    <w:rsid w:val="00261D0A"/>
    <w:rsid w:val="00262206"/>
    <w:rsid w:val="0026266E"/>
    <w:rsid w:val="0026281D"/>
    <w:rsid w:val="00263CB7"/>
    <w:rsid w:val="0026535D"/>
    <w:rsid w:val="00265802"/>
    <w:rsid w:val="002661E7"/>
    <w:rsid w:val="00266943"/>
    <w:rsid w:val="00267E7D"/>
    <w:rsid w:val="00271152"/>
    <w:rsid w:val="00271B74"/>
    <w:rsid w:val="0027228A"/>
    <w:rsid w:val="002747A4"/>
    <w:rsid w:val="00276504"/>
    <w:rsid w:val="00277F78"/>
    <w:rsid w:val="00281B64"/>
    <w:rsid w:val="00282349"/>
    <w:rsid w:val="00282F82"/>
    <w:rsid w:val="0028538E"/>
    <w:rsid w:val="002854AF"/>
    <w:rsid w:val="0028607E"/>
    <w:rsid w:val="00286485"/>
    <w:rsid w:val="00286A2D"/>
    <w:rsid w:val="00286E00"/>
    <w:rsid w:val="0028721E"/>
    <w:rsid w:val="0029127E"/>
    <w:rsid w:val="00291366"/>
    <w:rsid w:val="00293654"/>
    <w:rsid w:val="00295390"/>
    <w:rsid w:val="0029562E"/>
    <w:rsid w:val="00295C6A"/>
    <w:rsid w:val="00296A1F"/>
    <w:rsid w:val="00297CCA"/>
    <w:rsid w:val="002A0C83"/>
    <w:rsid w:val="002A1E1D"/>
    <w:rsid w:val="002A5394"/>
    <w:rsid w:val="002A5728"/>
    <w:rsid w:val="002A57A3"/>
    <w:rsid w:val="002A5865"/>
    <w:rsid w:val="002A5905"/>
    <w:rsid w:val="002A7104"/>
    <w:rsid w:val="002A72DC"/>
    <w:rsid w:val="002A7380"/>
    <w:rsid w:val="002B1A3F"/>
    <w:rsid w:val="002B3765"/>
    <w:rsid w:val="002B43F4"/>
    <w:rsid w:val="002B5191"/>
    <w:rsid w:val="002B51F0"/>
    <w:rsid w:val="002B5521"/>
    <w:rsid w:val="002B6C6A"/>
    <w:rsid w:val="002C0056"/>
    <w:rsid w:val="002C1001"/>
    <w:rsid w:val="002C14EE"/>
    <w:rsid w:val="002C1D3C"/>
    <w:rsid w:val="002C2AB3"/>
    <w:rsid w:val="002C5216"/>
    <w:rsid w:val="002C5253"/>
    <w:rsid w:val="002C6323"/>
    <w:rsid w:val="002C7C29"/>
    <w:rsid w:val="002D000F"/>
    <w:rsid w:val="002D0998"/>
    <w:rsid w:val="002D1D60"/>
    <w:rsid w:val="002D1FAD"/>
    <w:rsid w:val="002D2E4A"/>
    <w:rsid w:val="002D3005"/>
    <w:rsid w:val="002D35BE"/>
    <w:rsid w:val="002D3766"/>
    <w:rsid w:val="002D4589"/>
    <w:rsid w:val="002D458E"/>
    <w:rsid w:val="002D4DD1"/>
    <w:rsid w:val="002D5ABA"/>
    <w:rsid w:val="002D64D7"/>
    <w:rsid w:val="002D654F"/>
    <w:rsid w:val="002E0522"/>
    <w:rsid w:val="002E0AA1"/>
    <w:rsid w:val="002E0F2B"/>
    <w:rsid w:val="002E1031"/>
    <w:rsid w:val="002E126A"/>
    <w:rsid w:val="002E1E10"/>
    <w:rsid w:val="002E372D"/>
    <w:rsid w:val="002E4BA1"/>
    <w:rsid w:val="002E6106"/>
    <w:rsid w:val="002E79F7"/>
    <w:rsid w:val="002F163A"/>
    <w:rsid w:val="002F27FB"/>
    <w:rsid w:val="002F2B00"/>
    <w:rsid w:val="002F2F44"/>
    <w:rsid w:val="002F3CD4"/>
    <w:rsid w:val="002F3F7C"/>
    <w:rsid w:val="002F401F"/>
    <w:rsid w:val="002F476E"/>
    <w:rsid w:val="002F47E4"/>
    <w:rsid w:val="002F6F09"/>
    <w:rsid w:val="00300323"/>
    <w:rsid w:val="00302B15"/>
    <w:rsid w:val="003039D9"/>
    <w:rsid w:val="00303E62"/>
    <w:rsid w:val="003043E2"/>
    <w:rsid w:val="0030532C"/>
    <w:rsid w:val="00306660"/>
    <w:rsid w:val="00306E73"/>
    <w:rsid w:val="003078BA"/>
    <w:rsid w:val="003106E4"/>
    <w:rsid w:val="00310FE5"/>
    <w:rsid w:val="0031218C"/>
    <w:rsid w:val="00313115"/>
    <w:rsid w:val="00313E85"/>
    <w:rsid w:val="0031446F"/>
    <w:rsid w:val="0031558D"/>
    <w:rsid w:val="00316E29"/>
    <w:rsid w:val="0031739E"/>
    <w:rsid w:val="00317DB2"/>
    <w:rsid w:val="00320927"/>
    <w:rsid w:val="00321709"/>
    <w:rsid w:val="00322FAC"/>
    <w:rsid w:val="00323520"/>
    <w:rsid w:val="00324A4F"/>
    <w:rsid w:val="003254C3"/>
    <w:rsid w:val="00326CF0"/>
    <w:rsid w:val="00326DC5"/>
    <w:rsid w:val="00327A5A"/>
    <w:rsid w:val="00327C88"/>
    <w:rsid w:val="0033063A"/>
    <w:rsid w:val="00331211"/>
    <w:rsid w:val="00331BF9"/>
    <w:rsid w:val="0033203C"/>
    <w:rsid w:val="0033341A"/>
    <w:rsid w:val="00333B92"/>
    <w:rsid w:val="00333E45"/>
    <w:rsid w:val="00334F0A"/>
    <w:rsid w:val="00336AC4"/>
    <w:rsid w:val="00342C36"/>
    <w:rsid w:val="00342E84"/>
    <w:rsid w:val="0034354B"/>
    <w:rsid w:val="00343A9B"/>
    <w:rsid w:val="0034494B"/>
    <w:rsid w:val="00344DA7"/>
    <w:rsid w:val="00345F9C"/>
    <w:rsid w:val="003472CA"/>
    <w:rsid w:val="003501A2"/>
    <w:rsid w:val="00350824"/>
    <w:rsid w:val="00351065"/>
    <w:rsid w:val="00351FC3"/>
    <w:rsid w:val="003537B9"/>
    <w:rsid w:val="00354169"/>
    <w:rsid w:val="00354ECB"/>
    <w:rsid w:val="00354EEB"/>
    <w:rsid w:val="003554CB"/>
    <w:rsid w:val="00355D0E"/>
    <w:rsid w:val="0035693F"/>
    <w:rsid w:val="00360A0E"/>
    <w:rsid w:val="00362B36"/>
    <w:rsid w:val="00363A6A"/>
    <w:rsid w:val="00363FD9"/>
    <w:rsid w:val="00364255"/>
    <w:rsid w:val="00364843"/>
    <w:rsid w:val="00366F03"/>
    <w:rsid w:val="0037095C"/>
    <w:rsid w:val="00370F64"/>
    <w:rsid w:val="0037167A"/>
    <w:rsid w:val="003717C6"/>
    <w:rsid w:val="0037261F"/>
    <w:rsid w:val="003728E9"/>
    <w:rsid w:val="00372C16"/>
    <w:rsid w:val="003732AB"/>
    <w:rsid w:val="003745B0"/>
    <w:rsid w:val="003751D1"/>
    <w:rsid w:val="00375639"/>
    <w:rsid w:val="003756E1"/>
    <w:rsid w:val="00375AE5"/>
    <w:rsid w:val="00376616"/>
    <w:rsid w:val="00376EA9"/>
    <w:rsid w:val="003773A8"/>
    <w:rsid w:val="003774CC"/>
    <w:rsid w:val="00377C2E"/>
    <w:rsid w:val="0038121D"/>
    <w:rsid w:val="00382728"/>
    <w:rsid w:val="003828B3"/>
    <w:rsid w:val="003831CF"/>
    <w:rsid w:val="003839B2"/>
    <w:rsid w:val="00384C40"/>
    <w:rsid w:val="00384E7B"/>
    <w:rsid w:val="00385ADC"/>
    <w:rsid w:val="00385B4E"/>
    <w:rsid w:val="00385EA4"/>
    <w:rsid w:val="00387831"/>
    <w:rsid w:val="003901CB"/>
    <w:rsid w:val="0039277D"/>
    <w:rsid w:val="00392924"/>
    <w:rsid w:val="00392A4E"/>
    <w:rsid w:val="003931E6"/>
    <w:rsid w:val="00393259"/>
    <w:rsid w:val="00394805"/>
    <w:rsid w:val="00394BEF"/>
    <w:rsid w:val="00394CC8"/>
    <w:rsid w:val="00394D1C"/>
    <w:rsid w:val="00394E99"/>
    <w:rsid w:val="00394F5B"/>
    <w:rsid w:val="003953EE"/>
    <w:rsid w:val="003A0134"/>
    <w:rsid w:val="003A1496"/>
    <w:rsid w:val="003A14C5"/>
    <w:rsid w:val="003A3784"/>
    <w:rsid w:val="003A48DD"/>
    <w:rsid w:val="003A4C7E"/>
    <w:rsid w:val="003A5296"/>
    <w:rsid w:val="003A58CE"/>
    <w:rsid w:val="003A6AC0"/>
    <w:rsid w:val="003B16E2"/>
    <w:rsid w:val="003B2953"/>
    <w:rsid w:val="003B2F6E"/>
    <w:rsid w:val="003B431E"/>
    <w:rsid w:val="003B46B6"/>
    <w:rsid w:val="003B483B"/>
    <w:rsid w:val="003B56F2"/>
    <w:rsid w:val="003B5C8C"/>
    <w:rsid w:val="003B6AE2"/>
    <w:rsid w:val="003B6E48"/>
    <w:rsid w:val="003B7ED4"/>
    <w:rsid w:val="003B7F56"/>
    <w:rsid w:val="003C1E02"/>
    <w:rsid w:val="003C21D3"/>
    <w:rsid w:val="003C2B95"/>
    <w:rsid w:val="003C38DA"/>
    <w:rsid w:val="003C3D1C"/>
    <w:rsid w:val="003C6D54"/>
    <w:rsid w:val="003D0165"/>
    <w:rsid w:val="003D02CA"/>
    <w:rsid w:val="003D2DE7"/>
    <w:rsid w:val="003D33A0"/>
    <w:rsid w:val="003D38F3"/>
    <w:rsid w:val="003D3BEF"/>
    <w:rsid w:val="003D4ACA"/>
    <w:rsid w:val="003D4B6A"/>
    <w:rsid w:val="003D4F81"/>
    <w:rsid w:val="003D53F3"/>
    <w:rsid w:val="003D54C5"/>
    <w:rsid w:val="003D5BFF"/>
    <w:rsid w:val="003D5ED9"/>
    <w:rsid w:val="003D5F5D"/>
    <w:rsid w:val="003D6346"/>
    <w:rsid w:val="003D6F80"/>
    <w:rsid w:val="003D731F"/>
    <w:rsid w:val="003E041B"/>
    <w:rsid w:val="003E0589"/>
    <w:rsid w:val="003E4FCA"/>
    <w:rsid w:val="003E77C1"/>
    <w:rsid w:val="003E77C3"/>
    <w:rsid w:val="003F0377"/>
    <w:rsid w:val="003F0D9B"/>
    <w:rsid w:val="003F1021"/>
    <w:rsid w:val="003F1120"/>
    <w:rsid w:val="003F2E96"/>
    <w:rsid w:val="003F6A00"/>
    <w:rsid w:val="003F6D9C"/>
    <w:rsid w:val="003F7377"/>
    <w:rsid w:val="00400FB7"/>
    <w:rsid w:val="00401B3C"/>
    <w:rsid w:val="004024D0"/>
    <w:rsid w:val="00402818"/>
    <w:rsid w:val="00405805"/>
    <w:rsid w:val="00405B1C"/>
    <w:rsid w:val="00405D60"/>
    <w:rsid w:val="00405EF0"/>
    <w:rsid w:val="004064E3"/>
    <w:rsid w:val="0040732F"/>
    <w:rsid w:val="00407774"/>
    <w:rsid w:val="00410145"/>
    <w:rsid w:val="00410D8E"/>
    <w:rsid w:val="00411B11"/>
    <w:rsid w:val="0041357F"/>
    <w:rsid w:val="0041481C"/>
    <w:rsid w:val="00414C22"/>
    <w:rsid w:val="00414E1B"/>
    <w:rsid w:val="004160E9"/>
    <w:rsid w:val="0041623B"/>
    <w:rsid w:val="00416432"/>
    <w:rsid w:val="0042022F"/>
    <w:rsid w:val="00420B01"/>
    <w:rsid w:val="00421394"/>
    <w:rsid w:val="004215F1"/>
    <w:rsid w:val="00421D8F"/>
    <w:rsid w:val="00422072"/>
    <w:rsid w:val="00430307"/>
    <w:rsid w:val="00430E79"/>
    <w:rsid w:val="004322AC"/>
    <w:rsid w:val="00432F36"/>
    <w:rsid w:val="00434A3C"/>
    <w:rsid w:val="00435922"/>
    <w:rsid w:val="00435ACC"/>
    <w:rsid w:val="00436303"/>
    <w:rsid w:val="00436346"/>
    <w:rsid w:val="00436980"/>
    <w:rsid w:val="004405DE"/>
    <w:rsid w:val="00440CD8"/>
    <w:rsid w:val="0044186C"/>
    <w:rsid w:val="0044228F"/>
    <w:rsid w:val="00442D06"/>
    <w:rsid w:val="00444001"/>
    <w:rsid w:val="004448C6"/>
    <w:rsid w:val="00445343"/>
    <w:rsid w:val="0044613A"/>
    <w:rsid w:val="004465D0"/>
    <w:rsid w:val="00446A56"/>
    <w:rsid w:val="00446EF2"/>
    <w:rsid w:val="0044721C"/>
    <w:rsid w:val="0045012B"/>
    <w:rsid w:val="00450595"/>
    <w:rsid w:val="004505F7"/>
    <w:rsid w:val="004508F7"/>
    <w:rsid w:val="0045115D"/>
    <w:rsid w:val="00451938"/>
    <w:rsid w:val="00451B86"/>
    <w:rsid w:val="00451BAC"/>
    <w:rsid w:val="00453976"/>
    <w:rsid w:val="00453CA4"/>
    <w:rsid w:val="00453E3C"/>
    <w:rsid w:val="004543EB"/>
    <w:rsid w:val="00455314"/>
    <w:rsid w:val="004554E0"/>
    <w:rsid w:val="0045671A"/>
    <w:rsid w:val="004608C7"/>
    <w:rsid w:val="004630E8"/>
    <w:rsid w:val="00466517"/>
    <w:rsid w:val="00470DA2"/>
    <w:rsid w:val="00470FC6"/>
    <w:rsid w:val="004729CC"/>
    <w:rsid w:val="00473263"/>
    <w:rsid w:val="004743BC"/>
    <w:rsid w:val="00476B93"/>
    <w:rsid w:val="00477F24"/>
    <w:rsid w:val="00483CF6"/>
    <w:rsid w:val="004853F9"/>
    <w:rsid w:val="004861DA"/>
    <w:rsid w:val="00486DFC"/>
    <w:rsid w:val="00490E6D"/>
    <w:rsid w:val="00490F7A"/>
    <w:rsid w:val="004919DA"/>
    <w:rsid w:val="00491B17"/>
    <w:rsid w:val="004932AB"/>
    <w:rsid w:val="00493338"/>
    <w:rsid w:val="00493480"/>
    <w:rsid w:val="00493F9B"/>
    <w:rsid w:val="00493FDA"/>
    <w:rsid w:val="004940CB"/>
    <w:rsid w:val="00494238"/>
    <w:rsid w:val="00494CF4"/>
    <w:rsid w:val="00494EB8"/>
    <w:rsid w:val="004951D9"/>
    <w:rsid w:val="00495A08"/>
    <w:rsid w:val="004962E0"/>
    <w:rsid w:val="004968A7"/>
    <w:rsid w:val="004A09E4"/>
    <w:rsid w:val="004A18F3"/>
    <w:rsid w:val="004A2017"/>
    <w:rsid w:val="004A2287"/>
    <w:rsid w:val="004A25EB"/>
    <w:rsid w:val="004A291E"/>
    <w:rsid w:val="004A2C0E"/>
    <w:rsid w:val="004A551E"/>
    <w:rsid w:val="004A5CD3"/>
    <w:rsid w:val="004A6EAC"/>
    <w:rsid w:val="004A7406"/>
    <w:rsid w:val="004A7D09"/>
    <w:rsid w:val="004B032A"/>
    <w:rsid w:val="004B0525"/>
    <w:rsid w:val="004B0FD5"/>
    <w:rsid w:val="004B305B"/>
    <w:rsid w:val="004B5775"/>
    <w:rsid w:val="004B782B"/>
    <w:rsid w:val="004C09D8"/>
    <w:rsid w:val="004C0D9C"/>
    <w:rsid w:val="004C1120"/>
    <w:rsid w:val="004C1593"/>
    <w:rsid w:val="004C230E"/>
    <w:rsid w:val="004C27BA"/>
    <w:rsid w:val="004C2BE9"/>
    <w:rsid w:val="004C2DE7"/>
    <w:rsid w:val="004C4D02"/>
    <w:rsid w:val="004C5106"/>
    <w:rsid w:val="004C55FA"/>
    <w:rsid w:val="004C5E68"/>
    <w:rsid w:val="004C7495"/>
    <w:rsid w:val="004D0260"/>
    <w:rsid w:val="004D092B"/>
    <w:rsid w:val="004D1313"/>
    <w:rsid w:val="004D20AA"/>
    <w:rsid w:val="004D2C35"/>
    <w:rsid w:val="004D2F80"/>
    <w:rsid w:val="004D3A02"/>
    <w:rsid w:val="004D41E9"/>
    <w:rsid w:val="004D587E"/>
    <w:rsid w:val="004D58E3"/>
    <w:rsid w:val="004D5E2E"/>
    <w:rsid w:val="004D607C"/>
    <w:rsid w:val="004D6C83"/>
    <w:rsid w:val="004D7CEB"/>
    <w:rsid w:val="004E00EB"/>
    <w:rsid w:val="004E12AA"/>
    <w:rsid w:val="004E1E9B"/>
    <w:rsid w:val="004E26A7"/>
    <w:rsid w:val="004E2CF5"/>
    <w:rsid w:val="004E33D4"/>
    <w:rsid w:val="004E3780"/>
    <w:rsid w:val="004E3CB2"/>
    <w:rsid w:val="004E4F60"/>
    <w:rsid w:val="004E5914"/>
    <w:rsid w:val="004E5A1D"/>
    <w:rsid w:val="004E5B06"/>
    <w:rsid w:val="004E657A"/>
    <w:rsid w:val="004E7B06"/>
    <w:rsid w:val="004F0160"/>
    <w:rsid w:val="004F027D"/>
    <w:rsid w:val="004F081F"/>
    <w:rsid w:val="004F085F"/>
    <w:rsid w:val="004F1B5B"/>
    <w:rsid w:val="004F3787"/>
    <w:rsid w:val="004F3C4D"/>
    <w:rsid w:val="004F410B"/>
    <w:rsid w:val="004F47DD"/>
    <w:rsid w:val="004F4818"/>
    <w:rsid w:val="004F4E82"/>
    <w:rsid w:val="004F5CD9"/>
    <w:rsid w:val="004F6EE3"/>
    <w:rsid w:val="004F6F93"/>
    <w:rsid w:val="004F715F"/>
    <w:rsid w:val="004F725B"/>
    <w:rsid w:val="004F7A87"/>
    <w:rsid w:val="00500E0F"/>
    <w:rsid w:val="00500EA7"/>
    <w:rsid w:val="00502F00"/>
    <w:rsid w:val="00504197"/>
    <w:rsid w:val="00506584"/>
    <w:rsid w:val="005069D9"/>
    <w:rsid w:val="00507845"/>
    <w:rsid w:val="00507FE4"/>
    <w:rsid w:val="005104F0"/>
    <w:rsid w:val="00511AC3"/>
    <w:rsid w:val="005120A9"/>
    <w:rsid w:val="005120E1"/>
    <w:rsid w:val="0051224A"/>
    <w:rsid w:val="0051233A"/>
    <w:rsid w:val="0051274D"/>
    <w:rsid w:val="00513456"/>
    <w:rsid w:val="00514450"/>
    <w:rsid w:val="0051474C"/>
    <w:rsid w:val="0051518B"/>
    <w:rsid w:val="00516C62"/>
    <w:rsid w:val="00516D53"/>
    <w:rsid w:val="00517D4B"/>
    <w:rsid w:val="005204EE"/>
    <w:rsid w:val="0052175B"/>
    <w:rsid w:val="0052211A"/>
    <w:rsid w:val="005223F3"/>
    <w:rsid w:val="00522853"/>
    <w:rsid w:val="00522B34"/>
    <w:rsid w:val="00524CE1"/>
    <w:rsid w:val="0052582B"/>
    <w:rsid w:val="00526B06"/>
    <w:rsid w:val="005274F5"/>
    <w:rsid w:val="005304D8"/>
    <w:rsid w:val="00530E35"/>
    <w:rsid w:val="005319D3"/>
    <w:rsid w:val="00531E45"/>
    <w:rsid w:val="005321D0"/>
    <w:rsid w:val="0053227A"/>
    <w:rsid w:val="00535CB1"/>
    <w:rsid w:val="00536904"/>
    <w:rsid w:val="00536BC5"/>
    <w:rsid w:val="00536E3C"/>
    <w:rsid w:val="00540554"/>
    <w:rsid w:val="00540B0D"/>
    <w:rsid w:val="0054107D"/>
    <w:rsid w:val="00541494"/>
    <w:rsid w:val="00541AD2"/>
    <w:rsid w:val="005421E6"/>
    <w:rsid w:val="005426AF"/>
    <w:rsid w:val="005427AC"/>
    <w:rsid w:val="005429F6"/>
    <w:rsid w:val="0054389E"/>
    <w:rsid w:val="005438C6"/>
    <w:rsid w:val="005438ED"/>
    <w:rsid w:val="005439D2"/>
    <w:rsid w:val="00544319"/>
    <w:rsid w:val="00545568"/>
    <w:rsid w:val="00545768"/>
    <w:rsid w:val="00545955"/>
    <w:rsid w:val="00546329"/>
    <w:rsid w:val="0054670F"/>
    <w:rsid w:val="00547705"/>
    <w:rsid w:val="00547D45"/>
    <w:rsid w:val="005508A0"/>
    <w:rsid w:val="00550DBB"/>
    <w:rsid w:val="00551689"/>
    <w:rsid w:val="00551CE5"/>
    <w:rsid w:val="00553415"/>
    <w:rsid w:val="00553B57"/>
    <w:rsid w:val="0055541F"/>
    <w:rsid w:val="00555E2F"/>
    <w:rsid w:val="00556C29"/>
    <w:rsid w:val="005611CF"/>
    <w:rsid w:val="00561AD2"/>
    <w:rsid w:val="00561C80"/>
    <w:rsid w:val="00562FA7"/>
    <w:rsid w:val="00563415"/>
    <w:rsid w:val="00563D58"/>
    <w:rsid w:val="00564717"/>
    <w:rsid w:val="00565A71"/>
    <w:rsid w:val="00566575"/>
    <w:rsid w:val="00566A63"/>
    <w:rsid w:val="00566CD0"/>
    <w:rsid w:val="0056712A"/>
    <w:rsid w:val="005712E4"/>
    <w:rsid w:val="00571DEB"/>
    <w:rsid w:val="005727EC"/>
    <w:rsid w:val="00573506"/>
    <w:rsid w:val="00573BD9"/>
    <w:rsid w:val="00573EB4"/>
    <w:rsid w:val="0057446A"/>
    <w:rsid w:val="00577757"/>
    <w:rsid w:val="00577D0F"/>
    <w:rsid w:val="00580C20"/>
    <w:rsid w:val="00581EC3"/>
    <w:rsid w:val="005840E6"/>
    <w:rsid w:val="0058473C"/>
    <w:rsid w:val="00584954"/>
    <w:rsid w:val="00584AD6"/>
    <w:rsid w:val="0058602D"/>
    <w:rsid w:val="00586727"/>
    <w:rsid w:val="00587143"/>
    <w:rsid w:val="00587E79"/>
    <w:rsid w:val="00590171"/>
    <w:rsid w:val="00591AEB"/>
    <w:rsid w:val="00593B58"/>
    <w:rsid w:val="00593BA3"/>
    <w:rsid w:val="005943FA"/>
    <w:rsid w:val="00594422"/>
    <w:rsid w:val="0059446E"/>
    <w:rsid w:val="00594DDF"/>
    <w:rsid w:val="005952B9"/>
    <w:rsid w:val="00595A96"/>
    <w:rsid w:val="00596455"/>
    <w:rsid w:val="005973B0"/>
    <w:rsid w:val="00597B05"/>
    <w:rsid w:val="00597F4F"/>
    <w:rsid w:val="005A01CF"/>
    <w:rsid w:val="005A1307"/>
    <w:rsid w:val="005A1406"/>
    <w:rsid w:val="005A1989"/>
    <w:rsid w:val="005A3140"/>
    <w:rsid w:val="005A3479"/>
    <w:rsid w:val="005A4D89"/>
    <w:rsid w:val="005A581A"/>
    <w:rsid w:val="005A5E76"/>
    <w:rsid w:val="005A6ED0"/>
    <w:rsid w:val="005A73A0"/>
    <w:rsid w:val="005A7459"/>
    <w:rsid w:val="005A7B6C"/>
    <w:rsid w:val="005A7EE5"/>
    <w:rsid w:val="005B05AA"/>
    <w:rsid w:val="005B0691"/>
    <w:rsid w:val="005B0BFB"/>
    <w:rsid w:val="005B0CB4"/>
    <w:rsid w:val="005B4071"/>
    <w:rsid w:val="005B4B0A"/>
    <w:rsid w:val="005B5F80"/>
    <w:rsid w:val="005B650E"/>
    <w:rsid w:val="005B6B78"/>
    <w:rsid w:val="005B737B"/>
    <w:rsid w:val="005B7B17"/>
    <w:rsid w:val="005C1708"/>
    <w:rsid w:val="005C23D8"/>
    <w:rsid w:val="005C2D6D"/>
    <w:rsid w:val="005C2EBB"/>
    <w:rsid w:val="005C475E"/>
    <w:rsid w:val="005C5471"/>
    <w:rsid w:val="005C638C"/>
    <w:rsid w:val="005C6825"/>
    <w:rsid w:val="005C6B0A"/>
    <w:rsid w:val="005C72D5"/>
    <w:rsid w:val="005D0BDA"/>
    <w:rsid w:val="005D0D04"/>
    <w:rsid w:val="005D34DF"/>
    <w:rsid w:val="005D43F2"/>
    <w:rsid w:val="005D444C"/>
    <w:rsid w:val="005D4A0D"/>
    <w:rsid w:val="005D4A83"/>
    <w:rsid w:val="005D4D7C"/>
    <w:rsid w:val="005D5AA2"/>
    <w:rsid w:val="005D6C01"/>
    <w:rsid w:val="005E1702"/>
    <w:rsid w:val="005E24B8"/>
    <w:rsid w:val="005E45E8"/>
    <w:rsid w:val="005E4B0F"/>
    <w:rsid w:val="005E537A"/>
    <w:rsid w:val="005E59ED"/>
    <w:rsid w:val="005E63AE"/>
    <w:rsid w:val="005E78A5"/>
    <w:rsid w:val="005F07B0"/>
    <w:rsid w:val="005F0914"/>
    <w:rsid w:val="005F09A9"/>
    <w:rsid w:val="005F2506"/>
    <w:rsid w:val="005F4FF8"/>
    <w:rsid w:val="005F509B"/>
    <w:rsid w:val="005F77F6"/>
    <w:rsid w:val="005F7CE4"/>
    <w:rsid w:val="00600096"/>
    <w:rsid w:val="00600102"/>
    <w:rsid w:val="00601284"/>
    <w:rsid w:val="00601D01"/>
    <w:rsid w:val="00601D24"/>
    <w:rsid w:val="00601E98"/>
    <w:rsid w:val="006030D4"/>
    <w:rsid w:val="0060310B"/>
    <w:rsid w:val="00603927"/>
    <w:rsid w:val="00603E19"/>
    <w:rsid w:val="00604D82"/>
    <w:rsid w:val="0060587D"/>
    <w:rsid w:val="00605D81"/>
    <w:rsid w:val="00606B02"/>
    <w:rsid w:val="0060787B"/>
    <w:rsid w:val="00607895"/>
    <w:rsid w:val="006101D6"/>
    <w:rsid w:val="00610228"/>
    <w:rsid w:val="0061069C"/>
    <w:rsid w:val="00611482"/>
    <w:rsid w:val="0061151D"/>
    <w:rsid w:val="00612DE2"/>
    <w:rsid w:val="0061303E"/>
    <w:rsid w:val="006166A1"/>
    <w:rsid w:val="00616C52"/>
    <w:rsid w:val="00617B93"/>
    <w:rsid w:val="00617FD3"/>
    <w:rsid w:val="00620F8E"/>
    <w:rsid w:val="006213F4"/>
    <w:rsid w:val="0062177C"/>
    <w:rsid w:val="00621A36"/>
    <w:rsid w:val="00621C13"/>
    <w:rsid w:val="00622077"/>
    <w:rsid w:val="0062249C"/>
    <w:rsid w:val="0062392B"/>
    <w:rsid w:val="006244DF"/>
    <w:rsid w:val="00624567"/>
    <w:rsid w:val="00624EDA"/>
    <w:rsid w:val="00624FEB"/>
    <w:rsid w:val="00625FA1"/>
    <w:rsid w:val="00627D9E"/>
    <w:rsid w:val="006309F7"/>
    <w:rsid w:val="00630D44"/>
    <w:rsid w:val="00631051"/>
    <w:rsid w:val="00631C3D"/>
    <w:rsid w:val="00632A6A"/>
    <w:rsid w:val="00633B54"/>
    <w:rsid w:val="00635252"/>
    <w:rsid w:val="006352D1"/>
    <w:rsid w:val="0063577C"/>
    <w:rsid w:val="0063612C"/>
    <w:rsid w:val="00637345"/>
    <w:rsid w:val="0064163C"/>
    <w:rsid w:val="006430DA"/>
    <w:rsid w:val="006445AB"/>
    <w:rsid w:val="00644679"/>
    <w:rsid w:val="0064516E"/>
    <w:rsid w:val="0064652B"/>
    <w:rsid w:val="006475BE"/>
    <w:rsid w:val="006511C7"/>
    <w:rsid w:val="0065120B"/>
    <w:rsid w:val="006525B0"/>
    <w:rsid w:val="00652B78"/>
    <w:rsid w:val="006539AC"/>
    <w:rsid w:val="006541F9"/>
    <w:rsid w:val="0065585B"/>
    <w:rsid w:val="00655F0B"/>
    <w:rsid w:val="00656592"/>
    <w:rsid w:val="00660DB0"/>
    <w:rsid w:val="00661307"/>
    <w:rsid w:val="00661DFB"/>
    <w:rsid w:val="0066245E"/>
    <w:rsid w:val="006624F2"/>
    <w:rsid w:val="00662819"/>
    <w:rsid w:val="00664F5F"/>
    <w:rsid w:val="006665C0"/>
    <w:rsid w:val="00666FD1"/>
    <w:rsid w:val="006672EF"/>
    <w:rsid w:val="0066772F"/>
    <w:rsid w:val="0067144B"/>
    <w:rsid w:val="00672682"/>
    <w:rsid w:val="0067283E"/>
    <w:rsid w:val="006733BC"/>
    <w:rsid w:val="00674C14"/>
    <w:rsid w:val="00674FA7"/>
    <w:rsid w:val="0067673A"/>
    <w:rsid w:val="00677A59"/>
    <w:rsid w:val="00680512"/>
    <w:rsid w:val="00680A32"/>
    <w:rsid w:val="0068267E"/>
    <w:rsid w:val="00682734"/>
    <w:rsid w:val="00684C55"/>
    <w:rsid w:val="00684CF3"/>
    <w:rsid w:val="00684F47"/>
    <w:rsid w:val="0068547B"/>
    <w:rsid w:val="00685626"/>
    <w:rsid w:val="00685B44"/>
    <w:rsid w:val="006865A0"/>
    <w:rsid w:val="00686CD4"/>
    <w:rsid w:val="0069020B"/>
    <w:rsid w:val="00690CCD"/>
    <w:rsid w:val="00691EBC"/>
    <w:rsid w:val="00692039"/>
    <w:rsid w:val="006926C7"/>
    <w:rsid w:val="00692BD3"/>
    <w:rsid w:val="00693539"/>
    <w:rsid w:val="006949FF"/>
    <w:rsid w:val="00694D46"/>
    <w:rsid w:val="0069741C"/>
    <w:rsid w:val="006974E6"/>
    <w:rsid w:val="006975C5"/>
    <w:rsid w:val="006976E3"/>
    <w:rsid w:val="00697BE0"/>
    <w:rsid w:val="00697C16"/>
    <w:rsid w:val="00697EF4"/>
    <w:rsid w:val="00697EFD"/>
    <w:rsid w:val="006A093B"/>
    <w:rsid w:val="006A2539"/>
    <w:rsid w:val="006A2B7F"/>
    <w:rsid w:val="006A2C50"/>
    <w:rsid w:val="006A344B"/>
    <w:rsid w:val="006A3538"/>
    <w:rsid w:val="006A4F75"/>
    <w:rsid w:val="006A53DE"/>
    <w:rsid w:val="006A595E"/>
    <w:rsid w:val="006A7647"/>
    <w:rsid w:val="006A7E72"/>
    <w:rsid w:val="006B0F85"/>
    <w:rsid w:val="006B17AD"/>
    <w:rsid w:val="006B2100"/>
    <w:rsid w:val="006B29B7"/>
    <w:rsid w:val="006B4C93"/>
    <w:rsid w:val="006B532E"/>
    <w:rsid w:val="006B5B2F"/>
    <w:rsid w:val="006B5B8C"/>
    <w:rsid w:val="006B5E4E"/>
    <w:rsid w:val="006B6D78"/>
    <w:rsid w:val="006C07D7"/>
    <w:rsid w:val="006C2ED0"/>
    <w:rsid w:val="006C3BCD"/>
    <w:rsid w:val="006C3E28"/>
    <w:rsid w:val="006C4991"/>
    <w:rsid w:val="006C57EC"/>
    <w:rsid w:val="006C588C"/>
    <w:rsid w:val="006C6CC7"/>
    <w:rsid w:val="006D0096"/>
    <w:rsid w:val="006D0589"/>
    <w:rsid w:val="006D1B3B"/>
    <w:rsid w:val="006D3E2E"/>
    <w:rsid w:val="006D44A6"/>
    <w:rsid w:val="006D475D"/>
    <w:rsid w:val="006D5916"/>
    <w:rsid w:val="006D5BD7"/>
    <w:rsid w:val="006D5DD3"/>
    <w:rsid w:val="006D60B2"/>
    <w:rsid w:val="006D6555"/>
    <w:rsid w:val="006D6ECB"/>
    <w:rsid w:val="006E01D2"/>
    <w:rsid w:val="006E146B"/>
    <w:rsid w:val="006E1B84"/>
    <w:rsid w:val="006E30D7"/>
    <w:rsid w:val="006E3AD5"/>
    <w:rsid w:val="006E4DC8"/>
    <w:rsid w:val="006E55D3"/>
    <w:rsid w:val="006E60BB"/>
    <w:rsid w:val="006E7FDA"/>
    <w:rsid w:val="006F230B"/>
    <w:rsid w:val="006F3241"/>
    <w:rsid w:val="006F35B0"/>
    <w:rsid w:val="006F4711"/>
    <w:rsid w:val="006F4F73"/>
    <w:rsid w:val="006F5492"/>
    <w:rsid w:val="006F57F9"/>
    <w:rsid w:val="006F582D"/>
    <w:rsid w:val="006F6A35"/>
    <w:rsid w:val="006F6B38"/>
    <w:rsid w:val="006F7293"/>
    <w:rsid w:val="006F7CDC"/>
    <w:rsid w:val="00700166"/>
    <w:rsid w:val="0070302E"/>
    <w:rsid w:val="00704A36"/>
    <w:rsid w:val="007052CE"/>
    <w:rsid w:val="007061B2"/>
    <w:rsid w:val="00706951"/>
    <w:rsid w:val="00706D56"/>
    <w:rsid w:val="0070734F"/>
    <w:rsid w:val="00707C94"/>
    <w:rsid w:val="00710A6F"/>
    <w:rsid w:val="00711213"/>
    <w:rsid w:val="00711480"/>
    <w:rsid w:val="00711CE3"/>
    <w:rsid w:val="007120AA"/>
    <w:rsid w:val="007122FD"/>
    <w:rsid w:val="00712A9E"/>
    <w:rsid w:val="00713100"/>
    <w:rsid w:val="00713911"/>
    <w:rsid w:val="00714818"/>
    <w:rsid w:val="00717114"/>
    <w:rsid w:val="007171FC"/>
    <w:rsid w:val="0071732D"/>
    <w:rsid w:val="00717958"/>
    <w:rsid w:val="00721FD8"/>
    <w:rsid w:val="007234E7"/>
    <w:rsid w:val="007236FA"/>
    <w:rsid w:val="00724F5F"/>
    <w:rsid w:val="007265F2"/>
    <w:rsid w:val="007274F9"/>
    <w:rsid w:val="00727700"/>
    <w:rsid w:val="00731DB7"/>
    <w:rsid w:val="00733F33"/>
    <w:rsid w:val="007345AE"/>
    <w:rsid w:val="00734EDE"/>
    <w:rsid w:val="007350AB"/>
    <w:rsid w:val="00735409"/>
    <w:rsid w:val="00735637"/>
    <w:rsid w:val="00736B18"/>
    <w:rsid w:val="00737BC8"/>
    <w:rsid w:val="007404AA"/>
    <w:rsid w:val="007404B1"/>
    <w:rsid w:val="00741466"/>
    <w:rsid w:val="00741568"/>
    <w:rsid w:val="00741A9C"/>
    <w:rsid w:val="0074217C"/>
    <w:rsid w:val="00742C52"/>
    <w:rsid w:val="00743C1B"/>
    <w:rsid w:val="00743D9D"/>
    <w:rsid w:val="0074544C"/>
    <w:rsid w:val="007455A1"/>
    <w:rsid w:val="007456D9"/>
    <w:rsid w:val="007459F2"/>
    <w:rsid w:val="00747ABD"/>
    <w:rsid w:val="007505A5"/>
    <w:rsid w:val="00751FB8"/>
    <w:rsid w:val="0075228A"/>
    <w:rsid w:val="0075249C"/>
    <w:rsid w:val="007540A6"/>
    <w:rsid w:val="007546C2"/>
    <w:rsid w:val="00754ED0"/>
    <w:rsid w:val="0075555E"/>
    <w:rsid w:val="0075576F"/>
    <w:rsid w:val="00755EDF"/>
    <w:rsid w:val="007561C8"/>
    <w:rsid w:val="0075645C"/>
    <w:rsid w:val="00757B68"/>
    <w:rsid w:val="007617F6"/>
    <w:rsid w:val="00761F09"/>
    <w:rsid w:val="00761F2B"/>
    <w:rsid w:val="00762415"/>
    <w:rsid w:val="00763812"/>
    <w:rsid w:val="0076505A"/>
    <w:rsid w:val="007653C8"/>
    <w:rsid w:val="00767701"/>
    <w:rsid w:val="007678B8"/>
    <w:rsid w:val="00771690"/>
    <w:rsid w:val="00771E8F"/>
    <w:rsid w:val="00772248"/>
    <w:rsid w:val="00772D13"/>
    <w:rsid w:val="007738DC"/>
    <w:rsid w:val="00773D96"/>
    <w:rsid w:val="007754F4"/>
    <w:rsid w:val="007757AA"/>
    <w:rsid w:val="00776CB7"/>
    <w:rsid w:val="00776F34"/>
    <w:rsid w:val="00777415"/>
    <w:rsid w:val="00777EE5"/>
    <w:rsid w:val="00781932"/>
    <w:rsid w:val="00782289"/>
    <w:rsid w:val="0078560C"/>
    <w:rsid w:val="00785B7A"/>
    <w:rsid w:val="0078646D"/>
    <w:rsid w:val="00786E3E"/>
    <w:rsid w:val="007874D7"/>
    <w:rsid w:val="0078795D"/>
    <w:rsid w:val="00791061"/>
    <w:rsid w:val="00791168"/>
    <w:rsid w:val="00791833"/>
    <w:rsid w:val="00791903"/>
    <w:rsid w:val="00791C8B"/>
    <w:rsid w:val="007923CB"/>
    <w:rsid w:val="007926F3"/>
    <w:rsid w:val="00792CDB"/>
    <w:rsid w:val="007932BA"/>
    <w:rsid w:val="00794C29"/>
    <w:rsid w:val="00794E3B"/>
    <w:rsid w:val="00794FB8"/>
    <w:rsid w:val="00795772"/>
    <w:rsid w:val="0079579D"/>
    <w:rsid w:val="0079581B"/>
    <w:rsid w:val="00795BFE"/>
    <w:rsid w:val="007966A1"/>
    <w:rsid w:val="00796AA1"/>
    <w:rsid w:val="00796FD3"/>
    <w:rsid w:val="007978D5"/>
    <w:rsid w:val="007979D8"/>
    <w:rsid w:val="007A1104"/>
    <w:rsid w:val="007A16B1"/>
    <w:rsid w:val="007A18FE"/>
    <w:rsid w:val="007A1AA0"/>
    <w:rsid w:val="007A3C92"/>
    <w:rsid w:val="007A43B0"/>
    <w:rsid w:val="007A4CCB"/>
    <w:rsid w:val="007A510F"/>
    <w:rsid w:val="007A5904"/>
    <w:rsid w:val="007A6C6D"/>
    <w:rsid w:val="007A7CC6"/>
    <w:rsid w:val="007B0DF2"/>
    <w:rsid w:val="007B117B"/>
    <w:rsid w:val="007B1936"/>
    <w:rsid w:val="007B3E27"/>
    <w:rsid w:val="007B44E0"/>
    <w:rsid w:val="007B47E4"/>
    <w:rsid w:val="007B4926"/>
    <w:rsid w:val="007B523B"/>
    <w:rsid w:val="007B5D22"/>
    <w:rsid w:val="007B5F12"/>
    <w:rsid w:val="007B6868"/>
    <w:rsid w:val="007C004B"/>
    <w:rsid w:val="007C08A5"/>
    <w:rsid w:val="007C1054"/>
    <w:rsid w:val="007C125B"/>
    <w:rsid w:val="007C1549"/>
    <w:rsid w:val="007C1AEF"/>
    <w:rsid w:val="007C2D97"/>
    <w:rsid w:val="007C35DC"/>
    <w:rsid w:val="007C3E55"/>
    <w:rsid w:val="007C4177"/>
    <w:rsid w:val="007C5715"/>
    <w:rsid w:val="007C653E"/>
    <w:rsid w:val="007C683C"/>
    <w:rsid w:val="007C69BB"/>
    <w:rsid w:val="007C7191"/>
    <w:rsid w:val="007C7410"/>
    <w:rsid w:val="007C7547"/>
    <w:rsid w:val="007D1365"/>
    <w:rsid w:val="007D2014"/>
    <w:rsid w:val="007D2F61"/>
    <w:rsid w:val="007D34F3"/>
    <w:rsid w:val="007D3AFF"/>
    <w:rsid w:val="007D4E9A"/>
    <w:rsid w:val="007D604D"/>
    <w:rsid w:val="007D6A2E"/>
    <w:rsid w:val="007D794A"/>
    <w:rsid w:val="007D7EC8"/>
    <w:rsid w:val="007E0088"/>
    <w:rsid w:val="007E0246"/>
    <w:rsid w:val="007E0840"/>
    <w:rsid w:val="007E1971"/>
    <w:rsid w:val="007E1A73"/>
    <w:rsid w:val="007E543B"/>
    <w:rsid w:val="007E6444"/>
    <w:rsid w:val="007E6C5C"/>
    <w:rsid w:val="007E6F3F"/>
    <w:rsid w:val="007E716E"/>
    <w:rsid w:val="007F0438"/>
    <w:rsid w:val="007F248C"/>
    <w:rsid w:val="007F2D5E"/>
    <w:rsid w:val="007F2FB9"/>
    <w:rsid w:val="007F4756"/>
    <w:rsid w:val="007F4FBA"/>
    <w:rsid w:val="007F5A61"/>
    <w:rsid w:val="007F5ED9"/>
    <w:rsid w:val="007F661F"/>
    <w:rsid w:val="008003F2"/>
    <w:rsid w:val="00800CE8"/>
    <w:rsid w:val="00800EE0"/>
    <w:rsid w:val="00801D08"/>
    <w:rsid w:val="00803151"/>
    <w:rsid w:val="00803FF0"/>
    <w:rsid w:val="0080504D"/>
    <w:rsid w:val="00806B76"/>
    <w:rsid w:val="00806E3B"/>
    <w:rsid w:val="00807119"/>
    <w:rsid w:val="00807B3A"/>
    <w:rsid w:val="00810F7C"/>
    <w:rsid w:val="008112AF"/>
    <w:rsid w:val="0081723E"/>
    <w:rsid w:val="00821E34"/>
    <w:rsid w:val="00822795"/>
    <w:rsid w:val="008229F8"/>
    <w:rsid w:val="00826313"/>
    <w:rsid w:val="00826AE6"/>
    <w:rsid w:val="0082794F"/>
    <w:rsid w:val="00827F71"/>
    <w:rsid w:val="00827FEE"/>
    <w:rsid w:val="0083056F"/>
    <w:rsid w:val="00830C42"/>
    <w:rsid w:val="00830EA9"/>
    <w:rsid w:val="00832BE7"/>
    <w:rsid w:val="00832FF4"/>
    <w:rsid w:val="00833303"/>
    <w:rsid w:val="00833FCB"/>
    <w:rsid w:val="00834449"/>
    <w:rsid w:val="008345F0"/>
    <w:rsid w:val="008349B5"/>
    <w:rsid w:val="00835581"/>
    <w:rsid w:val="00835D50"/>
    <w:rsid w:val="00835F33"/>
    <w:rsid w:val="00836714"/>
    <w:rsid w:val="00836A7A"/>
    <w:rsid w:val="0083714C"/>
    <w:rsid w:val="008407A6"/>
    <w:rsid w:val="00840954"/>
    <w:rsid w:val="00840F87"/>
    <w:rsid w:val="008422A3"/>
    <w:rsid w:val="00842AA0"/>
    <w:rsid w:val="00843447"/>
    <w:rsid w:val="00844294"/>
    <w:rsid w:val="00844DD6"/>
    <w:rsid w:val="00851379"/>
    <w:rsid w:val="00851A4F"/>
    <w:rsid w:val="00852BF6"/>
    <w:rsid w:val="0085319D"/>
    <w:rsid w:val="00853312"/>
    <w:rsid w:val="008533F8"/>
    <w:rsid w:val="00853A7C"/>
    <w:rsid w:val="00855412"/>
    <w:rsid w:val="008566BE"/>
    <w:rsid w:val="008569BE"/>
    <w:rsid w:val="00856F0C"/>
    <w:rsid w:val="008602BF"/>
    <w:rsid w:val="00861D18"/>
    <w:rsid w:val="00861ED2"/>
    <w:rsid w:val="008621ED"/>
    <w:rsid w:val="00862218"/>
    <w:rsid w:val="00862D29"/>
    <w:rsid w:val="008631A1"/>
    <w:rsid w:val="00863516"/>
    <w:rsid w:val="00863CE6"/>
    <w:rsid w:val="008643C8"/>
    <w:rsid w:val="0086467B"/>
    <w:rsid w:val="008653CB"/>
    <w:rsid w:val="00865DF6"/>
    <w:rsid w:val="00866215"/>
    <w:rsid w:val="00866373"/>
    <w:rsid w:val="008665D6"/>
    <w:rsid w:val="008677B2"/>
    <w:rsid w:val="008707FC"/>
    <w:rsid w:val="0087105C"/>
    <w:rsid w:val="008725FE"/>
    <w:rsid w:val="008729A8"/>
    <w:rsid w:val="00873D1A"/>
    <w:rsid w:val="008763FE"/>
    <w:rsid w:val="00881FF9"/>
    <w:rsid w:val="008834A9"/>
    <w:rsid w:val="008839C2"/>
    <w:rsid w:val="008841FB"/>
    <w:rsid w:val="00884219"/>
    <w:rsid w:val="00886258"/>
    <w:rsid w:val="00890D13"/>
    <w:rsid w:val="008914F0"/>
    <w:rsid w:val="00891850"/>
    <w:rsid w:val="008925E3"/>
    <w:rsid w:val="00893B27"/>
    <w:rsid w:val="00893B58"/>
    <w:rsid w:val="00894E36"/>
    <w:rsid w:val="008957DB"/>
    <w:rsid w:val="00895EAE"/>
    <w:rsid w:val="008962B4"/>
    <w:rsid w:val="008A04EC"/>
    <w:rsid w:val="008A12BA"/>
    <w:rsid w:val="008A12CB"/>
    <w:rsid w:val="008A16B0"/>
    <w:rsid w:val="008A2EE8"/>
    <w:rsid w:val="008A3F2D"/>
    <w:rsid w:val="008A4618"/>
    <w:rsid w:val="008A4881"/>
    <w:rsid w:val="008A7ED4"/>
    <w:rsid w:val="008A7EDC"/>
    <w:rsid w:val="008B0AE9"/>
    <w:rsid w:val="008B18D0"/>
    <w:rsid w:val="008B200B"/>
    <w:rsid w:val="008B284C"/>
    <w:rsid w:val="008B2ED7"/>
    <w:rsid w:val="008B3128"/>
    <w:rsid w:val="008B3766"/>
    <w:rsid w:val="008B3C2C"/>
    <w:rsid w:val="008B446B"/>
    <w:rsid w:val="008B7619"/>
    <w:rsid w:val="008B79BF"/>
    <w:rsid w:val="008C0C05"/>
    <w:rsid w:val="008C15C3"/>
    <w:rsid w:val="008C1A09"/>
    <w:rsid w:val="008C2894"/>
    <w:rsid w:val="008C3942"/>
    <w:rsid w:val="008C4335"/>
    <w:rsid w:val="008C43C1"/>
    <w:rsid w:val="008C4787"/>
    <w:rsid w:val="008C57B9"/>
    <w:rsid w:val="008C68E6"/>
    <w:rsid w:val="008C7367"/>
    <w:rsid w:val="008C757E"/>
    <w:rsid w:val="008D00A0"/>
    <w:rsid w:val="008D1244"/>
    <w:rsid w:val="008D1947"/>
    <w:rsid w:val="008D25C5"/>
    <w:rsid w:val="008D2E76"/>
    <w:rsid w:val="008D39DE"/>
    <w:rsid w:val="008D3B56"/>
    <w:rsid w:val="008D58C9"/>
    <w:rsid w:val="008D615A"/>
    <w:rsid w:val="008D6C0F"/>
    <w:rsid w:val="008D6EB9"/>
    <w:rsid w:val="008D724C"/>
    <w:rsid w:val="008D7383"/>
    <w:rsid w:val="008D7F64"/>
    <w:rsid w:val="008E137D"/>
    <w:rsid w:val="008E2ECC"/>
    <w:rsid w:val="008E501E"/>
    <w:rsid w:val="008E6BB5"/>
    <w:rsid w:val="008E6E79"/>
    <w:rsid w:val="008F0B4E"/>
    <w:rsid w:val="008F0E0F"/>
    <w:rsid w:val="008F1B68"/>
    <w:rsid w:val="008F1BB8"/>
    <w:rsid w:val="008F24CD"/>
    <w:rsid w:val="008F34BE"/>
    <w:rsid w:val="008F3D85"/>
    <w:rsid w:val="008F46BE"/>
    <w:rsid w:val="008F5225"/>
    <w:rsid w:val="008F6CA0"/>
    <w:rsid w:val="008F7E05"/>
    <w:rsid w:val="0090267E"/>
    <w:rsid w:val="00903177"/>
    <w:rsid w:val="0090591D"/>
    <w:rsid w:val="00906BE8"/>
    <w:rsid w:val="009075FA"/>
    <w:rsid w:val="00907695"/>
    <w:rsid w:val="00907A32"/>
    <w:rsid w:val="00910353"/>
    <w:rsid w:val="009106CF"/>
    <w:rsid w:val="00910AE8"/>
    <w:rsid w:val="00910BE1"/>
    <w:rsid w:val="00912273"/>
    <w:rsid w:val="00912AF0"/>
    <w:rsid w:val="00914573"/>
    <w:rsid w:val="00914BC2"/>
    <w:rsid w:val="00915D6D"/>
    <w:rsid w:val="00915F81"/>
    <w:rsid w:val="009170DC"/>
    <w:rsid w:val="00917644"/>
    <w:rsid w:val="009200ED"/>
    <w:rsid w:val="009201B8"/>
    <w:rsid w:val="00920D56"/>
    <w:rsid w:val="009211A7"/>
    <w:rsid w:val="009211D2"/>
    <w:rsid w:val="00921BD4"/>
    <w:rsid w:val="00922021"/>
    <w:rsid w:val="00922024"/>
    <w:rsid w:val="00922906"/>
    <w:rsid w:val="0092336C"/>
    <w:rsid w:val="00923EFB"/>
    <w:rsid w:val="00924704"/>
    <w:rsid w:val="00925A04"/>
    <w:rsid w:val="00926453"/>
    <w:rsid w:val="00926605"/>
    <w:rsid w:val="00927A46"/>
    <w:rsid w:val="00927D5C"/>
    <w:rsid w:val="00927F53"/>
    <w:rsid w:val="00930232"/>
    <w:rsid w:val="00930EB2"/>
    <w:rsid w:val="00932976"/>
    <w:rsid w:val="00933370"/>
    <w:rsid w:val="00935D01"/>
    <w:rsid w:val="00937190"/>
    <w:rsid w:val="00937A2B"/>
    <w:rsid w:val="00937DFF"/>
    <w:rsid w:val="00937EC0"/>
    <w:rsid w:val="00942F67"/>
    <w:rsid w:val="00945A36"/>
    <w:rsid w:val="00946871"/>
    <w:rsid w:val="009471E5"/>
    <w:rsid w:val="009500F3"/>
    <w:rsid w:val="009506AD"/>
    <w:rsid w:val="00951E51"/>
    <w:rsid w:val="009522EE"/>
    <w:rsid w:val="009527E4"/>
    <w:rsid w:val="00953E85"/>
    <w:rsid w:val="009540EF"/>
    <w:rsid w:val="00954700"/>
    <w:rsid w:val="00954BB3"/>
    <w:rsid w:val="00956028"/>
    <w:rsid w:val="00957341"/>
    <w:rsid w:val="009578AB"/>
    <w:rsid w:val="00960E11"/>
    <w:rsid w:val="00960E97"/>
    <w:rsid w:val="00960F52"/>
    <w:rsid w:val="00961E19"/>
    <w:rsid w:val="00964057"/>
    <w:rsid w:val="0096428C"/>
    <w:rsid w:val="00965264"/>
    <w:rsid w:val="00965470"/>
    <w:rsid w:val="00965A2F"/>
    <w:rsid w:val="00965C64"/>
    <w:rsid w:val="00966AB6"/>
    <w:rsid w:val="00967DA9"/>
    <w:rsid w:val="00970043"/>
    <w:rsid w:val="00970876"/>
    <w:rsid w:val="009712AF"/>
    <w:rsid w:val="00971928"/>
    <w:rsid w:val="00972419"/>
    <w:rsid w:val="0097375A"/>
    <w:rsid w:val="00974052"/>
    <w:rsid w:val="009742CC"/>
    <w:rsid w:val="00974477"/>
    <w:rsid w:val="00974BF4"/>
    <w:rsid w:val="009750E6"/>
    <w:rsid w:val="009758B7"/>
    <w:rsid w:val="00976031"/>
    <w:rsid w:val="00976146"/>
    <w:rsid w:val="00976B96"/>
    <w:rsid w:val="00976D82"/>
    <w:rsid w:val="00977814"/>
    <w:rsid w:val="0098037A"/>
    <w:rsid w:val="00980884"/>
    <w:rsid w:val="00980E11"/>
    <w:rsid w:val="009832CF"/>
    <w:rsid w:val="00983E90"/>
    <w:rsid w:val="0098526D"/>
    <w:rsid w:val="0098584F"/>
    <w:rsid w:val="009860BD"/>
    <w:rsid w:val="00986150"/>
    <w:rsid w:val="0098641D"/>
    <w:rsid w:val="00986460"/>
    <w:rsid w:val="0098669E"/>
    <w:rsid w:val="00986A7C"/>
    <w:rsid w:val="0098761C"/>
    <w:rsid w:val="009904AC"/>
    <w:rsid w:val="00992E83"/>
    <w:rsid w:val="009948CA"/>
    <w:rsid w:val="00994C7F"/>
    <w:rsid w:val="00994D66"/>
    <w:rsid w:val="0099501B"/>
    <w:rsid w:val="00995ACD"/>
    <w:rsid w:val="009A0B89"/>
    <w:rsid w:val="009A0B8C"/>
    <w:rsid w:val="009A0FD9"/>
    <w:rsid w:val="009A12A9"/>
    <w:rsid w:val="009A1FE9"/>
    <w:rsid w:val="009A25FB"/>
    <w:rsid w:val="009A3329"/>
    <w:rsid w:val="009A3C07"/>
    <w:rsid w:val="009A5E1B"/>
    <w:rsid w:val="009A6E1D"/>
    <w:rsid w:val="009B1FC1"/>
    <w:rsid w:val="009B24DB"/>
    <w:rsid w:val="009B2EAD"/>
    <w:rsid w:val="009B34ED"/>
    <w:rsid w:val="009B4879"/>
    <w:rsid w:val="009B4F8C"/>
    <w:rsid w:val="009B517E"/>
    <w:rsid w:val="009B5209"/>
    <w:rsid w:val="009B62B2"/>
    <w:rsid w:val="009B6AD3"/>
    <w:rsid w:val="009B6C35"/>
    <w:rsid w:val="009B7055"/>
    <w:rsid w:val="009C1499"/>
    <w:rsid w:val="009C1D79"/>
    <w:rsid w:val="009C1F4E"/>
    <w:rsid w:val="009C3C3B"/>
    <w:rsid w:val="009C424D"/>
    <w:rsid w:val="009C74DA"/>
    <w:rsid w:val="009C7581"/>
    <w:rsid w:val="009C7647"/>
    <w:rsid w:val="009C784D"/>
    <w:rsid w:val="009D009E"/>
    <w:rsid w:val="009D0201"/>
    <w:rsid w:val="009D0C52"/>
    <w:rsid w:val="009D0C75"/>
    <w:rsid w:val="009D0E76"/>
    <w:rsid w:val="009D1176"/>
    <w:rsid w:val="009D321C"/>
    <w:rsid w:val="009D3500"/>
    <w:rsid w:val="009D377D"/>
    <w:rsid w:val="009D50CD"/>
    <w:rsid w:val="009D54A3"/>
    <w:rsid w:val="009D59D3"/>
    <w:rsid w:val="009D6341"/>
    <w:rsid w:val="009D6579"/>
    <w:rsid w:val="009D69CA"/>
    <w:rsid w:val="009D7279"/>
    <w:rsid w:val="009D7CBC"/>
    <w:rsid w:val="009D7E5E"/>
    <w:rsid w:val="009E05ED"/>
    <w:rsid w:val="009E08B6"/>
    <w:rsid w:val="009E0AB1"/>
    <w:rsid w:val="009E1198"/>
    <w:rsid w:val="009E1E82"/>
    <w:rsid w:val="009E3BC9"/>
    <w:rsid w:val="009E5194"/>
    <w:rsid w:val="009E54A8"/>
    <w:rsid w:val="009E5575"/>
    <w:rsid w:val="009E59F8"/>
    <w:rsid w:val="009E687F"/>
    <w:rsid w:val="009E6F90"/>
    <w:rsid w:val="009E7BCB"/>
    <w:rsid w:val="009F0B44"/>
    <w:rsid w:val="009F0F13"/>
    <w:rsid w:val="009F3734"/>
    <w:rsid w:val="009F3EA5"/>
    <w:rsid w:val="009F6231"/>
    <w:rsid w:val="00A006B6"/>
    <w:rsid w:val="00A01889"/>
    <w:rsid w:val="00A03511"/>
    <w:rsid w:val="00A0413B"/>
    <w:rsid w:val="00A05772"/>
    <w:rsid w:val="00A05D6F"/>
    <w:rsid w:val="00A05EFF"/>
    <w:rsid w:val="00A066C9"/>
    <w:rsid w:val="00A06887"/>
    <w:rsid w:val="00A068E8"/>
    <w:rsid w:val="00A07033"/>
    <w:rsid w:val="00A10D0B"/>
    <w:rsid w:val="00A11CC2"/>
    <w:rsid w:val="00A12E8B"/>
    <w:rsid w:val="00A1331B"/>
    <w:rsid w:val="00A13E50"/>
    <w:rsid w:val="00A14E35"/>
    <w:rsid w:val="00A15C81"/>
    <w:rsid w:val="00A17BC8"/>
    <w:rsid w:val="00A202F9"/>
    <w:rsid w:val="00A21D76"/>
    <w:rsid w:val="00A226D1"/>
    <w:rsid w:val="00A22799"/>
    <w:rsid w:val="00A2292C"/>
    <w:rsid w:val="00A23804"/>
    <w:rsid w:val="00A23921"/>
    <w:rsid w:val="00A24036"/>
    <w:rsid w:val="00A25130"/>
    <w:rsid w:val="00A2660D"/>
    <w:rsid w:val="00A26C1B"/>
    <w:rsid w:val="00A27200"/>
    <w:rsid w:val="00A303E6"/>
    <w:rsid w:val="00A30438"/>
    <w:rsid w:val="00A311D5"/>
    <w:rsid w:val="00A315D6"/>
    <w:rsid w:val="00A32837"/>
    <w:rsid w:val="00A32A77"/>
    <w:rsid w:val="00A3317D"/>
    <w:rsid w:val="00A34067"/>
    <w:rsid w:val="00A348F2"/>
    <w:rsid w:val="00A34938"/>
    <w:rsid w:val="00A35A41"/>
    <w:rsid w:val="00A37624"/>
    <w:rsid w:val="00A4099C"/>
    <w:rsid w:val="00A410DD"/>
    <w:rsid w:val="00A416ED"/>
    <w:rsid w:val="00A42ECA"/>
    <w:rsid w:val="00A43CD0"/>
    <w:rsid w:val="00A43E7A"/>
    <w:rsid w:val="00A45DD6"/>
    <w:rsid w:val="00A4715D"/>
    <w:rsid w:val="00A4798A"/>
    <w:rsid w:val="00A50E9B"/>
    <w:rsid w:val="00A51C5D"/>
    <w:rsid w:val="00A526A4"/>
    <w:rsid w:val="00A5310C"/>
    <w:rsid w:val="00A53651"/>
    <w:rsid w:val="00A54810"/>
    <w:rsid w:val="00A54C2C"/>
    <w:rsid w:val="00A55712"/>
    <w:rsid w:val="00A57DCE"/>
    <w:rsid w:val="00A57F94"/>
    <w:rsid w:val="00A6010A"/>
    <w:rsid w:val="00A63472"/>
    <w:rsid w:val="00A646CB"/>
    <w:rsid w:val="00A652B7"/>
    <w:rsid w:val="00A65423"/>
    <w:rsid w:val="00A65DBF"/>
    <w:rsid w:val="00A66430"/>
    <w:rsid w:val="00A67599"/>
    <w:rsid w:val="00A7039F"/>
    <w:rsid w:val="00A70496"/>
    <w:rsid w:val="00A7217F"/>
    <w:rsid w:val="00A72CB0"/>
    <w:rsid w:val="00A73F41"/>
    <w:rsid w:val="00A74384"/>
    <w:rsid w:val="00A7455A"/>
    <w:rsid w:val="00A75680"/>
    <w:rsid w:val="00A76F17"/>
    <w:rsid w:val="00A773E7"/>
    <w:rsid w:val="00A77CB2"/>
    <w:rsid w:val="00A827D4"/>
    <w:rsid w:val="00A8289E"/>
    <w:rsid w:val="00A82A9F"/>
    <w:rsid w:val="00A83258"/>
    <w:rsid w:val="00A84657"/>
    <w:rsid w:val="00A8478B"/>
    <w:rsid w:val="00A86084"/>
    <w:rsid w:val="00A863B9"/>
    <w:rsid w:val="00A8675D"/>
    <w:rsid w:val="00A86AF0"/>
    <w:rsid w:val="00A87FC3"/>
    <w:rsid w:val="00A903A0"/>
    <w:rsid w:val="00A92E77"/>
    <w:rsid w:val="00A93087"/>
    <w:rsid w:val="00A937D2"/>
    <w:rsid w:val="00A94FE1"/>
    <w:rsid w:val="00A965C6"/>
    <w:rsid w:val="00A977FC"/>
    <w:rsid w:val="00AA0254"/>
    <w:rsid w:val="00AA07A1"/>
    <w:rsid w:val="00AA163F"/>
    <w:rsid w:val="00AA1B87"/>
    <w:rsid w:val="00AA3DB8"/>
    <w:rsid w:val="00AA43DB"/>
    <w:rsid w:val="00AB24C4"/>
    <w:rsid w:val="00AB2B61"/>
    <w:rsid w:val="00AB3315"/>
    <w:rsid w:val="00AB44A4"/>
    <w:rsid w:val="00AB4DC2"/>
    <w:rsid w:val="00AB4E53"/>
    <w:rsid w:val="00AB6034"/>
    <w:rsid w:val="00AB63FE"/>
    <w:rsid w:val="00AB660D"/>
    <w:rsid w:val="00AB669A"/>
    <w:rsid w:val="00AB66D5"/>
    <w:rsid w:val="00AB7381"/>
    <w:rsid w:val="00AC056E"/>
    <w:rsid w:val="00AC217B"/>
    <w:rsid w:val="00AC23D4"/>
    <w:rsid w:val="00AC35E6"/>
    <w:rsid w:val="00AC415D"/>
    <w:rsid w:val="00AC6801"/>
    <w:rsid w:val="00AD02A0"/>
    <w:rsid w:val="00AD09AD"/>
    <w:rsid w:val="00AD0CB3"/>
    <w:rsid w:val="00AD1014"/>
    <w:rsid w:val="00AD22AC"/>
    <w:rsid w:val="00AD26CF"/>
    <w:rsid w:val="00AD350F"/>
    <w:rsid w:val="00AD4392"/>
    <w:rsid w:val="00AD4474"/>
    <w:rsid w:val="00AD6049"/>
    <w:rsid w:val="00AD72E4"/>
    <w:rsid w:val="00AE06D5"/>
    <w:rsid w:val="00AE089B"/>
    <w:rsid w:val="00AE0E59"/>
    <w:rsid w:val="00AE19FB"/>
    <w:rsid w:val="00AE1DB5"/>
    <w:rsid w:val="00AE268E"/>
    <w:rsid w:val="00AE39FA"/>
    <w:rsid w:val="00AE3D53"/>
    <w:rsid w:val="00AE5B01"/>
    <w:rsid w:val="00AE5D61"/>
    <w:rsid w:val="00AE5EA0"/>
    <w:rsid w:val="00AE6770"/>
    <w:rsid w:val="00AF0C5C"/>
    <w:rsid w:val="00AF109F"/>
    <w:rsid w:val="00AF27CD"/>
    <w:rsid w:val="00AF406A"/>
    <w:rsid w:val="00AF4179"/>
    <w:rsid w:val="00AF4FBB"/>
    <w:rsid w:val="00AF50AF"/>
    <w:rsid w:val="00AF5A10"/>
    <w:rsid w:val="00AF5B08"/>
    <w:rsid w:val="00AF6FBF"/>
    <w:rsid w:val="00AF7D1A"/>
    <w:rsid w:val="00B002AD"/>
    <w:rsid w:val="00B00BB1"/>
    <w:rsid w:val="00B01558"/>
    <w:rsid w:val="00B01AC4"/>
    <w:rsid w:val="00B01E53"/>
    <w:rsid w:val="00B021F4"/>
    <w:rsid w:val="00B02330"/>
    <w:rsid w:val="00B04106"/>
    <w:rsid w:val="00B04C79"/>
    <w:rsid w:val="00B059D0"/>
    <w:rsid w:val="00B05BD4"/>
    <w:rsid w:val="00B078BD"/>
    <w:rsid w:val="00B1083E"/>
    <w:rsid w:val="00B11A2B"/>
    <w:rsid w:val="00B13076"/>
    <w:rsid w:val="00B13DF7"/>
    <w:rsid w:val="00B140BD"/>
    <w:rsid w:val="00B14501"/>
    <w:rsid w:val="00B14838"/>
    <w:rsid w:val="00B16275"/>
    <w:rsid w:val="00B1773B"/>
    <w:rsid w:val="00B2004E"/>
    <w:rsid w:val="00B20767"/>
    <w:rsid w:val="00B2188E"/>
    <w:rsid w:val="00B21C03"/>
    <w:rsid w:val="00B22237"/>
    <w:rsid w:val="00B23285"/>
    <w:rsid w:val="00B233A9"/>
    <w:rsid w:val="00B2355F"/>
    <w:rsid w:val="00B2780D"/>
    <w:rsid w:val="00B27FCA"/>
    <w:rsid w:val="00B314BD"/>
    <w:rsid w:val="00B33281"/>
    <w:rsid w:val="00B33D19"/>
    <w:rsid w:val="00B343D7"/>
    <w:rsid w:val="00B34FA6"/>
    <w:rsid w:val="00B351DF"/>
    <w:rsid w:val="00B36FE2"/>
    <w:rsid w:val="00B373A9"/>
    <w:rsid w:val="00B40131"/>
    <w:rsid w:val="00B408D8"/>
    <w:rsid w:val="00B416DE"/>
    <w:rsid w:val="00B4326B"/>
    <w:rsid w:val="00B43F94"/>
    <w:rsid w:val="00B43FFB"/>
    <w:rsid w:val="00B44189"/>
    <w:rsid w:val="00B44265"/>
    <w:rsid w:val="00B4643A"/>
    <w:rsid w:val="00B47116"/>
    <w:rsid w:val="00B473BA"/>
    <w:rsid w:val="00B47B46"/>
    <w:rsid w:val="00B50546"/>
    <w:rsid w:val="00B5094C"/>
    <w:rsid w:val="00B5102C"/>
    <w:rsid w:val="00B5386F"/>
    <w:rsid w:val="00B54B14"/>
    <w:rsid w:val="00B60C96"/>
    <w:rsid w:val="00B61964"/>
    <w:rsid w:val="00B62B96"/>
    <w:rsid w:val="00B637E6"/>
    <w:rsid w:val="00B6434E"/>
    <w:rsid w:val="00B643D6"/>
    <w:rsid w:val="00B6472C"/>
    <w:rsid w:val="00B64AB0"/>
    <w:rsid w:val="00B6607F"/>
    <w:rsid w:val="00B6767D"/>
    <w:rsid w:val="00B67E69"/>
    <w:rsid w:val="00B700CB"/>
    <w:rsid w:val="00B700E4"/>
    <w:rsid w:val="00B70598"/>
    <w:rsid w:val="00B72110"/>
    <w:rsid w:val="00B7275F"/>
    <w:rsid w:val="00B73979"/>
    <w:rsid w:val="00B745D7"/>
    <w:rsid w:val="00B7572D"/>
    <w:rsid w:val="00B757DC"/>
    <w:rsid w:val="00B75B07"/>
    <w:rsid w:val="00B75BFC"/>
    <w:rsid w:val="00B76F5A"/>
    <w:rsid w:val="00B80165"/>
    <w:rsid w:val="00B80437"/>
    <w:rsid w:val="00B8149E"/>
    <w:rsid w:val="00B8211B"/>
    <w:rsid w:val="00B830D7"/>
    <w:rsid w:val="00B8365F"/>
    <w:rsid w:val="00B83E9D"/>
    <w:rsid w:val="00B8429B"/>
    <w:rsid w:val="00B843CB"/>
    <w:rsid w:val="00B8459A"/>
    <w:rsid w:val="00B84D15"/>
    <w:rsid w:val="00B84E13"/>
    <w:rsid w:val="00B8528D"/>
    <w:rsid w:val="00B8645E"/>
    <w:rsid w:val="00B86A08"/>
    <w:rsid w:val="00B87820"/>
    <w:rsid w:val="00B92992"/>
    <w:rsid w:val="00B92AED"/>
    <w:rsid w:val="00B92D1E"/>
    <w:rsid w:val="00B92D2A"/>
    <w:rsid w:val="00B92E77"/>
    <w:rsid w:val="00B940C7"/>
    <w:rsid w:val="00B9460E"/>
    <w:rsid w:val="00B95152"/>
    <w:rsid w:val="00B95219"/>
    <w:rsid w:val="00B953C1"/>
    <w:rsid w:val="00B959C9"/>
    <w:rsid w:val="00B96BD7"/>
    <w:rsid w:val="00B975C1"/>
    <w:rsid w:val="00B977CE"/>
    <w:rsid w:val="00BA06C6"/>
    <w:rsid w:val="00BA2981"/>
    <w:rsid w:val="00BA3DAB"/>
    <w:rsid w:val="00BA5C99"/>
    <w:rsid w:val="00BA5ED0"/>
    <w:rsid w:val="00BA69FA"/>
    <w:rsid w:val="00BA7309"/>
    <w:rsid w:val="00BA76EC"/>
    <w:rsid w:val="00BB185A"/>
    <w:rsid w:val="00BB1CB4"/>
    <w:rsid w:val="00BB1EB3"/>
    <w:rsid w:val="00BB2F08"/>
    <w:rsid w:val="00BB6070"/>
    <w:rsid w:val="00BB62EF"/>
    <w:rsid w:val="00BC03F5"/>
    <w:rsid w:val="00BC3061"/>
    <w:rsid w:val="00BC3275"/>
    <w:rsid w:val="00BC3DB4"/>
    <w:rsid w:val="00BC4578"/>
    <w:rsid w:val="00BC6535"/>
    <w:rsid w:val="00BC735F"/>
    <w:rsid w:val="00BC7AE1"/>
    <w:rsid w:val="00BC7C9B"/>
    <w:rsid w:val="00BD0C34"/>
    <w:rsid w:val="00BD2E60"/>
    <w:rsid w:val="00BD3233"/>
    <w:rsid w:val="00BD5192"/>
    <w:rsid w:val="00BD5900"/>
    <w:rsid w:val="00BD5FC3"/>
    <w:rsid w:val="00BD7B17"/>
    <w:rsid w:val="00BD7CF4"/>
    <w:rsid w:val="00BE033F"/>
    <w:rsid w:val="00BE035C"/>
    <w:rsid w:val="00BE0B00"/>
    <w:rsid w:val="00BE0C56"/>
    <w:rsid w:val="00BE121B"/>
    <w:rsid w:val="00BE15EA"/>
    <w:rsid w:val="00BE3440"/>
    <w:rsid w:val="00BE439F"/>
    <w:rsid w:val="00BE456A"/>
    <w:rsid w:val="00BE45CF"/>
    <w:rsid w:val="00BE5A45"/>
    <w:rsid w:val="00BE6394"/>
    <w:rsid w:val="00BE6879"/>
    <w:rsid w:val="00BE73E3"/>
    <w:rsid w:val="00BE77A5"/>
    <w:rsid w:val="00BF041C"/>
    <w:rsid w:val="00BF0E27"/>
    <w:rsid w:val="00BF1613"/>
    <w:rsid w:val="00BF2224"/>
    <w:rsid w:val="00BF43DA"/>
    <w:rsid w:val="00BF6137"/>
    <w:rsid w:val="00BF627E"/>
    <w:rsid w:val="00BF63C6"/>
    <w:rsid w:val="00BF676D"/>
    <w:rsid w:val="00BF7696"/>
    <w:rsid w:val="00BF7CCA"/>
    <w:rsid w:val="00C002DF"/>
    <w:rsid w:val="00C0106D"/>
    <w:rsid w:val="00C012BA"/>
    <w:rsid w:val="00C01B06"/>
    <w:rsid w:val="00C023A1"/>
    <w:rsid w:val="00C02EA7"/>
    <w:rsid w:val="00C03105"/>
    <w:rsid w:val="00C03D0D"/>
    <w:rsid w:val="00C045EC"/>
    <w:rsid w:val="00C04FF8"/>
    <w:rsid w:val="00C06D80"/>
    <w:rsid w:val="00C074B6"/>
    <w:rsid w:val="00C07B9D"/>
    <w:rsid w:val="00C07BF0"/>
    <w:rsid w:val="00C103CD"/>
    <w:rsid w:val="00C10FCD"/>
    <w:rsid w:val="00C113A9"/>
    <w:rsid w:val="00C1141C"/>
    <w:rsid w:val="00C11457"/>
    <w:rsid w:val="00C13511"/>
    <w:rsid w:val="00C136A8"/>
    <w:rsid w:val="00C139A6"/>
    <w:rsid w:val="00C147C9"/>
    <w:rsid w:val="00C15FA6"/>
    <w:rsid w:val="00C160BF"/>
    <w:rsid w:val="00C16113"/>
    <w:rsid w:val="00C164EF"/>
    <w:rsid w:val="00C1775A"/>
    <w:rsid w:val="00C20611"/>
    <w:rsid w:val="00C20857"/>
    <w:rsid w:val="00C21114"/>
    <w:rsid w:val="00C22241"/>
    <w:rsid w:val="00C23BDB"/>
    <w:rsid w:val="00C24553"/>
    <w:rsid w:val="00C24838"/>
    <w:rsid w:val="00C25A00"/>
    <w:rsid w:val="00C25FF5"/>
    <w:rsid w:val="00C27CD2"/>
    <w:rsid w:val="00C302CC"/>
    <w:rsid w:val="00C3046D"/>
    <w:rsid w:val="00C30D66"/>
    <w:rsid w:val="00C3141E"/>
    <w:rsid w:val="00C3159F"/>
    <w:rsid w:val="00C31809"/>
    <w:rsid w:val="00C31862"/>
    <w:rsid w:val="00C328A0"/>
    <w:rsid w:val="00C32947"/>
    <w:rsid w:val="00C32E07"/>
    <w:rsid w:val="00C33951"/>
    <w:rsid w:val="00C357FD"/>
    <w:rsid w:val="00C3600E"/>
    <w:rsid w:val="00C3733A"/>
    <w:rsid w:val="00C40F4F"/>
    <w:rsid w:val="00C41F0B"/>
    <w:rsid w:val="00C423E0"/>
    <w:rsid w:val="00C42505"/>
    <w:rsid w:val="00C42F3A"/>
    <w:rsid w:val="00C43257"/>
    <w:rsid w:val="00C4342B"/>
    <w:rsid w:val="00C43E54"/>
    <w:rsid w:val="00C43EED"/>
    <w:rsid w:val="00C43F43"/>
    <w:rsid w:val="00C440F6"/>
    <w:rsid w:val="00C441EB"/>
    <w:rsid w:val="00C442A4"/>
    <w:rsid w:val="00C45AFC"/>
    <w:rsid w:val="00C46834"/>
    <w:rsid w:val="00C46EDF"/>
    <w:rsid w:val="00C4734A"/>
    <w:rsid w:val="00C47A0A"/>
    <w:rsid w:val="00C47AD3"/>
    <w:rsid w:val="00C51855"/>
    <w:rsid w:val="00C51A88"/>
    <w:rsid w:val="00C53971"/>
    <w:rsid w:val="00C56132"/>
    <w:rsid w:val="00C5667B"/>
    <w:rsid w:val="00C56B22"/>
    <w:rsid w:val="00C57074"/>
    <w:rsid w:val="00C57233"/>
    <w:rsid w:val="00C57C94"/>
    <w:rsid w:val="00C60C8A"/>
    <w:rsid w:val="00C617BB"/>
    <w:rsid w:val="00C61874"/>
    <w:rsid w:val="00C627C4"/>
    <w:rsid w:val="00C628E4"/>
    <w:rsid w:val="00C628F4"/>
    <w:rsid w:val="00C66962"/>
    <w:rsid w:val="00C670CB"/>
    <w:rsid w:val="00C7156C"/>
    <w:rsid w:val="00C715B1"/>
    <w:rsid w:val="00C735C3"/>
    <w:rsid w:val="00C73786"/>
    <w:rsid w:val="00C74157"/>
    <w:rsid w:val="00C74329"/>
    <w:rsid w:val="00C745C0"/>
    <w:rsid w:val="00C74FD9"/>
    <w:rsid w:val="00C7505C"/>
    <w:rsid w:val="00C751A3"/>
    <w:rsid w:val="00C75668"/>
    <w:rsid w:val="00C7570A"/>
    <w:rsid w:val="00C75B0F"/>
    <w:rsid w:val="00C76D26"/>
    <w:rsid w:val="00C8176B"/>
    <w:rsid w:val="00C8211B"/>
    <w:rsid w:val="00C8263E"/>
    <w:rsid w:val="00C84BFB"/>
    <w:rsid w:val="00C85AD5"/>
    <w:rsid w:val="00C87BED"/>
    <w:rsid w:val="00C909CA"/>
    <w:rsid w:val="00C934D1"/>
    <w:rsid w:val="00C935BE"/>
    <w:rsid w:val="00C9381F"/>
    <w:rsid w:val="00C93FDF"/>
    <w:rsid w:val="00C946D7"/>
    <w:rsid w:val="00C94D12"/>
    <w:rsid w:val="00C97F90"/>
    <w:rsid w:val="00CA02D0"/>
    <w:rsid w:val="00CA0A11"/>
    <w:rsid w:val="00CA1081"/>
    <w:rsid w:val="00CA1913"/>
    <w:rsid w:val="00CA1B0D"/>
    <w:rsid w:val="00CA241E"/>
    <w:rsid w:val="00CA27E1"/>
    <w:rsid w:val="00CA2866"/>
    <w:rsid w:val="00CA3ABF"/>
    <w:rsid w:val="00CA4AEB"/>
    <w:rsid w:val="00CA50EB"/>
    <w:rsid w:val="00CA5894"/>
    <w:rsid w:val="00CA5CFF"/>
    <w:rsid w:val="00CA5E7C"/>
    <w:rsid w:val="00CA5FAB"/>
    <w:rsid w:val="00CA6015"/>
    <w:rsid w:val="00CA6858"/>
    <w:rsid w:val="00CA7DFF"/>
    <w:rsid w:val="00CB0A0E"/>
    <w:rsid w:val="00CB1A9B"/>
    <w:rsid w:val="00CB1C37"/>
    <w:rsid w:val="00CB1D30"/>
    <w:rsid w:val="00CB218D"/>
    <w:rsid w:val="00CB2653"/>
    <w:rsid w:val="00CB2B71"/>
    <w:rsid w:val="00CB2EDC"/>
    <w:rsid w:val="00CB41F0"/>
    <w:rsid w:val="00CB44DE"/>
    <w:rsid w:val="00CB49AE"/>
    <w:rsid w:val="00CB5C9A"/>
    <w:rsid w:val="00CB5F93"/>
    <w:rsid w:val="00CB63FF"/>
    <w:rsid w:val="00CB6869"/>
    <w:rsid w:val="00CB751F"/>
    <w:rsid w:val="00CC12EA"/>
    <w:rsid w:val="00CC15C6"/>
    <w:rsid w:val="00CC1617"/>
    <w:rsid w:val="00CC1EAB"/>
    <w:rsid w:val="00CC2394"/>
    <w:rsid w:val="00CC26AB"/>
    <w:rsid w:val="00CC2A0C"/>
    <w:rsid w:val="00CC4264"/>
    <w:rsid w:val="00CC4475"/>
    <w:rsid w:val="00CC5331"/>
    <w:rsid w:val="00CC5E89"/>
    <w:rsid w:val="00CC66A3"/>
    <w:rsid w:val="00CC7790"/>
    <w:rsid w:val="00CD1673"/>
    <w:rsid w:val="00CD1AA5"/>
    <w:rsid w:val="00CD3A75"/>
    <w:rsid w:val="00CD4094"/>
    <w:rsid w:val="00CD53A4"/>
    <w:rsid w:val="00CD6738"/>
    <w:rsid w:val="00CD79AE"/>
    <w:rsid w:val="00CD7FEC"/>
    <w:rsid w:val="00CE0501"/>
    <w:rsid w:val="00CE05ED"/>
    <w:rsid w:val="00CE257C"/>
    <w:rsid w:val="00CE30F0"/>
    <w:rsid w:val="00CE4814"/>
    <w:rsid w:val="00CE4CEB"/>
    <w:rsid w:val="00CE5045"/>
    <w:rsid w:val="00CE556B"/>
    <w:rsid w:val="00CF0035"/>
    <w:rsid w:val="00CF0A43"/>
    <w:rsid w:val="00CF1DD7"/>
    <w:rsid w:val="00CF2413"/>
    <w:rsid w:val="00CF3B52"/>
    <w:rsid w:val="00CF4D1F"/>
    <w:rsid w:val="00CF50D1"/>
    <w:rsid w:val="00CF5E42"/>
    <w:rsid w:val="00D00EDE"/>
    <w:rsid w:val="00D03B98"/>
    <w:rsid w:val="00D04DBB"/>
    <w:rsid w:val="00D05BE8"/>
    <w:rsid w:val="00D05CA9"/>
    <w:rsid w:val="00D063DD"/>
    <w:rsid w:val="00D06D89"/>
    <w:rsid w:val="00D06DF4"/>
    <w:rsid w:val="00D07F7E"/>
    <w:rsid w:val="00D1134F"/>
    <w:rsid w:val="00D11381"/>
    <w:rsid w:val="00D1293A"/>
    <w:rsid w:val="00D12B2B"/>
    <w:rsid w:val="00D13737"/>
    <w:rsid w:val="00D149B3"/>
    <w:rsid w:val="00D14BA0"/>
    <w:rsid w:val="00D179FC"/>
    <w:rsid w:val="00D17AB4"/>
    <w:rsid w:val="00D205B8"/>
    <w:rsid w:val="00D21F35"/>
    <w:rsid w:val="00D2238A"/>
    <w:rsid w:val="00D22C5C"/>
    <w:rsid w:val="00D23F86"/>
    <w:rsid w:val="00D24BDD"/>
    <w:rsid w:val="00D25FBA"/>
    <w:rsid w:val="00D27C24"/>
    <w:rsid w:val="00D27D67"/>
    <w:rsid w:val="00D302E0"/>
    <w:rsid w:val="00D307DC"/>
    <w:rsid w:val="00D30FDB"/>
    <w:rsid w:val="00D31C19"/>
    <w:rsid w:val="00D320EE"/>
    <w:rsid w:val="00D32C31"/>
    <w:rsid w:val="00D32C67"/>
    <w:rsid w:val="00D32FC0"/>
    <w:rsid w:val="00D33D43"/>
    <w:rsid w:val="00D34662"/>
    <w:rsid w:val="00D349BC"/>
    <w:rsid w:val="00D34D51"/>
    <w:rsid w:val="00D3661B"/>
    <w:rsid w:val="00D36E29"/>
    <w:rsid w:val="00D42838"/>
    <w:rsid w:val="00D43911"/>
    <w:rsid w:val="00D43C5F"/>
    <w:rsid w:val="00D44F36"/>
    <w:rsid w:val="00D45292"/>
    <w:rsid w:val="00D459D7"/>
    <w:rsid w:val="00D46969"/>
    <w:rsid w:val="00D508F8"/>
    <w:rsid w:val="00D514CD"/>
    <w:rsid w:val="00D516E9"/>
    <w:rsid w:val="00D5227B"/>
    <w:rsid w:val="00D55790"/>
    <w:rsid w:val="00D56996"/>
    <w:rsid w:val="00D56D06"/>
    <w:rsid w:val="00D56D46"/>
    <w:rsid w:val="00D604FD"/>
    <w:rsid w:val="00D6250F"/>
    <w:rsid w:val="00D62A25"/>
    <w:rsid w:val="00D62FB7"/>
    <w:rsid w:val="00D638C0"/>
    <w:rsid w:val="00D6424A"/>
    <w:rsid w:val="00D66075"/>
    <w:rsid w:val="00D661F6"/>
    <w:rsid w:val="00D70832"/>
    <w:rsid w:val="00D710CF"/>
    <w:rsid w:val="00D7113F"/>
    <w:rsid w:val="00D72C8A"/>
    <w:rsid w:val="00D72F3C"/>
    <w:rsid w:val="00D74030"/>
    <w:rsid w:val="00D76A1D"/>
    <w:rsid w:val="00D76A68"/>
    <w:rsid w:val="00D8140A"/>
    <w:rsid w:val="00D83188"/>
    <w:rsid w:val="00D908A3"/>
    <w:rsid w:val="00D91674"/>
    <w:rsid w:val="00D92495"/>
    <w:rsid w:val="00D92C1C"/>
    <w:rsid w:val="00D92E40"/>
    <w:rsid w:val="00D9308C"/>
    <w:rsid w:val="00D93E2A"/>
    <w:rsid w:val="00D9611A"/>
    <w:rsid w:val="00D96244"/>
    <w:rsid w:val="00D96E7C"/>
    <w:rsid w:val="00D97482"/>
    <w:rsid w:val="00D976FC"/>
    <w:rsid w:val="00D97B50"/>
    <w:rsid w:val="00DA0B7B"/>
    <w:rsid w:val="00DA2285"/>
    <w:rsid w:val="00DA2475"/>
    <w:rsid w:val="00DA643B"/>
    <w:rsid w:val="00DA7088"/>
    <w:rsid w:val="00DB1F21"/>
    <w:rsid w:val="00DB3DD5"/>
    <w:rsid w:val="00DB3FC5"/>
    <w:rsid w:val="00DB448D"/>
    <w:rsid w:val="00DB4664"/>
    <w:rsid w:val="00DB7C99"/>
    <w:rsid w:val="00DC0D8A"/>
    <w:rsid w:val="00DC26EB"/>
    <w:rsid w:val="00DC314C"/>
    <w:rsid w:val="00DC3E4F"/>
    <w:rsid w:val="00DC4965"/>
    <w:rsid w:val="00DC67B5"/>
    <w:rsid w:val="00DC77F4"/>
    <w:rsid w:val="00DC7F2F"/>
    <w:rsid w:val="00DD049E"/>
    <w:rsid w:val="00DD0876"/>
    <w:rsid w:val="00DD09FF"/>
    <w:rsid w:val="00DD0C56"/>
    <w:rsid w:val="00DD16A3"/>
    <w:rsid w:val="00DD1A7E"/>
    <w:rsid w:val="00DD2E33"/>
    <w:rsid w:val="00DD3C50"/>
    <w:rsid w:val="00DD425D"/>
    <w:rsid w:val="00DD4A6B"/>
    <w:rsid w:val="00DD5386"/>
    <w:rsid w:val="00DD5EBE"/>
    <w:rsid w:val="00DD74D2"/>
    <w:rsid w:val="00DD7BB3"/>
    <w:rsid w:val="00DE0C88"/>
    <w:rsid w:val="00DE1032"/>
    <w:rsid w:val="00DE1576"/>
    <w:rsid w:val="00DE18F3"/>
    <w:rsid w:val="00DE1BC5"/>
    <w:rsid w:val="00DE2EBF"/>
    <w:rsid w:val="00DE58DA"/>
    <w:rsid w:val="00DE5C10"/>
    <w:rsid w:val="00DE6BDC"/>
    <w:rsid w:val="00DE71A4"/>
    <w:rsid w:val="00DE7BF7"/>
    <w:rsid w:val="00DF04D9"/>
    <w:rsid w:val="00DF1823"/>
    <w:rsid w:val="00DF1FF5"/>
    <w:rsid w:val="00DF53AC"/>
    <w:rsid w:val="00DF56E6"/>
    <w:rsid w:val="00DF616C"/>
    <w:rsid w:val="00DF6ED4"/>
    <w:rsid w:val="00DF7A7E"/>
    <w:rsid w:val="00E0007A"/>
    <w:rsid w:val="00E00707"/>
    <w:rsid w:val="00E00C32"/>
    <w:rsid w:val="00E0103C"/>
    <w:rsid w:val="00E018CC"/>
    <w:rsid w:val="00E02859"/>
    <w:rsid w:val="00E02B0C"/>
    <w:rsid w:val="00E030F7"/>
    <w:rsid w:val="00E03CE6"/>
    <w:rsid w:val="00E053B9"/>
    <w:rsid w:val="00E057DD"/>
    <w:rsid w:val="00E05A99"/>
    <w:rsid w:val="00E05B2F"/>
    <w:rsid w:val="00E05E4D"/>
    <w:rsid w:val="00E05E84"/>
    <w:rsid w:val="00E06682"/>
    <w:rsid w:val="00E12751"/>
    <w:rsid w:val="00E12C7A"/>
    <w:rsid w:val="00E13378"/>
    <w:rsid w:val="00E13F19"/>
    <w:rsid w:val="00E1442B"/>
    <w:rsid w:val="00E144D9"/>
    <w:rsid w:val="00E156E6"/>
    <w:rsid w:val="00E15B0C"/>
    <w:rsid w:val="00E165D2"/>
    <w:rsid w:val="00E16FBF"/>
    <w:rsid w:val="00E2088B"/>
    <w:rsid w:val="00E211E2"/>
    <w:rsid w:val="00E23201"/>
    <w:rsid w:val="00E234B2"/>
    <w:rsid w:val="00E24216"/>
    <w:rsid w:val="00E25E78"/>
    <w:rsid w:val="00E265DB"/>
    <w:rsid w:val="00E31FD0"/>
    <w:rsid w:val="00E32321"/>
    <w:rsid w:val="00E32B1F"/>
    <w:rsid w:val="00E32EED"/>
    <w:rsid w:val="00E3322F"/>
    <w:rsid w:val="00E34F99"/>
    <w:rsid w:val="00E35C49"/>
    <w:rsid w:val="00E35D4B"/>
    <w:rsid w:val="00E363E7"/>
    <w:rsid w:val="00E37854"/>
    <w:rsid w:val="00E37B80"/>
    <w:rsid w:val="00E414BE"/>
    <w:rsid w:val="00E44146"/>
    <w:rsid w:val="00E44A13"/>
    <w:rsid w:val="00E46177"/>
    <w:rsid w:val="00E4637A"/>
    <w:rsid w:val="00E46F75"/>
    <w:rsid w:val="00E51353"/>
    <w:rsid w:val="00E518E5"/>
    <w:rsid w:val="00E536E6"/>
    <w:rsid w:val="00E54681"/>
    <w:rsid w:val="00E55161"/>
    <w:rsid w:val="00E551D7"/>
    <w:rsid w:val="00E55F0E"/>
    <w:rsid w:val="00E55F47"/>
    <w:rsid w:val="00E56D37"/>
    <w:rsid w:val="00E57A2F"/>
    <w:rsid w:val="00E6051D"/>
    <w:rsid w:val="00E60A43"/>
    <w:rsid w:val="00E60B37"/>
    <w:rsid w:val="00E61710"/>
    <w:rsid w:val="00E6260F"/>
    <w:rsid w:val="00E63763"/>
    <w:rsid w:val="00E64BF0"/>
    <w:rsid w:val="00E70BA7"/>
    <w:rsid w:val="00E71575"/>
    <w:rsid w:val="00E716DF"/>
    <w:rsid w:val="00E71887"/>
    <w:rsid w:val="00E7211C"/>
    <w:rsid w:val="00E72145"/>
    <w:rsid w:val="00E72F42"/>
    <w:rsid w:val="00E731EE"/>
    <w:rsid w:val="00E73609"/>
    <w:rsid w:val="00E74AF7"/>
    <w:rsid w:val="00E76102"/>
    <w:rsid w:val="00E76136"/>
    <w:rsid w:val="00E76737"/>
    <w:rsid w:val="00E76E36"/>
    <w:rsid w:val="00E7734A"/>
    <w:rsid w:val="00E77AA8"/>
    <w:rsid w:val="00E77FAA"/>
    <w:rsid w:val="00E80A17"/>
    <w:rsid w:val="00E81D5C"/>
    <w:rsid w:val="00E85195"/>
    <w:rsid w:val="00E85375"/>
    <w:rsid w:val="00E85850"/>
    <w:rsid w:val="00E8711A"/>
    <w:rsid w:val="00E871A9"/>
    <w:rsid w:val="00E908AE"/>
    <w:rsid w:val="00E91CE8"/>
    <w:rsid w:val="00E92B46"/>
    <w:rsid w:val="00E95111"/>
    <w:rsid w:val="00E9536C"/>
    <w:rsid w:val="00E95B00"/>
    <w:rsid w:val="00E95DA2"/>
    <w:rsid w:val="00E96137"/>
    <w:rsid w:val="00E96724"/>
    <w:rsid w:val="00E969A0"/>
    <w:rsid w:val="00EA102F"/>
    <w:rsid w:val="00EA1812"/>
    <w:rsid w:val="00EA1993"/>
    <w:rsid w:val="00EA19B8"/>
    <w:rsid w:val="00EA2C39"/>
    <w:rsid w:val="00EA3737"/>
    <w:rsid w:val="00EA3DF9"/>
    <w:rsid w:val="00EA45ED"/>
    <w:rsid w:val="00EB124D"/>
    <w:rsid w:val="00EB1F05"/>
    <w:rsid w:val="00EB29AB"/>
    <w:rsid w:val="00EB2D69"/>
    <w:rsid w:val="00EB339D"/>
    <w:rsid w:val="00EB3C80"/>
    <w:rsid w:val="00EB53A6"/>
    <w:rsid w:val="00EC1740"/>
    <w:rsid w:val="00EC2C8B"/>
    <w:rsid w:val="00EC2F7E"/>
    <w:rsid w:val="00EC3105"/>
    <w:rsid w:val="00EC4B30"/>
    <w:rsid w:val="00EC681C"/>
    <w:rsid w:val="00EC6BEA"/>
    <w:rsid w:val="00ED06C8"/>
    <w:rsid w:val="00ED0A6A"/>
    <w:rsid w:val="00ED1132"/>
    <w:rsid w:val="00ED17DE"/>
    <w:rsid w:val="00ED23A5"/>
    <w:rsid w:val="00ED24B3"/>
    <w:rsid w:val="00ED312E"/>
    <w:rsid w:val="00ED341D"/>
    <w:rsid w:val="00ED41A8"/>
    <w:rsid w:val="00ED4378"/>
    <w:rsid w:val="00ED4B88"/>
    <w:rsid w:val="00ED6F82"/>
    <w:rsid w:val="00ED781B"/>
    <w:rsid w:val="00EE0FD4"/>
    <w:rsid w:val="00EE12B6"/>
    <w:rsid w:val="00EE1F79"/>
    <w:rsid w:val="00EE1F96"/>
    <w:rsid w:val="00EE2381"/>
    <w:rsid w:val="00EE4771"/>
    <w:rsid w:val="00EE4D75"/>
    <w:rsid w:val="00EE52B5"/>
    <w:rsid w:val="00EE5FBC"/>
    <w:rsid w:val="00EE6F11"/>
    <w:rsid w:val="00EE7B41"/>
    <w:rsid w:val="00EE7EA3"/>
    <w:rsid w:val="00EF0A65"/>
    <w:rsid w:val="00EF15D1"/>
    <w:rsid w:val="00EF3C7A"/>
    <w:rsid w:val="00EF5E3C"/>
    <w:rsid w:val="00F02388"/>
    <w:rsid w:val="00F02C02"/>
    <w:rsid w:val="00F04060"/>
    <w:rsid w:val="00F054AA"/>
    <w:rsid w:val="00F07000"/>
    <w:rsid w:val="00F07435"/>
    <w:rsid w:val="00F0776A"/>
    <w:rsid w:val="00F077E4"/>
    <w:rsid w:val="00F11FEA"/>
    <w:rsid w:val="00F13519"/>
    <w:rsid w:val="00F138B1"/>
    <w:rsid w:val="00F13C42"/>
    <w:rsid w:val="00F1471E"/>
    <w:rsid w:val="00F14C37"/>
    <w:rsid w:val="00F15879"/>
    <w:rsid w:val="00F158F1"/>
    <w:rsid w:val="00F15C49"/>
    <w:rsid w:val="00F1688F"/>
    <w:rsid w:val="00F17E38"/>
    <w:rsid w:val="00F20642"/>
    <w:rsid w:val="00F21242"/>
    <w:rsid w:val="00F2138A"/>
    <w:rsid w:val="00F21EFC"/>
    <w:rsid w:val="00F22C87"/>
    <w:rsid w:val="00F24722"/>
    <w:rsid w:val="00F27C6C"/>
    <w:rsid w:val="00F30A31"/>
    <w:rsid w:val="00F312A5"/>
    <w:rsid w:val="00F3134B"/>
    <w:rsid w:val="00F3153B"/>
    <w:rsid w:val="00F32016"/>
    <w:rsid w:val="00F331AA"/>
    <w:rsid w:val="00F333C6"/>
    <w:rsid w:val="00F3361F"/>
    <w:rsid w:val="00F33FA8"/>
    <w:rsid w:val="00F34077"/>
    <w:rsid w:val="00F34863"/>
    <w:rsid w:val="00F34969"/>
    <w:rsid w:val="00F34974"/>
    <w:rsid w:val="00F34B10"/>
    <w:rsid w:val="00F34B83"/>
    <w:rsid w:val="00F34D71"/>
    <w:rsid w:val="00F3553E"/>
    <w:rsid w:val="00F3725F"/>
    <w:rsid w:val="00F37423"/>
    <w:rsid w:val="00F37E68"/>
    <w:rsid w:val="00F4085D"/>
    <w:rsid w:val="00F41A87"/>
    <w:rsid w:val="00F4364B"/>
    <w:rsid w:val="00F44503"/>
    <w:rsid w:val="00F454F4"/>
    <w:rsid w:val="00F457F0"/>
    <w:rsid w:val="00F4646C"/>
    <w:rsid w:val="00F47208"/>
    <w:rsid w:val="00F50129"/>
    <w:rsid w:val="00F5043F"/>
    <w:rsid w:val="00F505A5"/>
    <w:rsid w:val="00F507BD"/>
    <w:rsid w:val="00F510F4"/>
    <w:rsid w:val="00F52907"/>
    <w:rsid w:val="00F52B92"/>
    <w:rsid w:val="00F52CC2"/>
    <w:rsid w:val="00F56993"/>
    <w:rsid w:val="00F60369"/>
    <w:rsid w:val="00F60561"/>
    <w:rsid w:val="00F611CE"/>
    <w:rsid w:val="00F61662"/>
    <w:rsid w:val="00F618B4"/>
    <w:rsid w:val="00F61D9B"/>
    <w:rsid w:val="00F62531"/>
    <w:rsid w:val="00F6297F"/>
    <w:rsid w:val="00F636CA"/>
    <w:rsid w:val="00F64808"/>
    <w:rsid w:val="00F64A8B"/>
    <w:rsid w:val="00F64C89"/>
    <w:rsid w:val="00F668DE"/>
    <w:rsid w:val="00F72653"/>
    <w:rsid w:val="00F739CA"/>
    <w:rsid w:val="00F74B61"/>
    <w:rsid w:val="00F757E4"/>
    <w:rsid w:val="00F75CB2"/>
    <w:rsid w:val="00F77370"/>
    <w:rsid w:val="00F7770F"/>
    <w:rsid w:val="00F8214E"/>
    <w:rsid w:val="00F830F9"/>
    <w:rsid w:val="00F8373E"/>
    <w:rsid w:val="00F8378D"/>
    <w:rsid w:val="00F83955"/>
    <w:rsid w:val="00F83BFE"/>
    <w:rsid w:val="00F83EF0"/>
    <w:rsid w:val="00F84147"/>
    <w:rsid w:val="00F84382"/>
    <w:rsid w:val="00F85056"/>
    <w:rsid w:val="00F862EE"/>
    <w:rsid w:val="00F86A26"/>
    <w:rsid w:val="00F86AC0"/>
    <w:rsid w:val="00F8751A"/>
    <w:rsid w:val="00F87A77"/>
    <w:rsid w:val="00F91015"/>
    <w:rsid w:val="00F932DD"/>
    <w:rsid w:val="00F93484"/>
    <w:rsid w:val="00F937D8"/>
    <w:rsid w:val="00F93E82"/>
    <w:rsid w:val="00F93FBE"/>
    <w:rsid w:val="00F96494"/>
    <w:rsid w:val="00F96F6A"/>
    <w:rsid w:val="00F970D1"/>
    <w:rsid w:val="00FA3724"/>
    <w:rsid w:val="00FA3D86"/>
    <w:rsid w:val="00FA4385"/>
    <w:rsid w:val="00FA4EEC"/>
    <w:rsid w:val="00FA599F"/>
    <w:rsid w:val="00FA66FE"/>
    <w:rsid w:val="00FB01D0"/>
    <w:rsid w:val="00FB0492"/>
    <w:rsid w:val="00FB11C5"/>
    <w:rsid w:val="00FB18B2"/>
    <w:rsid w:val="00FB1D78"/>
    <w:rsid w:val="00FB21EA"/>
    <w:rsid w:val="00FB2ECB"/>
    <w:rsid w:val="00FB2F4F"/>
    <w:rsid w:val="00FB3075"/>
    <w:rsid w:val="00FB317A"/>
    <w:rsid w:val="00FB4A76"/>
    <w:rsid w:val="00FB6E48"/>
    <w:rsid w:val="00FB6EE6"/>
    <w:rsid w:val="00FB6F9D"/>
    <w:rsid w:val="00FB7D52"/>
    <w:rsid w:val="00FC0515"/>
    <w:rsid w:val="00FC129D"/>
    <w:rsid w:val="00FC1716"/>
    <w:rsid w:val="00FC21D9"/>
    <w:rsid w:val="00FC2307"/>
    <w:rsid w:val="00FC2A4E"/>
    <w:rsid w:val="00FC31C7"/>
    <w:rsid w:val="00FC48F3"/>
    <w:rsid w:val="00FC4A5C"/>
    <w:rsid w:val="00FC588D"/>
    <w:rsid w:val="00FC606D"/>
    <w:rsid w:val="00FC6365"/>
    <w:rsid w:val="00FC6A1E"/>
    <w:rsid w:val="00FC6CE4"/>
    <w:rsid w:val="00FC7A87"/>
    <w:rsid w:val="00FC7AC5"/>
    <w:rsid w:val="00FC7B64"/>
    <w:rsid w:val="00FD05DE"/>
    <w:rsid w:val="00FD0A9F"/>
    <w:rsid w:val="00FD1148"/>
    <w:rsid w:val="00FD18CF"/>
    <w:rsid w:val="00FD1C9A"/>
    <w:rsid w:val="00FD1F10"/>
    <w:rsid w:val="00FD3480"/>
    <w:rsid w:val="00FD3DF1"/>
    <w:rsid w:val="00FD5EBF"/>
    <w:rsid w:val="00FD626C"/>
    <w:rsid w:val="00FD6BC9"/>
    <w:rsid w:val="00FD6BFB"/>
    <w:rsid w:val="00FD7C1C"/>
    <w:rsid w:val="00FE009E"/>
    <w:rsid w:val="00FE080D"/>
    <w:rsid w:val="00FE0F80"/>
    <w:rsid w:val="00FE117B"/>
    <w:rsid w:val="00FE3DF8"/>
    <w:rsid w:val="00FE6053"/>
    <w:rsid w:val="00FE6D69"/>
    <w:rsid w:val="00FE7625"/>
    <w:rsid w:val="00FE7B08"/>
    <w:rsid w:val="00FF04B8"/>
    <w:rsid w:val="00FF0895"/>
    <w:rsid w:val="00FF2A98"/>
    <w:rsid w:val="00FF2DAF"/>
    <w:rsid w:val="00FF2F17"/>
    <w:rsid w:val="00FF31EA"/>
    <w:rsid w:val="00FF3B8C"/>
    <w:rsid w:val="00FF4090"/>
    <w:rsid w:val="00FF434A"/>
    <w:rsid w:val="00FF4D6E"/>
    <w:rsid w:val="00FF52E3"/>
    <w:rsid w:val="00FF616B"/>
    <w:rsid w:val="00FF6210"/>
    <w:rsid w:val="00FF629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EBDC8"/>
  <w15:chartTrackingRefBased/>
  <w15:docId w15:val="{11174873-8386-4B56-9F05-C88EA20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8F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803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803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l25">
    <w:name w:val="xl25"/>
    <w:basedOn w:val="Normal"/>
    <w:rsid w:val="00F158F1"/>
    <w:pPr>
      <w:spacing w:before="100" w:beforeAutospacing="1" w:after="100" w:afterAutospacing="1"/>
    </w:pPr>
    <w:rPr>
      <w:lang w:val="en-GB" w:eastAsia="en-US"/>
    </w:rPr>
  </w:style>
  <w:style w:type="paragraph" w:customStyle="1" w:styleId="xl26">
    <w:name w:val="xl26"/>
    <w:basedOn w:val="Normal"/>
    <w:rsid w:val="00F158F1"/>
    <w:pPr>
      <w:spacing w:before="100" w:beforeAutospacing="1" w:after="100" w:afterAutospacing="1"/>
    </w:pPr>
    <w:rPr>
      <w:lang w:val="en-GB" w:eastAsia="en-US"/>
    </w:rPr>
  </w:style>
  <w:style w:type="paragraph" w:customStyle="1" w:styleId="xl27">
    <w:name w:val="xl27"/>
    <w:basedOn w:val="Normal"/>
    <w:rsid w:val="00F15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28">
    <w:name w:val="xl28"/>
    <w:basedOn w:val="Normal"/>
    <w:rsid w:val="00F158F1"/>
    <w:pP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29">
    <w:name w:val="xl29"/>
    <w:basedOn w:val="Normal"/>
    <w:rsid w:val="00F158F1"/>
    <w:pPr>
      <w:spacing w:before="100" w:beforeAutospacing="1" w:after="100" w:afterAutospacing="1"/>
      <w:ind w:firstLineChars="200" w:firstLine="200"/>
    </w:pPr>
    <w:rPr>
      <w:lang w:val="en-GB" w:eastAsia="en-US"/>
    </w:rPr>
  </w:style>
  <w:style w:type="paragraph" w:customStyle="1" w:styleId="xl30">
    <w:name w:val="xl30"/>
    <w:basedOn w:val="Normal"/>
    <w:rsid w:val="00F158F1"/>
    <w:pPr>
      <w:spacing w:before="100" w:beforeAutospacing="1" w:after="100" w:afterAutospacing="1"/>
      <w:ind w:firstLineChars="100" w:firstLine="100"/>
    </w:pPr>
    <w:rPr>
      <w:rFonts w:ascii="Arial" w:hAnsi="Arial" w:cs="Arial"/>
      <w:b/>
      <w:bCs/>
      <w:lang w:val="en-GB" w:eastAsia="en-US"/>
    </w:rPr>
  </w:style>
  <w:style w:type="paragraph" w:customStyle="1" w:styleId="xl31">
    <w:name w:val="xl31"/>
    <w:basedOn w:val="Normal"/>
    <w:rsid w:val="00F158F1"/>
    <w:pP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2">
    <w:name w:val="xl32"/>
    <w:basedOn w:val="Normal"/>
    <w:rsid w:val="00F158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3">
    <w:name w:val="xl33"/>
    <w:basedOn w:val="Normal"/>
    <w:rsid w:val="00F158F1"/>
    <w:pP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5">
    <w:name w:val="xl35"/>
    <w:basedOn w:val="Normal"/>
    <w:rsid w:val="00F158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6">
    <w:name w:val="xl36"/>
    <w:basedOn w:val="Normal"/>
    <w:rsid w:val="00F158F1"/>
    <w:pP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7">
    <w:name w:val="xl37"/>
    <w:basedOn w:val="Normal"/>
    <w:rsid w:val="00F158F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38">
    <w:name w:val="xl38"/>
    <w:basedOn w:val="Normal"/>
    <w:rsid w:val="00F158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39">
    <w:name w:val="xl39"/>
    <w:basedOn w:val="Normal"/>
    <w:rsid w:val="00F158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styleId="Uvuenotijeloteksta">
    <w:name w:val="Body Text Indent"/>
    <w:basedOn w:val="Normal"/>
    <w:rsid w:val="00F158F1"/>
    <w:pPr>
      <w:ind w:left="708"/>
    </w:pPr>
  </w:style>
  <w:style w:type="paragraph" w:styleId="Podnoje">
    <w:name w:val="footer"/>
    <w:basedOn w:val="Normal"/>
    <w:link w:val="PodnojeChar"/>
    <w:uiPriority w:val="99"/>
    <w:rsid w:val="00F158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0D8E"/>
    <w:rPr>
      <w:sz w:val="24"/>
      <w:szCs w:val="24"/>
    </w:rPr>
  </w:style>
  <w:style w:type="character" w:styleId="Brojstranice">
    <w:name w:val="page number"/>
    <w:basedOn w:val="Zadanifontodlomka"/>
    <w:rsid w:val="00F158F1"/>
  </w:style>
  <w:style w:type="paragraph" w:styleId="Zaglavlje">
    <w:name w:val="header"/>
    <w:basedOn w:val="Normal"/>
    <w:link w:val="ZaglavljeChar"/>
    <w:uiPriority w:val="99"/>
    <w:rsid w:val="00F158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211A7"/>
    <w:rPr>
      <w:sz w:val="24"/>
      <w:szCs w:val="24"/>
    </w:rPr>
  </w:style>
  <w:style w:type="paragraph" w:styleId="Tijeloteksta">
    <w:name w:val="Body Text"/>
    <w:basedOn w:val="Normal"/>
    <w:rsid w:val="00F158F1"/>
    <w:rPr>
      <w:rFonts w:ascii="Arial" w:hAnsi="Arial" w:cs="Arial"/>
      <w:color w:val="000080"/>
      <w:sz w:val="20"/>
    </w:rPr>
  </w:style>
  <w:style w:type="paragraph" w:styleId="Tijeloteksta2">
    <w:name w:val="Body Text 2"/>
    <w:basedOn w:val="Normal"/>
    <w:link w:val="Tijeloteksta2Char"/>
    <w:rsid w:val="00F158F1"/>
    <w:rPr>
      <w:rFonts w:ascii="Arial" w:hAnsi="Arial" w:cs="Arial"/>
      <w:sz w:val="20"/>
    </w:rPr>
  </w:style>
  <w:style w:type="character" w:customStyle="1" w:styleId="Tijeloteksta2Char">
    <w:name w:val="Tijelo teksta 2 Char"/>
    <w:link w:val="Tijeloteksta2"/>
    <w:rsid w:val="00F86AC0"/>
    <w:rPr>
      <w:rFonts w:ascii="Arial" w:hAnsi="Arial" w:cs="Arial"/>
      <w:szCs w:val="24"/>
    </w:rPr>
  </w:style>
  <w:style w:type="paragraph" w:styleId="Tekstbalonia">
    <w:name w:val="Balloon Text"/>
    <w:basedOn w:val="Normal"/>
    <w:link w:val="TekstbaloniaChar"/>
    <w:rsid w:val="006E01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E01D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C2ED0"/>
    <w:pPr>
      <w:ind w:left="708"/>
    </w:pPr>
  </w:style>
  <w:style w:type="character" w:styleId="Hiperveza">
    <w:name w:val="Hyperlink"/>
    <w:uiPriority w:val="99"/>
    <w:unhideWhenUsed/>
    <w:rsid w:val="00A773E7"/>
    <w:rPr>
      <w:color w:val="0000FF"/>
      <w:u w:val="single"/>
    </w:rPr>
  </w:style>
  <w:style w:type="character" w:styleId="SlijeenaHiperveza">
    <w:name w:val="FollowedHyperlink"/>
    <w:uiPriority w:val="99"/>
    <w:unhideWhenUsed/>
    <w:rsid w:val="00A773E7"/>
    <w:rPr>
      <w:color w:val="800080"/>
      <w:u w:val="single"/>
    </w:rPr>
  </w:style>
  <w:style w:type="paragraph" w:customStyle="1" w:styleId="xl66">
    <w:name w:val="xl66"/>
    <w:basedOn w:val="Normal"/>
    <w:rsid w:val="0039277D"/>
    <w:pPr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Normal"/>
    <w:rsid w:val="0039277D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39277D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39277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392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392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392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39277D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39277D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39277D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"/>
    <w:rsid w:val="003927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Normal"/>
    <w:rsid w:val="00392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3927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39277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39277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39277D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39277D"/>
    <w:pPr>
      <w:spacing w:before="100" w:beforeAutospacing="1" w:after="100" w:afterAutospacing="1"/>
    </w:pPr>
  </w:style>
  <w:style w:type="paragraph" w:customStyle="1" w:styleId="xl83">
    <w:name w:val="xl83"/>
    <w:basedOn w:val="Normal"/>
    <w:rsid w:val="00392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9277D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9277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rsid w:val="0039277D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39277D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39277D"/>
    <w:pPr>
      <w:spacing w:before="100" w:beforeAutospacing="1" w:after="100" w:afterAutospacing="1"/>
    </w:pPr>
  </w:style>
  <w:style w:type="paragraph" w:customStyle="1" w:styleId="xl89">
    <w:name w:val="xl89"/>
    <w:basedOn w:val="Normal"/>
    <w:rsid w:val="0039277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Normal"/>
    <w:rsid w:val="0039277D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FF31EA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8434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8434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C75668"/>
    <w:pPr>
      <w:tabs>
        <w:tab w:val="left" w:pos="440"/>
        <w:tab w:val="right" w:leader="dot" w:pos="9062"/>
      </w:tabs>
      <w:jc w:val="both"/>
    </w:pPr>
  </w:style>
  <w:style w:type="paragraph" w:styleId="Podnaslov">
    <w:name w:val="Subtitle"/>
    <w:basedOn w:val="Normal"/>
    <w:next w:val="Normal"/>
    <w:link w:val="PodnaslovChar"/>
    <w:qFormat/>
    <w:rsid w:val="0084344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link w:val="Podnaslov"/>
    <w:rsid w:val="00843447"/>
    <w:rPr>
      <w:rFonts w:ascii="Cambria" w:eastAsia="Times New Roman" w:hAnsi="Cambria" w:cs="Times New Roman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843447"/>
    <w:pPr>
      <w:ind w:left="240"/>
    </w:pPr>
  </w:style>
  <w:style w:type="paragraph" w:customStyle="1" w:styleId="Standard">
    <w:name w:val="Standard"/>
    <w:rsid w:val="006D0589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6D05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FB21EA"/>
    <w:rPr>
      <w:i/>
      <w:iCs/>
      <w:color w:val="808080"/>
    </w:rPr>
  </w:style>
  <w:style w:type="paragraph" w:customStyle="1" w:styleId="xl91">
    <w:name w:val="xl91"/>
    <w:basedOn w:val="Normal"/>
    <w:rsid w:val="00EF0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EF0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EF0A65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Normal"/>
    <w:rsid w:val="00EF0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EF0A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Normal"/>
    <w:rsid w:val="00EF0A65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rsid w:val="00EF0A65"/>
    <w:pPr>
      <w:spacing w:before="100" w:beforeAutospacing="1" w:after="100" w:afterAutospacing="1"/>
    </w:pPr>
    <w:rPr>
      <w:b/>
      <w:bCs/>
    </w:rPr>
  </w:style>
  <w:style w:type="paragraph" w:customStyle="1" w:styleId="Title1">
    <w:name w:val="Title 1"/>
    <w:basedOn w:val="Naslov"/>
    <w:link w:val="Title1Char"/>
    <w:qFormat/>
    <w:rsid w:val="00D459D7"/>
    <w:pPr>
      <w:numPr>
        <w:numId w:val="5"/>
      </w:numPr>
      <w:jc w:val="left"/>
    </w:pPr>
    <w:rPr>
      <w:rFonts w:ascii="Calibri" w:hAnsi="Calibri" w:cs="Tahoma"/>
      <w:sz w:val="28"/>
      <w:szCs w:val="28"/>
    </w:rPr>
  </w:style>
  <w:style w:type="character" w:customStyle="1" w:styleId="Title1Char">
    <w:name w:val="Title 1 Char"/>
    <w:link w:val="Title1"/>
    <w:rsid w:val="00D459D7"/>
    <w:rPr>
      <w:rFonts w:ascii="Calibri" w:eastAsia="Times New Roman" w:hAnsi="Calibri" w:cs="Tahoma"/>
      <w:b/>
      <w:bCs/>
      <w:kern w:val="28"/>
      <w:sz w:val="28"/>
      <w:szCs w:val="28"/>
    </w:rPr>
  </w:style>
  <w:style w:type="paragraph" w:customStyle="1" w:styleId="Subtitle1">
    <w:name w:val="Subtitle 1"/>
    <w:basedOn w:val="Podnaslov"/>
    <w:link w:val="Subtitle1Char"/>
    <w:qFormat/>
    <w:rsid w:val="00D459D7"/>
    <w:pPr>
      <w:jc w:val="left"/>
    </w:pPr>
    <w:rPr>
      <w:rFonts w:ascii="Calibri" w:hAnsi="Calibri"/>
      <w:b/>
      <w:sz w:val="28"/>
      <w:szCs w:val="28"/>
    </w:rPr>
  </w:style>
  <w:style w:type="character" w:customStyle="1" w:styleId="Subtitle1Char">
    <w:name w:val="Subtitle 1 Char"/>
    <w:link w:val="Subtitle1"/>
    <w:rsid w:val="00D459D7"/>
    <w:rPr>
      <w:rFonts w:ascii="Calibri" w:eastAsia="Times New Roman" w:hAnsi="Calibri" w:cs="Times New Roman"/>
      <w:b/>
      <w:sz w:val="28"/>
      <w:szCs w:val="28"/>
    </w:rPr>
  </w:style>
  <w:style w:type="paragraph" w:customStyle="1" w:styleId="msonormal0">
    <w:name w:val="msonormal"/>
    <w:basedOn w:val="Normal"/>
    <w:rsid w:val="004962E0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4962E0"/>
    <w:pP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99">
    <w:name w:val="xl99"/>
    <w:basedOn w:val="Normal"/>
    <w:rsid w:val="004962E0"/>
    <w:pP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00">
    <w:name w:val="xl100"/>
    <w:basedOn w:val="Normal"/>
    <w:rsid w:val="00F37423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F37423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F37423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IZVJE&#352;TAJI\2021%20GODINA\godi&#353;nji\GODI&#352;NJI%20OBR.PROR.2021.%20-%20pomo&#263;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IZVJE&#352;TAJI\2021%20GODINA\godi&#353;nji\GODI&#352;NJI%20OBR.PROR.2021.%20-%20pomo&#263;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IZVJE&#352;TAJI\2021%20GODINA\godi&#353;nji\GODI&#352;NJI%20OBR.PROR.2021.%20-%20pomo&#263;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IZVJE&#352;TAJI\2021%20GODINA\godi&#353;nji\GODI&#352;NJI%20OBR.PROR.2021.%20-%20pomo&#263;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564013840830448"/>
          <c:y val="0.28888951581926176"/>
          <c:w val="0.33044982698961939"/>
          <c:h val="0.42444536554983842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772-4597-AFCB-026A9313FE4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772-4597-AFCB-026A9313FE4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772-4597-AFCB-026A9313FE4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772-4597-AFCB-026A9313FE4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772-4597-AFCB-026A9313FE4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772-4597-AFCB-026A9313FE46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772-4597-AFCB-026A9313FE4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E-9772-4597-AFCB-026A9313FE46}"/>
              </c:ext>
            </c:extLst>
          </c:dPt>
          <c:dLbls>
            <c:dLbl>
              <c:idx val="0"/>
              <c:layout>
                <c:manualLayout>
                  <c:x val="8.4174862757539923E-2"/>
                  <c:y val="-5.053958371482637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72-4597-AFCB-026A9313FE46}"/>
                </c:ext>
              </c:extLst>
            </c:dLbl>
            <c:dLbl>
              <c:idx val="1"/>
              <c:layout>
                <c:manualLayout>
                  <c:x val="0.15851210906329016"/>
                  <c:y val="-5.330281389244949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72-4597-AFCB-026A9313FE46}"/>
                </c:ext>
              </c:extLst>
            </c:dLbl>
            <c:dLbl>
              <c:idx val="2"/>
              <c:layout>
                <c:manualLayout>
                  <c:x val="4.9556113178160423E-2"/>
                  <c:y val="0.1187700665323809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72-4597-AFCB-026A9313FE46}"/>
                </c:ext>
              </c:extLst>
            </c:dLbl>
            <c:dLbl>
              <c:idx val="3"/>
              <c:layout>
                <c:manualLayout>
                  <c:x val="-4.4014498187726535E-2"/>
                  <c:y val="9.670206921809192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72-4597-AFCB-026A9313FE46}"/>
                </c:ext>
              </c:extLst>
            </c:dLbl>
            <c:dLbl>
              <c:idx val="4"/>
              <c:layout>
                <c:manualLayout>
                  <c:x val="-6.7495601511349562E-2"/>
                  <c:y val="4.485533785021058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72-4597-AFCB-026A9313FE46}"/>
                </c:ext>
              </c:extLst>
            </c:dLbl>
            <c:dLbl>
              <c:idx val="5"/>
              <c:layout>
                <c:manualLayout>
                  <c:x val="-5.7942372588041878E-2"/>
                  <c:y val="-0.1277241652932918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72-4597-AFCB-026A9313FE46}"/>
                </c:ext>
              </c:extLst>
            </c:dLbl>
            <c:dLbl>
              <c:idx val="6"/>
              <c:layout>
                <c:manualLayout>
                  <c:x val="7.1003143837789509E-2"/>
                  <c:y val="-0.2069370689128975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72-4597-AFCB-026A9313FE46}"/>
                </c:ext>
              </c:extLst>
            </c:dLbl>
            <c:dLbl>
              <c:idx val="7"/>
              <c:layout>
                <c:manualLayout>
                  <c:x val="0.20688125522771192"/>
                  <c:y val="-8.503082463529268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72-4597-AFCB-026A9313FE46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'graf-prihodi'!$B$5:$B$12</c:f>
              <c:strCache>
                <c:ptCount val="8"/>
                <c:pt idx="0">
                  <c:v>Prihodi od poreza</c:v>
                </c:pt>
                <c:pt idx="1">
                  <c:v>Pomoći iz inozemstva i od subjekata
unutar općeg proračuna</c:v>
                </c:pt>
                <c:pt idx="2">
                  <c:v>Prihodi od imovine</c:v>
                </c:pt>
                <c:pt idx="3">
                  <c:v>Prihodi od upravnih i administrativnih 
pristojbi i pristojbi po posebnim propisima</c:v>
                </c:pt>
                <c:pt idx="4">
                  <c:v>Prihodi od prodaje, usluga i donacija</c:v>
                </c:pt>
                <c:pt idx="5">
                  <c:v>Kazne i upravne mjere i ostali prihodi</c:v>
                </c:pt>
                <c:pt idx="6">
                  <c:v>Prihodi od prodaje nefinancijske imovine</c:v>
                </c:pt>
                <c:pt idx="7">
                  <c:v>Primici od financijske imovine i zaduživanja</c:v>
                </c:pt>
              </c:strCache>
            </c:strRef>
          </c:cat>
          <c:val>
            <c:numRef>
              <c:f>'graf-prihodi'!$C$5:$C$12</c:f>
              <c:numCache>
                <c:formatCode>#,##0.00_ ;\-#,##0.00\ </c:formatCode>
                <c:ptCount val="8"/>
                <c:pt idx="0">
                  <c:v>33.97</c:v>
                </c:pt>
                <c:pt idx="1">
                  <c:v>19.13</c:v>
                </c:pt>
                <c:pt idx="2">
                  <c:v>3.76</c:v>
                </c:pt>
                <c:pt idx="3">
                  <c:v>23.88</c:v>
                </c:pt>
                <c:pt idx="4">
                  <c:v>1.0900000000000001</c:v>
                </c:pt>
                <c:pt idx="5">
                  <c:v>0.11</c:v>
                </c:pt>
                <c:pt idx="6">
                  <c:v>11.66</c:v>
                </c:pt>
                <c:pt idx="7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772-4597-AFCB-026A9313F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6350">
      <a:solidFill>
        <a:schemeClr val="tx1"/>
      </a:solidFill>
      <a:prstDash val="solid"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realizacija 2020.</c:v>
          </c:tx>
          <c:invertIfNegative val="0"/>
          <c:cat>
            <c:strRef>
              <c:f>'graf-prihodi2'!$A$4:$A$11</c:f>
              <c:strCache>
                <c:ptCount val="8"/>
                <c:pt idx="0">
                  <c:v>Prihodi od poreza</c:v>
                </c:pt>
                <c:pt idx="1">
                  <c:v>Pomoći iz inozemstva i od subjekata 
unutar općeg proračuna</c:v>
                </c:pt>
                <c:pt idx="2">
                  <c:v>Prihodi od imovine</c:v>
                </c:pt>
                <c:pt idx="3">
                  <c:v>Prihodi od upr.i admin.prist.i prist.po pos.prop.</c:v>
                </c:pt>
                <c:pt idx="4">
                  <c:v>Prihodi od prodaje proizv. i roba te pruženih usl. i prihodi od donacija</c:v>
                </c:pt>
                <c:pt idx="5">
                  <c:v>Kazne i upravne mjere i ostali prihodi</c:v>
                </c:pt>
                <c:pt idx="6">
                  <c:v>Prihodi od prodaje nefinancijske imovine</c:v>
                </c:pt>
                <c:pt idx="7">
                  <c:v>Primici od financijske imovine i zaduživanja</c:v>
                </c:pt>
              </c:strCache>
            </c:strRef>
          </c:cat>
          <c:val>
            <c:numRef>
              <c:f>'graf-prihodi2'!$B$4:$B$11</c:f>
              <c:numCache>
                <c:formatCode>#,##0</c:formatCode>
                <c:ptCount val="8"/>
                <c:pt idx="0">
                  <c:v>11370484</c:v>
                </c:pt>
                <c:pt idx="1">
                  <c:v>8343299</c:v>
                </c:pt>
                <c:pt idx="2">
                  <c:v>1581923</c:v>
                </c:pt>
                <c:pt idx="3">
                  <c:v>9347459</c:v>
                </c:pt>
                <c:pt idx="4">
                  <c:v>360000</c:v>
                </c:pt>
                <c:pt idx="5">
                  <c:v>35761</c:v>
                </c:pt>
                <c:pt idx="6">
                  <c:v>4518344</c:v>
                </c:pt>
                <c:pt idx="7">
                  <c:v>5031899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7-47E9-AF26-A52FECCA921E}"/>
            </c:ext>
          </c:extLst>
        </c:ser>
        <c:ser>
          <c:idx val="1"/>
          <c:order val="1"/>
          <c:tx>
            <c:v>plan 2021.</c:v>
          </c:tx>
          <c:invertIfNegative val="0"/>
          <c:cat>
            <c:strRef>
              <c:f>'graf-prihodi2'!$A$4:$A$11</c:f>
              <c:strCache>
                <c:ptCount val="8"/>
                <c:pt idx="0">
                  <c:v>Prihodi od poreza</c:v>
                </c:pt>
                <c:pt idx="1">
                  <c:v>Pomoći iz inozemstva i od subjekata 
unutar općeg proračuna</c:v>
                </c:pt>
                <c:pt idx="2">
                  <c:v>Prihodi od imovine</c:v>
                </c:pt>
                <c:pt idx="3">
                  <c:v>Prihodi od upr.i admin.prist.i prist.po pos.prop.</c:v>
                </c:pt>
                <c:pt idx="4">
                  <c:v>Prihodi od prodaje proizv. i roba te pruženih usl. i prihodi od donacija</c:v>
                </c:pt>
                <c:pt idx="5">
                  <c:v>Kazne i upravne mjere i ostali prihodi</c:v>
                </c:pt>
                <c:pt idx="6">
                  <c:v>Prihodi od prodaje nefinancijske imovine</c:v>
                </c:pt>
                <c:pt idx="7">
                  <c:v>Primici od financijske imovine i zaduživanja</c:v>
                </c:pt>
              </c:strCache>
            </c:strRef>
          </c:cat>
          <c:val>
            <c:numRef>
              <c:f>'graf-prihodi2'!$C$4:$C$11</c:f>
              <c:numCache>
                <c:formatCode>#,##0</c:formatCode>
                <c:ptCount val="8"/>
                <c:pt idx="0">
                  <c:v>12237189</c:v>
                </c:pt>
                <c:pt idx="1">
                  <c:v>7494892</c:v>
                </c:pt>
                <c:pt idx="2">
                  <c:v>1523230</c:v>
                </c:pt>
                <c:pt idx="3">
                  <c:v>10720377</c:v>
                </c:pt>
                <c:pt idx="4">
                  <c:v>268493</c:v>
                </c:pt>
                <c:pt idx="5">
                  <c:v>54511</c:v>
                </c:pt>
                <c:pt idx="6">
                  <c:v>6500000</c:v>
                </c:pt>
                <c:pt idx="7">
                  <c:v>2514605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7-47E9-AF26-A52FECCA921E}"/>
            </c:ext>
          </c:extLst>
        </c:ser>
        <c:ser>
          <c:idx val="2"/>
          <c:order val="2"/>
          <c:tx>
            <c:v>realizacija 2021.</c:v>
          </c:tx>
          <c:invertIfNegative val="0"/>
          <c:cat>
            <c:strRef>
              <c:f>'graf-prihodi2'!$A$4:$A$11</c:f>
              <c:strCache>
                <c:ptCount val="8"/>
                <c:pt idx="0">
                  <c:v>Prihodi od poreza</c:v>
                </c:pt>
                <c:pt idx="1">
                  <c:v>Pomoći iz inozemstva i od subjekata 
unutar općeg proračuna</c:v>
                </c:pt>
                <c:pt idx="2">
                  <c:v>Prihodi od imovine</c:v>
                </c:pt>
                <c:pt idx="3">
                  <c:v>Prihodi od upr.i admin.prist.i prist.po pos.prop.</c:v>
                </c:pt>
                <c:pt idx="4">
                  <c:v>Prihodi od prodaje proizv. i roba te pruženih usl. i prihodi od donacija</c:v>
                </c:pt>
                <c:pt idx="5">
                  <c:v>Kazne i upravne mjere i ostali prihodi</c:v>
                </c:pt>
                <c:pt idx="6">
                  <c:v>Prihodi od prodaje nefinancijske imovine</c:v>
                </c:pt>
                <c:pt idx="7">
                  <c:v>Primici od financijske imovine i zaduživanja</c:v>
                </c:pt>
              </c:strCache>
            </c:strRef>
          </c:cat>
          <c:val>
            <c:numRef>
              <c:f>'graf-prihodi2'!$D$4:$D$11</c:f>
              <c:numCache>
                <c:formatCode>#,##0</c:formatCode>
                <c:ptCount val="8"/>
                <c:pt idx="0">
                  <c:v>13338338</c:v>
                </c:pt>
                <c:pt idx="1">
                  <c:v>7513355</c:v>
                </c:pt>
                <c:pt idx="2">
                  <c:v>1472417</c:v>
                </c:pt>
                <c:pt idx="3">
                  <c:v>9376232</c:v>
                </c:pt>
                <c:pt idx="4">
                  <c:v>428777</c:v>
                </c:pt>
                <c:pt idx="5">
                  <c:v>45574</c:v>
                </c:pt>
                <c:pt idx="6">
                  <c:v>4580232</c:v>
                </c:pt>
                <c:pt idx="7">
                  <c:v>2514605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7-47E9-AF26-A52FECCA9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213167"/>
        <c:axId val="1"/>
      </c:barChart>
      <c:catAx>
        <c:axId val="2872131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8721316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0226779206555"/>
          <c:y val="0.23355931405435307"/>
          <c:w val="0.11746690836307327"/>
          <c:h val="0.28773913350517288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685519001148841"/>
          <c:y val="0.31887755102040816"/>
          <c:w val="0.28830673543301039"/>
          <c:h val="0.36479591836734693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7E8-4681-881F-0315D951613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7E8-4681-881F-0315D951613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7E8-4681-881F-0315D951613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7E8-4681-881F-0315D951613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7E8-4681-881F-0315D951613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7E8-4681-881F-0315D9516135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27E8-4681-881F-0315D9516135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E-27E8-4681-881F-0315D9516135}"/>
              </c:ext>
            </c:extLst>
          </c:dPt>
          <c:dLbls>
            <c:dLbl>
              <c:idx val="0"/>
              <c:layout>
                <c:manualLayout>
                  <c:x val="7.7534866965158669E-2"/>
                  <c:y val="5.182152230971125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E8-4681-881F-0315D9516135}"/>
                </c:ext>
              </c:extLst>
            </c:dLbl>
            <c:dLbl>
              <c:idx val="1"/>
              <c:layout>
                <c:manualLayout>
                  <c:x val="4.5078688693325E-2"/>
                  <c:y val="1.857376047172178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E8-4681-881F-0315D9516135}"/>
                </c:ext>
              </c:extLst>
            </c:dLbl>
            <c:dLbl>
              <c:idx val="2"/>
              <c:layout>
                <c:manualLayout>
                  <c:x val="0.21566692398744275"/>
                  <c:y val="8.677294790206019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E8-4681-881F-0315D9516135}"/>
                </c:ext>
              </c:extLst>
            </c:dLbl>
            <c:dLbl>
              <c:idx val="3"/>
              <c:layout>
                <c:manualLayout>
                  <c:x val="3.0129998456075249E-2"/>
                  <c:y val="0.1523808291086900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E8-4681-881F-0315D9516135}"/>
                </c:ext>
              </c:extLst>
            </c:dLbl>
            <c:dLbl>
              <c:idx val="4"/>
              <c:layout>
                <c:manualLayout>
                  <c:x val="-7.0522567032062194E-2"/>
                  <c:y val="9.615446014453672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E8-4681-881F-0315D9516135}"/>
                </c:ext>
              </c:extLst>
            </c:dLbl>
            <c:dLbl>
              <c:idx val="5"/>
              <c:layout>
                <c:manualLayout>
                  <c:x val="-0.13211075086202459"/>
                  <c:y val="-4.0538453241290046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E8-4681-881F-0315D9516135}"/>
                </c:ext>
              </c:extLst>
            </c:dLbl>
            <c:dLbl>
              <c:idx val="6"/>
              <c:layout>
                <c:manualLayout>
                  <c:x val="-0.13254490247542586"/>
                  <c:y val="-0.1575556754035883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7E8-4681-881F-0315D9516135}"/>
                </c:ext>
              </c:extLst>
            </c:dLbl>
            <c:dLbl>
              <c:idx val="7"/>
              <c:layout>
                <c:manualLayout>
                  <c:x val="-3.7674849467345992E-2"/>
                  <c:y val="-0.1187821522309711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7E8-4681-881F-0315D9516135}"/>
                </c:ext>
              </c:extLst>
            </c:dLbl>
            <c:dLbl>
              <c:idx val="8"/>
              <c:layout>
                <c:manualLayout>
                  <c:x val="7.5470536771138907E-2"/>
                  <c:y val="-8.153597238701326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7E8-4681-881F-0315D9516135}"/>
                </c:ext>
              </c:extLst>
            </c:dLbl>
            <c:dLbl>
              <c:idx val="9"/>
              <c:layout>
                <c:manualLayout>
                  <c:x val="0.19772500211667091"/>
                  <c:y val="-1.079249022443624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7E8-4681-881F-0315D9516135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'graf-rashodi'!$B$6:$B$14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
općeg proračuna</c:v>
                </c:pt>
                <c:pt idx="5">
                  <c:v>Naknade građanima i kućanstvima</c:v>
                </c:pt>
                <c:pt idx="6">
                  <c:v>Ostali rashodi (donacije)</c:v>
                </c:pt>
                <c:pt idx="7">
                  <c:v>Rashodi za nabavu nefinancijske imovine</c:v>
                </c:pt>
                <c:pt idx="8">
                  <c:v>Izdaci za financijsku imovinu i otplate kredita</c:v>
                </c:pt>
              </c:strCache>
            </c:strRef>
          </c:cat>
          <c:val>
            <c:numRef>
              <c:f>'graf-rashodi'!$C$6:$C$14</c:f>
              <c:numCache>
                <c:formatCode>_-* #,##0.00\ _k_n_-;\-* #,##0.00\ _k_n_-;_-* "-"??\ _k_n_-;_-@_-</c:formatCode>
                <c:ptCount val="9"/>
                <c:pt idx="0">
                  <c:v>22.23</c:v>
                </c:pt>
                <c:pt idx="1">
                  <c:v>31.47</c:v>
                </c:pt>
                <c:pt idx="2">
                  <c:v>0.37</c:v>
                </c:pt>
                <c:pt idx="3">
                  <c:v>0.03</c:v>
                </c:pt>
                <c:pt idx="4">
                  <c:v>8.06</c:v>
                </c:pt>
                <c:pt idx="5">
                  <c:v>1.49</c:v>
                </c:pt>
                <c:pt idx="6">
                  <c:v>5.05</c:v>
                </c:pt>
                <c:pt idx="7">
                  <c:v>25.56</c:v>
                </c:pt>
                <c:pt idx="8">
                  <c:v>5.74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7E8-4681-881F-0315D9516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realizacija 2020.</c:v>
          </c:tx>
          <c:invertIfNegative val="0"/>
          <c:cat>
            <c:strRef>
              <c:f>'graf-rashodi 2'!$A$3:$A$11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inoz.i unutar opće drž.</c:v>
                </c:pt>
                <c:pt idx="5">
                  <c:v>Naknade građanima i kućanstvima</c:v>
                </c:pt>
                <c:pt idx="6">
                  <c:v>Ostali rashodi </c:v>
                </c:pt>
                <c:pt idx="7">
                  <c:v>Rashodi za nabavu nefinancijske imovine</c:v>
                </c:pt>
                <c:pt idx="8">
                  <c:v>Izdaci za financijsku imovinu</c:v>
                </c:pt>
              </c:strCache>
            </c:strRef>
          </c:cat>
          <c:val>
            <c:numRef>
              <c:f>'graf-rashodi 2'!$B$3:$B$11</c:f>
              <c:numCache>
                <c:formatCode>#,##0</c:formatCode>
                <c:ptCount val="9"/>
                <c:pt idx="0">
                  <c:v>8059363</c:v>
                </c:pt>
                <c:pt idx="1">
                  <c:v>10476170</c:v>
                </c:pt>
                <c:pt idx="2">
                  <c:v>135108</c:v>
                </c:pt>
                <c:pt idx="3">
                  <c:v>109</c:v>
                </c:pt>
                <c:pt idx="4">
                  <c:v>2945939</c:v>
                </c:pt>
                <c:pt idx="5">
                  <c:v>480720</c:v>
                </c:pt>
                <c:pt idx="6">
                  <c:v>1493919</c:v>
                </c:pt>
                <c:pt idx="7">
                  <c:v>14238309</c:v>
                </c:pt>
                <c:pt idx="8">
                  <c:v>3814804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E-4990-95E2-624643ADAD32}"/>
            </c:ext>
          </c:extLst>
        </c:ser>
        <c:ser>
          <c:idx val="1"/>
          <c:order val="1"/>
          <c:tx>
            <c:v>plan 2021.</c:v>
          </c:tx>
          <c:invertIfNegative val="0"/>
          <c:cat>
            <c:strRef>
              <c:f>'graf-rashodi 2'!$A$3:$A$11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inoz.i unutar opće drž.</c:v>
                </c:pt>
                <c:pt idx="5">
                  <c:v>Naknade građanima i kućanstvima</c:v>
                </c:pt>
                <c:pt idx="6">
                  <c:v>Ostali rashodi </c:v>
                </c:pt>
                <c:pt idx="7">
                  <c:v>Rashodi za nabavu nefinancijske imovine</c:v>
                </c:pt>
                <c:pt idx="8">
                  <c:v>Izdaci za financijsku imovinu</c:v>
                </c:pt>
              </c:strCache>
            </c:strRef>
          </c:cat>
          <c:val>
            <c:numRef>
              <c:f>'graf-rashodi 2'!$C$3:$C$11</c:f>
              <c:numCache>
                <c:formatCode>#,##0</c:formatCode>
                <c:ptCount val="9"/>
                <c:pt idx="0">
                  <c:v>9001747</c:v>
                </c:pt>
                <c:pt idx="1">
                  <c:v>13081462</c:v>
                </c:pt>
                <c:pt idx="2">
                  <c:v>163766</c:v>
                </c:pt>
                <c:pt idx="3">
                  <c:v>530000</c:v>
                </c:pt>
                <c:pt idx="4">
                  <c:v>3422286</c:v>
                </c:pt>
                <c:pt idx="5">
                  <c:v>739300</c:v>
                </c:pt>
                <c:pt idx="6">
                  <c:v>2263657</c:v>
                </c:pt>
                <c:pt idx="7">
                  <c:v>9268384</c:v>
                </c:pt>
                <c:pt idx="8">
                  <c:v>2225142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E-4990-95E2-624643ADAD32}"/>
            </c:ext>
          </c:extLst>
        </c:ser>
        <c:ser>
          <c:idx val="2"/>
          <c:order val="2"/>
          <c:tx>
            <c:v>realizacija 2021.</c:v>
          </c:tx>
          <c:invertIfNegative val="0"/>
          <c:cat>
            <c:strRef>
              <c:f>'graf-rashodi 2'!$A$3:$A$11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inoz.i unutar opće drž.</c:v>
                </c:pt>
                <c:pt idx="5">
                  <c:v>Naknade građanima i kućanstvima</c:v>
                </c:pt>
                <c:pt idx="6">
                  <c:v>Ostali rashodi </c:v>
                </c:pt>
                <c:pt idx="7">
                  <c:v>Rashodi za nabavu nefinancijske imovine</c:v>
                </c:pt>
                <c:pt idx="8">
                  <c:v>Izdaci za financijsku imovinu</c:v>
                </c:pt>
              </c:strCache>
            </c:strRef>
          </c:cat>
          <c:val>
            <c:numRef>
              <c:f>'graf-rashodi 2'!$D$3:$D$11</c:f>
              <c:numCache>
                <c:formatCode>#,##0</c:formatCode>
                <c:ptCount val="9"/>
                <c:pt idx="0">
                  <c:v>8468839</c:v>
                </c:pt>
                <c:pt idx="1">
                  <c:v>11991377</c:v>
                </c:pt>
                <c:pt idx="2">
                  <c:v>140025</c:v>
                </c:pt>
                <c:pt idx="3">
                  <c:v>12762</c:v>
                </c:pt>
                <c:pt idx="4">
                  <c:v>3070658</c:v>
                </c:pt>
                <c:pt idx="5">
                  <c:v>567417</c:v>
                </c:pt>
                <c:pt idx="6">
                  <c:v>1924062</c:v>
                </c:pt>
                <c:pt idx="7">
                  <c:v>9739905</c:v>
                </c:pt>
                <c:pt idx="8">
                  <c:v>2186397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E-4990-95E2-624643ADA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204847"/>
        <c:axId val="1"/>
      </c:barChart>
      <c:catAx>
        <c:axId val="2872048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8720484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31579146131903"/>
          <c:y val="0.31064476199734292"/>
          <c:w val="0.1154030476406277"/>
          <c:h val="0.36832092284760698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8E8C-DEBE-4FFC-816E-BE10E27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42857</Words>
  <Characters>244290</Characters>
  <Application>Microsoft Office Word</Application>
  <DocSecurity>0</DocSecurity>
  <Lines>2035</Lines>
  <Paragraphs>573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>OBRAZLOŽENJE</vt:lpstr>
    </vt:vector>
  </TitlesOfParts>
  <Company/>
  <LinksUpToDate>false</LinksUpToDate>
  <CharactersWithSpaces>286574</CharactersWithSpaces>
  <SharedDoc>false</SharedDoc>
  <HLinks>
    <vt:vector size="132" baseType="variant"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_Toc79578562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_Toc79578561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_Toc79578560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_Toc79578559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_Toc79578558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_Toc79578557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_Toc79578556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_Toc79578555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_Toc79578554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_Toc79578553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_Toc79578552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_Toc79578551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_Toc79578550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_Toc79578549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_Toc79578548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_Toc79578547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_Toc79578546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_Toc79578545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_Toc79578544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_Toc79578543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_Toc79578542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_Toc79578541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Loreta</dc:creator>
  <cp:keywords/>
  <cp:lastModifiedBy>Korisnik</cp:lastModifiedBy>
  <cp:revision>3</cp:revision>
  <cp:lastPrinted>2022-04-13T13:45:00Z</cp:lastPrinted>
  <dcterms:created xsi:type="dcterms:W3CDTF">2022-04-28T10:59:00Z</dcterms:created>
  <dcterms:modified xsi:type="dcterms:W3CDTF">2022-04-28T10:59:00Z</dcterms:modified>
</cp:coreProperties>
</file>