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PRIJEDLOG</w:t>
      </w:r>
    </w:p>
    <w:p>
      <w:pPr>
        <w:pStyle w:val="Normal"/>
        <w:jc w:val="both"/>
        <w:rPr/>
      </w:pPr>
      <w:r>
        <w:rPr/>
        <w:t>Na temelju članka 30. stavka 7. Zakona o održivom gospodarenju otpadom (Narodne novine br. 94/13, 73/17, 14/19 i 98/19), članka 4. Uredbe o gospodarenju komunalnim otpadom (Narodne novine br. 50/17 i 84/19) i članka 50. i 90. Statuta Grada Buja-</w:t>
      </w:r>
      <w:r>
        <w:rPr/>
        <w:t>Buie</w:t>
      </w:r>
      <w:r>
        <w:rPr/>
        <w:t xml:space="preserve"> (Službene novine Grada Buja br. 11/09, 5/11, 11/11, 03/13), Gradsko vijeće Grada Buja-</w:t>
      </w:r>
      <w:r>
        <w:rPr/>
        <w:t>Buie</w:t>
      </w:r>
      <w:r>
        <w:rPr/>
        <w:t xml:space="preserve"> na sjednici održanoj dana …………</w:t>
      </w:r>
      <w:r>
        <w:rPr/>
        <w:t>2019</w:t>
      </w:r>
      <w:r>
        <w:rPr/>
        <w:t xml:space="preserve"> godine, donosi</w:t>
      </w:r>
    </w:p>
    <w:p>
      <w:pPr>
        <w:pStyle w:val="Normal"/>
        <w:jc w:val="both"/>
        <w:rPr>
          <w:rFonts w:ascii="Times New Roman" w:hAnsi="Times New Roman"/>
          <w:b/>
          <w:b/>
          <w:sz w:val="24"/>
          <w:szCs w:val="24"/>
        </w:rPr>
      </w:pPr>
      <w:r>
        <w:rPr>
          <w:rFonts w:ascii="Times New Roman" w:hAnsi="Times New Roman"/>
          <w:b/>
          <w:sz w:val="24"/>
          <w:szCs w:val="24"/>
        </w:rPr>
      </w:r>
    </w:p>
    <w:p>
      <w:pPr>
        <w:pStyle w:val="Normal"/>
        <w:jc w:val="center"/>
        <w:rPr>
          <w:b/>
          <w:b/>
        </w:rPr>
      </w:pPr>
      <w:r>
        <w:rPr>
          <w:b/>
        </w:rPr>
        <w:t>O D L U K U</w:t>
      </w:r>
    </w:p>
    <w:p>
      <w:pPr>
        <w:pStyle w:val="Normal"/>
        <w:jc w:val="center"/>
        <w:rPr/>
      </w:pPr>
      <w:r>
        <w:rPr>
          <w:b/>
        </w:rPr>
        <w:t>o izmjeni i dopuni Odluke o načinu pružanja javne usluge prikupljanja miješanog komunalnog i biorazgradivog komunalnog otpada na području Grada Buja-</w:t>
      </w:r>
      <w:r>
        <w:rPr>
          <w:b/>
        </w:rPr>
        <w:t>Buie</w:t>
      </w:r>
    </w:p>
    <w:p>
      <w:pPr>
        <w:pStyle w:val="Normal"/>
        <w:jc w:val="center"/>
        <w:rPr>
          <w:rFonts w:ascii="Times New Roman" w:hAnsi="Times New Roman"/>
          <w:b/>
          <w:b/>
          <w:sz w:val="24"/>
          <w:szCs w:val="24"/>
        </w:rPr>
      </w:pPr>
      <w:r>
        <w:rPr>
          <w:rFonts w:ascii="Times New Roman" w:hAnsi="Times New Roman"/>
          <w:b/>
          <w:sz w:val="24"/>
          <w:szCs w:val="24"/>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prikupljanja miješanog komunalnog i biorazgradivog komunalnog otpada na području Grada Buja-</w:t>
      </w:r>
      <w:r>
        <w:rPr>
          <w:rFonts w:cs="Calibri" w:cstheme="minorHAnsi"/>
        </w:rPr>
        <w:t>Buie</w:t>
      </w:r>
      <w:r>
        <w:rPr>
          <w:rFonts w:cs="Calibri" w:cstheme="minorHAnsi"/>
        </w:rPr>
        <w:t xml:space="preserve"> (Službene novine Grada Buja-</w:t>
      </w:r>
      <w:r>
        <w:rPr>
          <w:rFonts w:cs="Calibri" w:cstheme="minorHAnsi"/>
        </w:rPr>
        <w:t>Buie</w:t>
      </w:r>
      <w:r>
        <w:rPr>
          <w:rFonts w:cs="Calibri" w:cstheme="minorHAnsi"/>
        </w:rPr>
        <w:t xml:space="preserve"> br. 03/18) (u daljnjem tekstu: </w:t>
      </w:r>
      <w:bookmarkStart w:id="0" w:name="_GoBack"/>
      <w:bookmarkEnd w:id="0"/>
      <w:r>
        <w:rPr>
          <w:rFonts w:cs="Calibri" w:cstheme="minorHAnsi"/>
        </w:rPr>
        <w:t>''U odluci o načinu pružanja javne usluge '')  članak 7. mijenja se i glasi:</w:t>
      </w:r>
    </w:p>
    <w:p>
      <w:pPr>
        <w:pStyle w:val="Normal"/>
        <w:numPr>
          <w:ilvl w:val="0"/>
          <w:numId w:val="3"/>
        </w:numPr>
        <w:spacing w:lineRule="auto" w:line="300"/>
        <w:jc w:val="both"/>
        <w:rPr>
          <w:i/>
          <w:i/>
        </w:rPr>
      </w:pPr>
      <w:r>
        <w:rPr>
          <w:i/>
        </w:rPr>
        <w:t>Komunalni otpad prikuplja se u standardnim tipiziranim spremnicima za komunalni otpad (u daljnjem tekstu: spremnici).</w:t>
      </w:r>
    </w:p>
    <w:p>
      <w:pPr>
        <w:pStyle w:val="Normal"/>
        <w:numPr>
          <w:ilvl w:val="0"/>
          <w:numId w:val="3"/>
        </w:numPr>
        <w:spacing w:lineRule="auto" w:line="300"/>
        <w:jc w:val="both"/>
        <w:rPr>
          <w:i/>
          <w:i/>
        </w:rPr>
      </w:pPr>
      <w:r>
        <w:rPr>
          <w:i/>
        </w:rPr>
        <w:t xml:space="preserve">Spremnici za komunalni otpad mogu biti izrađeni od plastične mase ili metala i moraju biti tamnozelene boje. </w:t>
      </w:r>
    </w:p>
    <w:p>
      <w:pPr>
        <w:pStyle w:val="Normal"/>
        <w:numPr>
          <w:ilvl w:val="0"/>
          <w:numId w:val="3"/>
        </w:numPr>
        <w:spacing w:lineRule="auto" w:line="300"/>
        <w:jc w:val="both"/>
        <w:rPr>
          <w:i/>
          <w:i/>
        </w:rPr>
      </w:pPr>
      <w:r>
        <w:rPr>
          <w:i/>
        </w:rPr>
        <w:t xml:space="preserve">Spremnici za ostale pojedine kategorije otpada moraju biti drukčije boje kako bi se razlikovali od spremnika iste veličine, a druge namjene. U slučaju da su spremnici iste boje, poklopac spremnika mora biti obojan drugom bojom ili moraju biti oblijepljeni naljepnicom koja označava vrstu otpada. </w:t>
      </w:r>
    </w:p>
    <w:p>
      <w:pPr>
        <w:pStyle w:val="Normal"/>
        <w:numPr>
          <w:ilvl w:val="0"/>
          <w:numId w:val="4"/>
        </w:numPr>
        <w:spacing w:lineRule="auto" w:line="300"/>
        <w:jc w:val="both"/>
        <w:rPr>
          <w:i/>
          <w:i/>
        </w:rPr>
      </w:pPr>
      <w:r>
        <w:rPr>
          <w:i/>
        </w:rPr>
        <w:t>Ovom odlukom određuje se:</w:t>
      </w:r>
    </w:p>
    <w:p>
      <w:pPr>
        <w:pStyle w:val="Normal"/>
        <w:numPr>
          <w:ilvl w:val="1"/>
          <w:numId w:val="4"/>
        </w:numPr>
        <w:spacing w:lineRule="auto" w:line="300"/>
        <w:jc w:val="both"/>
        <w:rPr>
          <w:i/>
          <w:i/>
        </w:rPr>
      </w:pPr>
      <w:r>
        <w:rPr>
          <w:i/>
        </w:rPr>
        <w:t xml:space="preserve">Spremnici za miješani komunalni otpad moraju biti obojani zelenom bojom (zelena RAL 6011 ili jednakovrijedno ). </w:t>
      </w:r>
    </w:p>
    <w:p>
      <w:pPr>
        <w:pStyle w:val="Normal"/>
        <w:numPr>
          <w:ilvl w:val="1"/>
          <w:numId w:val="4"/>
        </w:numPr>
        <w:spacing w:lineRule="auto" w:line="300"/>
        <w:jc w:val="both"/>
        <w:rPr>
          <w:rFonts w:ascii="Arial" w:hAnsi="Arial" w:cs="Arial"/>
          <w:i/>
          <w:i/>
          <w:sz w:val="21"/>
          <w:szCs w:val="21"/>
          <w:highlight w:val="white"/>
        </w:rPr>
      </w:pPr>
      <w:r>
        <w:rPr>
          <w:i/>
        </w:rPr>
        <w:t>Spremnici za biorazgradivi komunalni otpad prilikom uvođenja moraju biti obojani smeđom bojom (smeđa RAL 8024 ili jednakovrijedno).</w:t>
      </w:r>
    </w:p>
    <w:p>
      <w:pPr>
        <w:pStyle w:val="Normal"/>
        <w:numPr>
          <w:ilvl w:val="1"/>
          <w:numId w:val="4"/>
        </w:numPr>
        <w:spacing w:lineRule="auto" w:line="300"/>
        <w:jc w:val="both"/>
        <w:rPr>
          <w:i/>
          <w:i/>
        </w:rPr>
      </w:pPr>
      <w:r>
        <w:rPr>
          <w:i/>
        </w:rPr>
        <w:t xml:space="preserve">Spremnici ili poklopci spremnika za papir i karton moraju biti obojani plavom bojom (plava RAL 5005 ili jednakovrijedno). </w:t>
      </w:r>
    </w:p>
    <w:p>
      <w:pPr>
        <w:pStyle w:val="Normal"/>
        <w:numPr>
          <w:ilvl w:val="1"/>
          <w:numId w:val="4"/>
        </w:numPr>
        <w:spacing w:lineRule="auto" w:line="300"/>
        <w:jc w:val="both"/>
        <w:rPr>
          <w:i/>
          <w:i/>
        </w:rPr>
      </w:pPr>
      <w:r>
        <w:rPr>
          <w:i/>
        </w:rPr>
        <w:t xml:space="preserve">Spremnici ili poklopci spremnika za plastičnu i metalnu ambalažu moraju biti obojani žutom bojom (žuta RAL 1018 ili jednakovrijedno). </w:t>
      </w:r>
    </w:p>
    <w:p>
      <w:pPr>
        <w:pStyle w:val="Normal"/>
        <w:numPr>
          <w:ilvl w:val="1"/>
          <w:numId w:val="4"/>
        </w:numPr>
        <w:spacing w:lineRule="auto" w:line="300"/>
        <w:jc w:val="both"/>
        <w:rPr>
          <w:i/>
          <w:i/>
        </w:rPr>
      </w:pPr>
      <w:r>
        <w:rPr>
          <w:i/>
        </w:rPr>
        <w:t xml:space="preserve">Spremnici ili poklopci spremnika za staklenu ambalažu moraju biti obojani svijetlo zelenom bojom (zelena RAL 6024 ili jednakovrijedno). </w:t>
      </w:r>
    </w:p>
    <w:p>
      <w:pPr>
        <w:pStyle w:val="Normal"/>
        <w:numPr>
          <w:ilvl w:val="0"/>
          <w:numId w:val="4"/>
        </w:numPr>
        <w:spacing w:lineRule="auto" w:line="300"/>
        <w:jc w:val="both"/>
        <w:rPr>
          <w:i/>
          <w:i/>
        </w:rPr>
      </w:pPr>
      <w:r>
        <w:rPr>
          <w:i/>
        </w:rPr>
        <w:t>Standardni tipizirani spremnici u smislu ove odluke su spremnici koji moraju omogućiti pražnjenje komunalnim vozilima sa sustavima za podizanje spremnika.</w:t>
      </w:r>
    </w:p>
    <w:p>
      <w:pPr>
        <w:pStyle w:val="Normal"/>
        <w:numPr>
          <w:ilvl w:val="0"/>
          <w:numId w:val="4"/>
        </w:numPr>
        <w:spacing w:lineRule="auto" w:line="300"/>
        <w:jc w:val="both"/>
        <w:rPr>
          <w:i/>
          <w:i/>
        </w:rPr>
      </w:pPr>
      <w:r>
        <w:rPr>
          <w:i/>
        </w:rPr>
        <w:t xml:space="preserve">Spremnici u smislu ove Odluke podrazumijevaju i podzemne ili polu-podzemne spremnike za prikupljanje otpada u slučaju da davatelj usluge navedene primijeni u sklopu organizacije sustava gospodarenja otpadom. </w:t>
      </w:r>
    </w:p>
    <w:p>
      <w:pPr>
        <w:pStyle w:val="Normal"/>
        <w:numPr>
          <w:ilvl w:val="0"/>
          <w:numId w:val="4"/>
        </w:numPr>
        <w:spacing w:lineRule="auto" w:line="300"/>
        <w:jc w:val="both"/>
        <w:rPr>
          <w:i/>
          <w:i/>
        </w:rPr>
      </w:pPr>
      <w:r>
        <w:rPr>
          <w:i/>
        </w:rPr>
        <w:t xml:space="preserve">Svi spremnici za prikupljanje otpada moraju imati na sebi naziv otpada za koji su namijenjeni, oznaku davatelja usluge te spremnici za komunalni otpad moraju također sadržavati i oznaku koja je u Evidenciji o preuzetom komunalnom otpadu pridružena korisniku usluge i obračunskom mjestu . </w:t>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8. mijenja se i glasi:</w:t>
      </w:r>
    </w:p>
    <w:p>
      <w:pPr>
        <w:pStyle w:val="Normal"/>
        <w:numPr>
          <w:ilvl w:val="0"/>
          <w:numId w:val="5"/>
        </w:numPr>
        <w:spacing w:lineRule="auto" w:line="300"/>
        <w:jc w:val="both"/>
        <w:rPr>
          <w:i/>
          <w:i/>
        </w:rPr>
      </w:pPr>
      <w:r>
        <w:rPr>
          <w:i/>
        </w:rPr>
        <w:t>Za prikupljanje komunalnog otpada davatelj usluge osigurava korisnicima spremnike sljedećih standardnih veličina:</w:t>
      </w:r>
    </w:p>
    <w:p>
      <w:pPr>
        <w:pStyle w:val="Normal"/>
        <w:numPr>
          <w:ilvl w:val="1"/>
          <w:numId w:val="5"/>
        </w:numPr>
        <w:spacing w:lineRule="auto" w:line="300"/>
        <w:rPr>
          <w:i/>
          <w:i/>
        </w:rPr>
      </w:pPr>
      <w:r>
        <w:rPr>
          <w:i/>
        </w:rPr>
        <w:t>spremnik volumena 80 litara</w:t>
      </w:r>
    </w:p>
    <w:p>
      <w:pPr>
        <w:pStyle w:val="Normal"/>
        <w:numPr>
          <w:ilvl w:val="1"/>
          <w:numId w:val="5"/>
        </w:numPr>
        <w:spacing w:lineRule="auto" w:line="300"/>
        <w:rPr>
          <w:i/>
          <w:i/>
        </w:rPr>
      </w:pPr>
      <w:r>
        <w:rPr>
          <w:i/>
        </w:rPr>
        <w:t>spremnik volumena 120 litara</w:t>
      </w:r>
    </w:p>
    <w:p>
      <w:pPr>
        <w:pStyle w:val="Normal"/>
        <w:numPr>
          <w:ilvl w:val="1"/>
          <w:numId w:val="5"/>
        </w:numPr>
        <w:spacing w:lineRule="auto" w:line="300"/>
        <w:rPr>
          <w:i/>
          <w:i/>
        </w:rPr>
      </w:pPr>
      <w:r>
        <w:rPr>
          <w:i/>
        </w:rPr>
        <w:t>spremnik volumena 240 litara</w:t>
      </w:r>
    </w:p>
    <w:p>
      <w:pPr>
        <w:pStyle w:val="Normal"/>
        <w:numPr>
          <w:ilvl w:val="1"/>
          <w:numId w:val="5"/>
        </w:numPr>
        <w:spacing w:lineRule="auto" w:line="300"/>
        <w:rPr>
          <w:i/>
          <w:i/>
        </w:rPr>
      </w:pPr>
      <w:r>
        <w:rPr>
          <w:i/>
        </w:rPr>
        <w:t>spremnik volumena 360 litara</w:t>
      </w:r>
    </w:p>
    <w:p>
      <w:pPr>
        <w:pStyle w:val="Normal"/>
        <w:numPr>
          <w:ilvl w:val="1"/>
          <w:numId w:val="5"/>
        </w:numPr>
        <w:spacing w:lineRule="auto" w:line="300"/>
        <w:rPr>
          <w:i/>
          <w:i/>
        </w:rPr>
      </w:pPr>
      <w:r>
        <w:rPr>
          <w:i/>
        </w:rPr>
        <w:t>spremnik volumena 660 litara</w:t>
      </w:r>
    </w:p>
    <w:p>
      <w:pPr>
        <w:pStyle w:val="Normal"/>
        <w:numPr>
          <w:ilvl w:val="1"/>
          <w:numId w:val="5"/>
        </w:numPr>
        <w:spacing w:lineRule="auto" w:line="300"/>
        <w:rPr>
          <w:i/>
          <w:i/>
        </w:rPr>
      </w:pPr>
      <w:r>
        <w:rPr>
          <w:i/>
        </w:rPr>
        <w:t>spremnik volumena 770 litara</w:t>
      </w:r>
    </w:p>
    <w:p>
      <w:pPr>
        <w:pStyle w:val="Normal"/>
        <w:numPr>
          <w:ilvl w:val="1"/>
          <w:numId w:val="5"/>
        </w:numPr>
        <w:spacing w:lineRule="auto" w:line="300"/>
        <w:rPr>
          <w:i/>
          <w:i/>
        </w:rPr>
      </w:pPr>
      <w:r>
        <w:rPr>
          <w:i/>
        </w:rPr>
        <w:t xml:space="preserve">spremnik volumena 1100 litara. </w:t>
      </w:r>
    </w:p>
    <w:p>
      <w:pPr>
        <w:pStyle w:val="Normal"/>
        <w:numPr>
          <w:ilvl w:val="0"/>
          <w:numId w:val="5"/>
        </w:numPr>
        <w:spacing w:lineRule="auto" w:line="300"/>
        <w:jc w:val="both"/>
        <w:rPr>
          <w:i/>
          <w:i/>
        </w:rPr>
      </w:pPr>
      <w:r>
        <w:rPr>
          <w:i/>
        </w:rPr>
        <w:t xml:space="preserve">U posebnim dijelovima grada, a naročito u starogradskoj jezgri, moguća je primjena drukčijih vrsta spremnika i/ili drukčijeg sustava prikupljanja otpada prilagođenog odabranom modelu prikupljanja otpada na tom području uvažavajući mogućnosti, tehničke okolnosti i ograničenja tih dijelova grada. </w:t>
      </w:r>
    </w:p>
    <w:p>
      <w:pPr>
        <w:pStyle w:val="Normal"/>
        <w:numPr>
          <w:ilvl w:val="0"/>
          <w:numId w:val="6"/>
        </w:numPr>
        <w:spacing w:lineRule="auto" w:line="300"/>
        <w:jc w:val="both"/>
        <w:rPr>
          <w:i/>
          <w:i/>
        </w:rPr>
      </w:pPr>
      <w:r>
        <w:rPr>
          <w:i/>
        </w:rPr>
        <w:t>Davatelj usluge omogućuje korisnicima usluge odabir jednog od spremnika iz stavka 1. ovog članka u skladu s njihovim realnim potrebama, koje se utvrđuju Izjavom.</w:t>
      </w:r>
    </w:p>
    <w:p>
      <w:pPr>
        <w:pStyle w:val="Normal"/>
        <w:numPr>
          <w:ilvl w:val="0"/>
          <w:numId w:val="6"/>
        </w:numPr>
        <w:spacing w:lineRule="auto" w:line="300"/>
        <w:jc w:val="both"/>
        <w:rPr>
          <w:i/>
          <w:i/>
        </w:rPr>
      </w:pPr>
      <w:r>
        <w:rPr>
          <w:i/>
        </w:rPr>
        <w:t xml:space="preserve">Korisnici usluga, iz kategorije kućanstva i koji koriste zajednički spremnik imaju mogućnost odabira volumena u zajedničkom spremniku za miješani komunalni otpad u skladu s njihovim realnim potrebama, koje se utvrđuju Izjavom. Minimalni propisani volumen spremnika iznosi 80 l. </w:t>
      </w:r>
    </w:p>
    <w:p>
      <w:pPr>
        <w:pStyle w:val="Normal"/>
        <w:numPr>
          <w:ilvl w:val="0"/>
          <w:numId w:val="6"/>
        </w:numPr>
        <w:spacing w:lineRule="auto" w:line="300"/>
        <w:jc w:val="both"/>
        <w:rPr>
          <w:i/>
          <w:i/>
        </w:rPr>
      </w:pPr>
      <w:r>
        <w:rPr>
          <w:i/>
        </w:rPr>
        <w:t xml:space="preserve">Primjereni volumen spremnika za miješani komunalni otpad, kod korisnika usluga koji nisu kućanstva, davatelj usluge će predložiti temeljem dosadašnje razine usluge, za koju je korisnik imao obvezu plaćanja, te isti navesti u Izjavi koju dostavlja prema korisnicima usluga. </w:t>
      </w:r>
    </w:p>
    <w:p>
      <w:pPr>
        <w:pStyle w:val="Normal"/>
        <w:numPr>
          <w:ilvl w:val="0"/>
          <w:numId w:val="6"/>
        </w:numPr>
        <w:spacing w:lineRule="auto" w:line="300"/>
        <w:jc w:val="both"/>
        <w:rPr>
          <w:i/>
          <w:i/>
        </w:rPr>
      </w:pPr>
      <w:r>
        <w:rPr>
          <w:i/>
        </w:rPr>
        <w:t xml:space="preserve">Novim korisnicima, kategorija kućanstva i korisnicima koji nisu kućanstva, davatelj usluge će predložiti primjereni volumen spremnika temeljem uvida na terenu, uzimajući pri tome u obzir proizvedene količine otpada u istim ili sličnim korisnicima na području pružanja usluge, te isti predložiti u Izjavi koju dostavlja prema korisnicima usluga. </w:t>
      </w:r>
    </w:p>
    <w:p>
      <w:pPr>
        <w:pStyle w:val="Normal"/>
        <w:numPr>
          <w:ilvl w:val="0"/>
          <w:numId w:val="7"/>
        </w:numPr>
        <w:spacing w:lineRule="auto" w:line="300"/>
        <w:jc w:val="both"/>
        <w:rPr>
          <w:i/>
          <w:i/>
        </w:rPr>
      </w:pPr>
      <w:r>
        <w:rPr>
          <w:i/>
        </w:rPr>
        <w:t xml:space="preserve">Ovisno o količini otpada korisnik usluga koji nije kućanstvo mogu u suglasnosti sa davateljem usluge dogovoriti i primjenu posebnih spremnika za prikupljanje otpada osim spremnika iz stavka 1. ovog članka u njihovim, ograđenim prostorima. Preuzimanje otpada iz tih spremnika je predmet posebnog ugovora kojeg zaključuju davatelj usluge i gospodarski subjekt. </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9., stavak 6 mijenja se i glasi:</w:t>
      </w:r>
    </w:p>
    <w:p>
      <w:pPr>
        <w:pStyle w:val="Normal"/>
        <w:numPr>
          <w:ilvl w:val="0"/>
          <w:numId w:val="8"/>
        </w:numPr>
        <w:spacing w:lineRule="auto" w:line="300"/>
        <w:jc w:val="both"/>
        <w:rPr>
          <w:i/>
          <w:i/>
        </w:rPr>
      </w:pPr>
      <w:r>
        <w:rPr>
          <w:i/>
        </w:rPr>
        <w:t xml:space="preserve">Davatelj usluga osigurat će, u skladu s mogućnostima, i zasebne spremnike za odvojeno prikupljanje papira i kartona, te za ostale kategorije reciklabilnog komunalnog otpada iz stavka 1. ovog članka, koje će ustupiti korisnicima iz kategorije kućanstva u onim dijelovima naselja gdje uvjeti primjene to omogućuju. </w:t>
      </w:r>
    </w:p>
    <w:p>
      <w:pPr>
        <w:pStyle w:val="Normal"/>
        <w:rPr/>
      </w:pPr>
      <w:r>
        <w:rPr/>
      </w:r>
    </w:p>
    <w:p>
      <w:pPr>
        <w:pStyle w:val="Normal"/>
        <w:rPr/>
      </w:pPr>
      <w:r>
        <w:rPr/>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14., stavak 1.b mijenja se i glasi:</w:t>
      </w:r>
    </w:p>
    <w:p>
      <w:pPr>
        <w:pStyle w:val="Normal"/>
        <w:numPr>
          <w:ilvl w:val="0"/>
          <w:numId w:val="9"/>
        </w:numPr>
        <w:spacing w:lineRule="auto" w:line="300"/>
        <w:jc w:val="both"/>
        <w:rPr>
          <w:i/>
          <w:i/>
        </w:rPr>
      </w:pPr>
      <w:r>
        <w:rPr>
          <w:i/>
        </w:rPr>
        <w:t xml:space="preserve">b. Za korisnike usluga iz kategorije korisnik koji nije kućanstvo obračunsko razdoblje je jedan mjesec, što predstavlja dvanaest obračunskih razdoblja kroz kalendarsku godinu. </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17., mijenja se i glasi:</w:t>
      </w:r>
    </w:p>
    <w:p>
      <w:pPr>
        <w:pStyle w:val="Normal"/>
        <w:numPr>
          <w:ilvl w:val="0"/>
          <w:numId w:val="10"/>
        </w:numPr>
        <w:spacing w:lineRule="auto" w:line="300"/>
        <w:jc w:val="both"/>
        <w:rPr>
          <w:i/>
          <w:i/>
        </w:rPr>
      </w:pPr>
      <w:r>
        <w:rPr>
          <w:i/>
        </w:rPr>
        <w:t>Korisnici javne usluge prikupljanja miješanog komunalnog otpada i prikupljanja biorazgradivog komunalnog otpada razvrstavaju se u kategoriju:</w:t>
      </w:r>
    </w:p>
    <w:p>
      <w:pPr>
        <w:pStyle w:val="Normal"/>
        <w:numPr>
          <w:ilvl w:val="1"/>
          <w:numId w:val="10"/>
        </w:numPr>
        <w:spacing w:lineRule="auto" w:line="300"/>
        <w:jc w:val="both"/>
        <w:rPr>
          <w:i/>
          <w:i/>
        </w:rPr>
      </w:pPr>
      <w:r>
        <w:rPr>
          <w:i/>
        </w:rPr>
        <w:t>korisnika kućanstvo;</w:t>
      </w:r>
    </w:p>
    <w:p>
      <w:pPr>
        <w:pStyle w:val="Normal"/>
        <w:numPr>
          <w:ilvl w:val="1"/>
          <w:numId w:val="10"/>
        </w:numPr>
        <w:spacing w:lineRule="auto" w:line="300"/>
        <w:jc w:val="both"/>
        <w:rPr>
          <w:i/>
          <w:i/>
        </w:rPr>
      </w:pPr>
      <w:r>
        <w:rPr>
          <w:i/>
        </w:rPr>
        <w:t>korisnika koji nije kućanstvo.</w:t>
      </w:r>
    </w:p>
    <w:p>
      <w:pPr>
        <w:pStyle w:val="Normal"/>
        <w:numPr>
          <w:ilvl w:val="0"/>
          <w:numId w:val="10"/>
        </w:numPr>
        <w:spacing w:lineRule="auto" w:line="300"/>
        <w:jc w:val="both"/>
        <w:rPr>
          <w:i/>
          <w:i/>
        </w:rPr>
      </w:pPr>
      <w:r>
        <w:rPr>
          <w:i/>
        </w:rPr>
        <w:t>Korisnik kategorije kućanstvo je korisnik javne usluge koji nekretninu koristi trajno ili povremeno u svrhu stanovanja (npr. vlasnici stanova, kuća, nekretnina za odmor).</w:t>
      </w:r>
    </w:p>
    <w:p>
      <w:pPr>
        <w:pStyle w:val="Normal"/>
        <w:numPr>
          <w:ilvl w:val="0"/>
          <w:numId w:val="10"/>
        </w:numPr>
        <w:spacing w:lineRule="auto" w:line="300"/>
        <w:jc w:val="both"/>
        <w:rPr>
          <w:i/>
          <w:i/>
        </w:rPr>
      </w:pPr>
      <w:r>
        <w:rPr>
          <w:i/>
        </w:rPr>
        <w:t>Korisnik kategorije koji nije kućanstvo je korisnik javne usluge koji nije razvrstan u kategoriju korisnika kućanstvo, a koji nekretninu koristi u svrhu obavljanja djelatnosti.</w:t>
      </w:r>
    </w:p>
    <w:p>
      <w:pPr>
        <w:pStyle w:val="Normal"/>
        <w:numPr>
          <w:ilvl w:val="0"/>
          <w:numId w:val="10"/>
        </w:numPr>
        <w:spacing w:lineRule="auto" w:line="300"/>
        <w:jc w:val="both"/>
        <w:rPr>
          <w:i/>
          <w:i/>
        </w:rPr>
      </w:pPr>
      <w:r>
        <w:rPr>
          <w:i/>
        </w:rPr>
        <w:t>Korisnik usluge na obračunskom mjestu na kojem se ne obavlja djelatnost, razvrstava se u kategoriju korisnika kućanstvo.</w:t>
      </w:r>
    </w:p>
    <w:p>
      <w:pPr>
        <w:pStyle w:val="Normal"/>
        <w:numPr>
          <w:ilvl w:val="0"/>
          <w:numId w:val="10"/>
        </w:numPr>
        <w:spacing w:lineRule="auto" w:line="300"/>
        <w:jc w:val="both"/>
        <w:rPr>
          <w:i/>
          <w:i/>
        </w:rPr>
      </w:pPr>
      <w:r>
        <w:rPr>
          <w:i/>
        </w:rPr>
        <w:t xml:space="preserve">Korisnik usluge koji nije razvrstan u kategoriju korisnika kućanstvo, razvrstava se u kategoriju </w:t>
      </w:r>
      <w:bookmarkStart w:id="1" w:name="_Hlk24025610"/>
      <w:r>
        <w:rPr>
          <w:i/>
        </w:rPr>
        <w:t xml:space="preserve">korisnika koji nije kućanstvo </w:t>
      </w:r>
      <w:bookmarkEnd w:id="1"/>
      <w:r>
        <w:rPr>
          <w:i/>
        </w:rPr>
        <w:t>i odgovarajuću potkategoriju sukladno prilogu „Popis potkategorija korisnika koji nisu kućanstva prema djelatnostima“, koji je sastavni dio ove Odluke.</w:t>
      </w:r>
    </w:p>
    <w:p>
      <w:pPr>
        <w:pStyle w:val="Normal"/>
        <w:numPr>
          <w:ilvl w:val="0"/>
          <w:numId w:val="10"/>
        </w:numPr>
        <w:spacing w:lineRule="auto" w:line="300"/>
        <w:jc w:val="both"/>
        <w:rPr>
          <w:i/>
          <w:i/>
        </w:rPr>
      </w:pPr>
      <w:r>
        <w:rPr>
          <w:i/>
        </w:rPr>
        <w:t xml:space="preserve">Korisnicima usluge iz stavke 1. ovog članka u pravilu treba osigurati uvjete pojedinačnog korištenja javne usluge. Davatelj usluge je dužan osigurati uvjete kojima se ostvaruje pojedinačno korištenje javne usluge uključivo i kad više korisnika koristi zajednički spremnik primjenom odredbe iz stavka 8. i stavka 10. ovog članka. </w:t>
      </w:r>
    </w:p>
    <w:p>
      <w:pPr>
        <w:pStyle w:val="Normal"/>
        <w:numPr>
          <w:ilvl w:val="0"/>
          <w:numId w:val="10"/>
        </w:numPr>
        <w:spacing w:lineRule="auto" w:line="300"/>
        <w:jc w:val="both"/>
        <w:rPr>
          <w:i/>
          <w:i/>
        </w:rPr>
      </w:pPr>
      <w:r>
        <w:rPr>
          <w:i/>
        </w:rPr>
        <w:t xml:space="preserve">Za korisnike usluge gdje uvjeti pojedinačnog korištenja javne usluge nisu mogući zbog tehničkih uvjeta, nepristupačnosti, prostornog ograničenja lokacije i/ili tipologije nekretnine (više-stambena zgrada, povijesna jezgra i sl.) te, neracionalno velikih troškova i drugih okolnosti, usluga se osigurava putem zajedničkih spremnika na lokaciji zajedničkog obračunskog mjesta koje određuje davatelj usluge. </w:t>
      </w:r>
    </w:p>
    <w:p>
      <w:pPr>
        <w:pStyle w:val="Normal"/>
        <w:numPr>
          <w:ilvl w:val="0"/>
          <w:numId w:val="10"/>
        </w:numPr>
        <w:spacing w:lineRule="auto" w:line="300"/>
        <w:jc w:val="both"/>
        <w:rPr>
          <w:i/>
          <w:i/>
        </w:rPr>
      </w:pPr>
      <w:r>
        <w:rPr>
          <w:i/>
        </w:rPr>
        <w:t xml:space="preserve">S obzirom na način korištenja spremnika, korisnike dijelimo na one koji samostalno koriste spremnik i one koji koriste spremnik zajednički s drugim korisnicima,  u kojem slučaju se određuje udio svakog korisnika u zajedničkom spremniku.   </w:t>
      </w:r>
    </w:p>
    <w:p>
      <w:pPr>
        <w:pStyle w:val="Normal"/>
        <w:numPr>
          <w:ilvl w:val="0"/>
          <w:numId w:val="10"/>
        </w:numPr>
        <w:spacing w:lineRule="auto" w:line="300"/>
        <w:jc w:val="both"/>
        <w:rPr>
          <w:i/>
          <w:i/>
        </w:rPr>
      </w:pPr>
      <w:r>
        <w:rPr>
          <w:i/>
        </w:rPr>
        <w:t xml:space="preserve"> </w:t>
      </w:r>
      <w:r>
        <w:rPr>
          <w:i/>
        </w:rPr>
        <w:t>Korisnici koji koriste zajednički spremnik su:</w:t>
      </w:r>
    </w:p>
    <w:p>
      <w:pPr>
        <w:pStyle w:val="Normal"/>
        <w:numPr>
          <w:ilvl w:val="1"/>
          <w:numId w:val="10"/>
        </w:numPr>
        <w:spacing w:lineRule="auto" w:line="300"/>
        <w:jc w:val="both"/>
        <w:rPr>
          <w:i/>
          <w:i/>
        </w:rPr>
      </w:pPr>
      <w:r>
        <w:rPr>
          <w:i/>
        </w:rPr>
        <w:t xml:space="preserve">korisnici u višestambenim objektima s četiri ili više stambenih jedinica ili </w:t>
      </w:r>
    </w:p>
    <w:p>
      <w:pPr>
        <w:pStyle w:val="Normal"/>
        <w:numPr>
          <w:ilvl w:val="1"/>
          <w:numId w:val="10"/>
        </w:numPr>
        <w:spacing w:lineRule="auto" w:line="300"/>
        <w:jc w:val="both"/>
        <w:rPr>
          <w:i/>
          <w:i/>
        </w:rPr>
      </w:pPr>
      <w:r>
        <w:rPr>
          <w:i/>
        </w:rPr>
        <w:t>više korisnika u objektima s manje od četiri stambene jedinice koji nisu zatražili pojedinačno korištenje javne usluge sklopljenim međusobnim sporazumom o udjelima ili</w:t>
      </w:r>
    </w:p>
    <w:p>
      <w:pPr>
        <w:pStyle w:val="Normal"/>
        <w:numPr>
          <w:ilvl w:val="1"/>
          <w:numId w:val="10"/>
        </w:numPr>
        <w:spacing w:lineRule="auto" w:line="300"/>
        <w:jc w:val="both"/>
        <w:rPr>
          <w:i/>
          <w:i/>
        </w:rPr>
      </w:pPr>
      <w:r>
        <w:rPr>
          <w:i/>
        </w:rPr>
        <w:t xml:space="preserve">korisnici kojima davatelj usluga ne može vozilom pristupiti nekretnini korisnika ili bi to pristupanje iziskivalo bitno povećavanje troškova i neracionalne troškove. </w:t>
      </w:r>
    </w:p>
    <w:p>
      <w:pPr>
        <w:pStyle w:val="Normal"/>
        <w:numPr>
          <w:ilvl w:val="0"/>
          <w:numId w:val="10"/>
        </w:numPr>
        <w:spacing w:lineRule="auto" w:line="300"/>
        <w:jc w:val="both"/>
        <w:rPr>
          <w:i/>
          <w:i/>
        </w:rPr>
      </w:pPr>
      <w:r>
        <w:rPr>
          <w:i/>
        </w:rPr>
        <w:t xml:space="preserve"> </w:t>
      </w:r>
      <w:r>
        <w:rPr>
          <w:i/>
        </w:rPr>
        <w:t xml:space="preserve">Korisniku koji koristi zajednički spremnik, uvjeti pojedinačnog korištenja usluge omogućavaju se na način određivanja udjela korisnika javne usluge u zajedničkom spremniku na obračunskom mjestu. </w:t>
      </w:r>
    </w:p>
    <w:p>
      <w:pPr>
        <w:pStyle w:val="Normal"/>
        <w:numPr>
          <w:ilvl w:val="0"/>
          <w:numId w:val="10"/>
        </w:numPr>
        <w:spacing w:lineRule="auto" w:line="300"/>
        <w:jc w:val="both"/>
        <w:rPr>
          <w:i/>
          <w:i/>
        </w:rPr>
      </w:pPr>
      <w:r>
        <w:rPr>
          <w:i/>
        </w:rPr>
        <w:t xml:space="preserve">Korisnici koji samostalno koriste spremnik su: </w:t>
      </w:r>
    </w:p>
    <w:p>
      <w:pPr>
        <w:pStyle w:val="Normal"/>
        <w:numPr>
          <w:ilvl w:val="1"/>
          <w:numId w:val="10"/>
        </w:numPr>
        <w:spacing w:lineRule="auto" w:line="300"/>
        <w:jc w:val="both"/>
        <w:rPr>
          <w:i/>
          <w:i/>
        </w:rPr>
      </w:pPr>
      <w:r>
        <w:rPr>
          <w:i/>
        </w:rPr>
        <w:t xml:space="preserve">korisnici u objektima s manje od četiri stambene jedinice </w:t>
      </w:r>
    </w:p>
    <w:p>
      <w:pPr>
        <w:pStyle w:val="Normal"/>
        <w:numPr>
          <w:ilvl w:val="1"/>
          <w:numId w:val="10"/>
        </w:numPr>
        <w:spacing w:lineRule="auto" w:line="300"/>
        <w:jc w:val="both"/>
        <w:rPr>
          <w:i/>
          <w:i/>
        </w:rPr>
      </w:pPr>
      <w:r>
        <w:rPr>
          <w:i/>
        </w:rPr>
        <w:t>korisnici koji koriste  podzemne ili polu-podzemne spremnike u slučaju, da se navedene primjeni u sklopu organizacije sustava gospodarenja otpadom.</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20., mijenja se i glasi:</w:t>
      </w:r>
    </w:p>
    <w:p>
      <w:pPr>
        <w:pStyle w:val="Normal"/>
        <w:numPr>
          <w:ilvl w:val="0"/>
          <w:numId w:val="11"/>
        </w:numPr>
        <w:spacing w:lineRule="auto" w:line="300"/>
        <w:jc w:val="both"/>
        <w:rPr>
          <w:i/>
          <w:i/>
        </w:rPr>
      </w:pPr>
      <w:r>
        <w:rPr>
          <w:i/>
        </w:rPr>
        <w:t>Ako početni preuzeti zaduženi volumen spremnika za odlaganje komunalnog otpada ne zadovoljava potrebe korisnika, davatelj usluge će na zahtjev korisnika usluge izvršiti izmjenu volumena spremnika ili broja spremnika.</w:t>
      </w:r>
    </w:p>
    <w:p>
      <w:pPr>
        <w:pStyle w:val="Normal"/>
        <w:numPr>
          <w:ilvl w:val="0"/>
          <w:numId w:val="11"/>
        </w:numPr>
        <w:spacing w:lineRule="auto" w:line="300"/>
        <w:jc w:val="both"/>
        <w:rPr>
          <w:i/>
          <w:i/>
        </w:rPr>
      </w:pPr>
      <w:r>
        <w:rPr>
          <w:i/>
        </w:rPr>
        <w:t>U slučaju iz prethodnog stavka ovog članka usluga se naplaćuje prema cjeniku davatelja usluge.</w:t>
      </w:r>
    </w:p>
    <w:p>
      <w:pPr>
        <w:pStyle w:val="Normal"/>
        <w:numPr>
          <w:ilvl w:val="0"/>
          <w:numId w:val="11"/>
        </w:numPr>
        <w:spacing w:lineRule="auto" w:line="300"/>
        <w:jc w:val="both"/>
        <w:rPr>
          <w:i/>
          <w:i/>
        </w:rPr>
      </w:pPr>
      <w:r>
        <w:rPr>
          <w:i/>
        </w:rPr>
        <w:t xml:space="preserve">U slučaju da davatelj usluge, prilikom preuzimanja otpada i temeljem vlastite procjene, utvrdi da preuzeti zaduženi volumen spremnika za odlaganje komunalnog otpada nije primjeren, upućuje korisniku prijedlog za izmjenu volumena spremnika.  </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28., stavak 3. mijenja se i glasi:</w:t>
      </w:r>
    </w:p>
    <w:p>
      <w:pPr>
        <w:pStyle w:val="Normal"/>
        <w:numPr>
          <w:ilvl w:val="0"/>
          <w:numId w:val="12"/>
        </w:numPr>
        <w:spacing w:lineRule="auto" w:line="300"/>
        <w:jc w:val="both"/>
        <w:rPr>
          <w:i/>
          <w:i/>
        </w:rPr>
      </w:pPr>
      <w:r>
        <w:rPr>
          <w:i/>
        </w:rPr>
        <w:t>Korisnik usluge iz kategorije korisnika koji nisu kućanstvo može naručiti odvoz glomaznog otpada uz naplatu sukladno cjeniku davatelja usluge.</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se u članak 38., dodaje stavak 2. koji glasi:</w:t>
      </w:r>
    </w:p>
    <w:p>
      <w:pPr>
        <w:pStyle w:val="Normal"/>
        <w:numPr>
          <w:ilvl w:val="0"/>
          <w:numId w:val="13"/>
        </w:numPr>
        <w:spacing w:lineRule="auto" w:line="300"/>
        <w:jc w:val="both"/>
        <w:rPr>
          <w:rFonts w:cs="Calibri" w:cstheme="minorHAnsi"/>
          <w:i/>
          <w:i/>
        </w:rPr>
      </w:pPr>
      <w:r>
        <w:rPr>
          <w:rFonts w:cs="Calibri" w:cstheme="minorHAnsi"/>
          <w:i/>
        </w:rPr>
        <w:t>Davatelj usluge dužan je obračunati cijenu javne usluge na način kojim se osigurava primjena načela »onečišćivač plaća«, ekonomski održivo poslovanje te sigurnost, redovitost i kvalitetu pružanja te usluge.</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39. mijenja se i glasi:</w:t>
      </w:r>
    </w:p>
    <w:p>
      <w:pPr>
        <w:pStyle w:val="Normal"/>
        <w:numPr>
          <w:ilvl w:val="0"/>
          <w:numId w:val="14"/>
        </w:numPr>
        <w:spacing w:lineRule="auto" w:line="300"/>
        <w:jc w:val="both"/>
        <w:rPr>
          <w:rFonts w:cs="Calibri" w:cstheme="minorHAnsi"/>
          <w:i/>
          <w:i/>
        </w:rPr>
      </w:pPr>
      <w:r>
        <w:rPr>
          <w:rFonts w:cs="Calibri" w:cstheme="minorHAnsi"/>
          <w:i/>
        </w:rPr>
        <w:t xml:space="preserve">Korisnik usluge je dužan platiti davatelju javne usluge iznos cijene javne usluge za obračunsko mjesto i obračunsko razdoblje </w:t>
      </w:r>
    </w:p>
    <w:p>
      <w:pPr>
        <w:pStyle w:val="Normal"/>
        <w:numPr>
          <w:ilvl w:val="0"/>
          <w:numId w:val="14"/>
        </w:numPr>
        <w:spacing w:lineRule="auto" w:line="300"/>
        <w:jc w:val="both"/>
        <w:rPr>
          <w:rFonts w:cs="Calibri" w:cstheme="minorHAnsi"/>
          <w:i/>
          <w:i/>
        </w:rPr>
      </w:pPr>
      <w:r>
        <w:rPr>
          <w:rFonts w:cs="Calibri" w:cstheme="minorHAnsi"/>
          <w:i/>
        </w:rPr>
        <w:t>Iznimno od stavka 1. ovoga članka obveza korisnika usluge ne nastaje za obračunsko mjesto na kojem se nekretnina trajno ne koristi.</w:t>
      </w:r>
    </w:p>
    <w:p>
      <w:pPr>
        <w:pStyle w:val="Normal"/>
        <w:numPr>
          <w:ilvl w:val="0"/>
          <w:numId w:val="14"/>
        </w:numPr>
        <w:spacing w:lineRule="auto" w:line="300"/>
        <w:jc w:val="both"/>
        <w:rPr>
          <w:rFonts w:cs="Calibri" w:cstheme="minorHAnsi"/>
          <w:i/>
          <w:i/>
        </w:rPr>
      </w:pPr>
      <w:r>
        <w:rPr>
          <w:rFonts w:cs="Calibri" w:cstheme="minorHAnsi"/>
          <w:i/>
        </w:rPr>
        <w:t xml:space="preserve">Cjenik javne usluge donosi se na način određen člankom 19. Uredbe o gospodarenju komunalnim otpadom. Navedeno se primjenjuje i za izmjene i dopune cjenika, kojeg donosi davatelj usluge. </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40., stavak 1. mijenja se i glasi:</w:t>
      </w:r>
    </w:p>
    <w:p>
      <w:pPr>
        <w:pStyle w:val="Normal"/>
        <w:numPr>
          <w:ilvl w:val="0"/>
          <w:numId w:val="15"/>
        </w:numPr>
        <w:spacing w:lineRule="auto" w:line="300"/>
        <w:jc w:val="both"/>
        <w:rPr>
          <w:rFonts w:cs="Calibri" w:cstheme="minorHAnsi"/>
          <w:i/>
          <w:i/>
        </w:rPr>
      </w:pPr>
      <w:r>
        <w:rPr>
          <w:rFonts w:cs="Calibri" w:cstheme="minorHAnsi"/>
          <w:i/>
        </w:rPr>
        <w:t>Strukturu cijene javne usluge (CJU) čine cijena obvezne minimalne javne usluge (CMJU), cijena javne usluge za količinu predanog miješanog komunalnog otpada (C), i cijena ugovorne kazne (CUk).</w:t>
      </w:r>
    </w:p>
    <w:p>
      <w:pPr>
        <w:pStyle w:val="Normal"/>
        <w:rPr/>
      </w:pPr>
      <w:r>
        <w:rPr/>
      </w:r>
    </w:p>
    <w:p>
      <w:pPr>
        <w:pStyle w:val="Normal"/>
        <w:rPr/>
      </w:pPr>
      <w:r>
        <w:rPr/>
        <w:t>Iza stavka 4. dodaje se novi stavak 5., koji glasi:</w:t>
      </w:r>
    </w:p>
    <w:p>
      <w:pPr>
        <w:pStyle w:val="Normal"/>
        <w:numPr>
          <w:ilvl w:val="0"/>
          <w:numId w:val="16"/>
        </w:numPr>
        <w:spacing w:lineRule="auto" w:line="300"/>
        <w:jc w:val="both"/>
        <w:rPr>
          <w:rFonts w:cs="Calibri" w:cstheme="minorHAnsi"/>
          <w:i/>
          <w:i/>
        </w:rPr>
      </w:pPr>
      <w:r>
        <w:rPr>
          <w:rFonts w:cs="Calibri" w:cstheme="minorHAnsi"/>
          <w:i/>
        </w:rPr>
        <w:t>Davatelj javne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pPr>
        <w:pStyle w:val="Normal"/>
        <w:spacing w:lineRule="auto" w:line="300"/>
        <w:ind w:left="360" w:hanging="0"/>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41., mijenja se i glasi:</w:t>
      </w:r>
    </w:p>
    <w:p>
      <w:pPr>
        <w:pStyle w:val="Normal"/>
        <w:numPr>
          <w:ilvl w:val="0"/>
          <w:numId w:val="19"/>
        </w:numPr>
        <w:spacing w:lineRule="auto" w:line="300"/>
        <w:jc w:val="both"/>
        <w:rPr>
          <w:rFonts w:cs="Calibri" w:cstheme="minorHAnsi"/>
          <w:i/>
          <w:i/>
        </w:rPr>
      </w:pPr>
      <w:r>
        <w:rPr>
          <w:rFonts w:cs="Calibri" w:cstheme="minorHAnsi"/>
          <w:i/>
        </w:rPr>
        <w:t xml:space="preserve">Cijena obvezne minimalne javne usluge mora biti zasebno iskazana na računu za pruženu javnu uslugu. </w:t>
      </w:r>
    </w:p>
    <w:p>
      <w:pPr>
        <w:pStyle w:val="Normal"/>
        <w:numPr>
          <w:ilvl w:val="0"/>
          <w:numId w:val="19"/>
        </w:numPr>
        <w:spacing w:lineRule="auto" w:line="300"/>
        <w:jc w:val="both"/>
        <w:rPr>
          <w:rFonts w:cs="Calibri" w:cstheme="minorHAnsi"/>
          <w:i/>
          <w:i/>
        </w:rPr>
      </w:pPr>
      <w:r>
        <w:rPr>
          <w:rFonts w:cs="Calibri" w:cstheme="minorHAnsi"/>
          <w:i/>
        </w:rPr>
        <w:t>Cijena obvezne minimalne javne usluge naplaćuje se korisniku usluge za pojedini mjesec odnosno obračunsko razdoblje neovisno o primopredaji komunalnog otpada, osim ako je riječ o obračunskom mjestu na kojem se nekretnina trajno ne koristi.</w:t>
      </w:r>
    </w:p>
    <w:p>
      <w:pPr>
        <w:pStyle w:val="Normal"/>
        <w:numPr>
          <w:ilvl w:val="0"/>
          <w:numId w:val="19"/>
        </w:numPr>
        <w:spacing w:lineRule="auto" w:line="300"/>
        <w:jc w:val="both"/>
        <w:rPr>
          <w:rFonts w:cs="Calibri" w:cstheme="minorHAnsi"/>
          <w:i/>
          <w:i/>
        </w:rPr>
      </w:pPr>
      <w:r>
        <w:rPr>
          <w:rFonts w:cs="Calibri" w:cstheme="minorHAnsi"/>
          <w:i/>
        </w:rPr>
        <w:t>Izračun iznosa cijene obvezne minimalne javne usluge temelji se na troškovima koji se svrstavaju u obavezu osiguranja provođenja minimalne javne usluge.</w:t>
      </w:r>
    </w:p>
    <w:p>
      <w:pPr>
        <w:pStyle w:val="Normal"/>
        <w:numPr>
          <w:ilvl w:val="0"/>
          <w:numId w:val="19"/>
        </w:numPr>
        <w:spacing w:lineRule="auto" w:line="300"/>
        <w:jc w:val="both"/>
        <w:rPr>
          <w:rFonts w:cs="Calibri" w:cstheme="minorHAnsi"/>
          <w:i/>
          <w:i/>
        </w:rPr>
      </w:pPr>
      <w:r>
        <w:rPr>
          <w:rFonts w:cs="Calibri" w:cstheme="minorHAnsi"/>
          <w:i/>
        </w:rPr>
        <w:t xml:space="preserve">Iznos cijene obvezne minimalne javne usluge za obračunsko razdoblje uključuje osiguranje i provođenje redovitih planiranih primopredaja miješanog komunalnog otpada i biorazgradivog komunalnog otpada u obračunskom razdoblju za minimalnu učestalost odvoza iz ove Odluke, prema Planu odvoza kojeg donosi davatelj usluge. </w:t>
      </w:r>
    </w:p>
    <w:p>
      <w:pPr>
        <w:pStyle w:val="Normal"/>
        <w:jc w:val="both"/>
        <w:rPr>
          <w:rFonts w:cs="Calibri" w:cstheme="minorHAnsi"/>
        </w:rPr>
      </w:pPr>
      <w:r>
        <w:rPr>
          <w:rFonts w:cs="Calibri" w:cstheme="minorHAnsi"/>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iza članka 41. dodaje se novi članak 41.a, koji glasi:</w:t>
      </w:r>
    </w:p>
    <w:p>
      <w:pPr>
        <w:pStyle w:val="Normal"/>
        <w:numPr>
          <w:ilvl w:val="0"/>
          <w:numId w:val="17"/>
        </w:numPr>
        <w:spacing w:lineRule="auto" w:line="300"/>
        <w:jc w:val="both"/>
        <w:rPr>
          <w:rFonts w:cs="Calibri" w:cstheme="minorHAnsi"/>
          <w:i/>
          <w:i/>
        </w:rPr>
      </w:pPr>
      <w:r>
        <w:rPr>
          <w:rFonts w:cs="Calibri" w:cstheme="minorHAnsi"/>
          <w:i/>
        </w:rPr>
        <w:t>Cijena obvezne minimalne javne usluge jedinstvena je na području pružanja usluge za sve korisnike usluge razvrstane u kategoriju korisnika kućanstvo.</w:t>
      </w:r>
    </w:p>
    <w:p>
      <w:pPr>
        <w:pStyle w:val="Normal"/>
        <w:numPr>
          <w:ilvl w:val="0"/>
          <w:numId w:val="17"/>
        </w:numPr>
        <w:spacing w:lineRule="auto" w:line="300"/>
        <w:jc w:val="both"/>
        <w:rPr>
          <w:rFonts w:cs="Calibri" w:cstheme="minorHAnsi"/>
          <w:i/>
          <w:i/>
        </w:rPr>
      </w:pPr>
      <w:r>
        <w:rPr>
          <w:rFonts w:cs="Calibri" w:cstheme="minorHAnsi"/>
          <w:i/>
        </w:rPr>
        <w:t>Cijena obvezne minimalne javne usluge jednaka je za sve korisnike usluge razvrstane u kategoriju korisnika koji nije kućanstvo unutar iste potkategorije iz priloga ove Odluke i čini njezin sastavni dio.</w:t>
      </w:r>
    </w:p>
    <w:p>
      <w:pPr>
        <w:pStyle w:val="ListParagraph"/>
        <w:numPr>
          <w:ilvl w:val="0"/>
          <w:numId w:val="17"/>
        </w:numPr>
        <w:tabs>
          <w:tab w:val="clear" w:pos="708"/>
          <w:tab w:val="left" w:pos="66" w:leader="none"/>
        </w:tabs>
        <w:spacing w:lineRule="auto" w:line="300" w:before="0" w:after="0"/>
        <w:jc w:val="both"/>
        <w:rPr>
          <w:rFonts w:cs="Calibri" w:cstheme="minorHAnsi"/>
          <w:i/>
          <w:i/>
        </w:rPr>
      </w:pPr>
      <w:r>
        <w:rPr>
          <w:rFonts w:cs="Calibri" w:cstheme="minorHAnsi"/>
          <w:i/>
        </w:rPr>
        <w:t>Ako se na istom obračunskom mjestu korisnik može razvrstati i u kategoriju kućanstvo i u kategoriju korisnika koji nije kućanstvo, korisnik je dužan plaćati samo cijenu obvezne minimalne javne usluge obračunatu za kategoriju korisnika koji nije kućanstvo.</w:t>
      </w:r>
    </w:p>
    <w:p>
      <w:pPr>
        <w:pStyle w:val="ListParagraph"/>
        <w:numPr>
          <w:ilvl w:val="0"/>
          <w:numId w:val="17"/>
        </w:numPr>
        <w:tabs>
          <w:tab w:val="clear" w:pos="708"/>
          <w:tab w:val="left" w:pos="66" w:leader="none"/>
        </w:tabs>
        <w:spacing w:lineRule="auto" w:line="300" w:before="0" w:after="0"/>
        <w:jc w:val="both"/>
        <w:rPr>
          <w:rFonts w:cs="Calibri" w:cstheme="minorHAnsi"/>
          <w:i/>
          <w:i/>
        </w:rPr>
      </w:pPr>
      <w:r>
        <w:rPr>
          <w:rFonts w:cs="Calibri" w:cstheme="minorHAnsi"/>
          <w:i/>
        </w:rPr>
        <w:t xml:space="preserve">Ako se na istom obračunskom mjestu korisnik može razvrstati u više potkategorija korisnika koji nije kućanstvo iz priloga ove Odluke, korisnik je dužan plaćati samo jednu cijenu obvezne minimalne javne usluge. </w:t>
      </w:r>
    </w:p>
    <w:p>
      <w:pPr>
        <w:pStyle w:val="ListParagraph"/>
        <w:numPr>
          <w:ilvl w:val="0"/>
          <w:numId w:val="17"/>
        </w:numPr>
        <w:tabs>
          <w:tab w:val="clear" w:pos="708"/>
          <w:tab w:val="left" w:pos="66" w:leader="none"/>
        </w:tabs>
        <w:spacing w:lineRule="auto" w:line="300" w:before="0" w:after="0"/>
        <w:jc w:val="both"/>
        <w:rPr>
          <w:rFonts w:cs="Calibri" w:cstheme="minorHAnsi"/>
          <w:i/>
          <w:i/>
        </w:rPr>
      </w:pPr>
      <w:r>
        <w:rPr>
          <w:rFonts w:cs="Calibri" w:cstheme="minorHAnsi"/>
          <w:i/>
        </w:rPr>
        <w:t xml:space="preserve">U slučaju iz prethodnog stavka korisniku usluge obračunati će se cijena minimalne javne usluge za potkategoriju korisnika sa višim iznosom.  </w:t>
      </w:r>
    </w:p>
    <w:p>
      <w:pPr>
        <w:pStyle w:val="Normal"/>
        <w:rPr/>
      </w:pPr>
      <w:r>
        <w:rPr/>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iza članka 41.a dodaje se novi članak 41.b, koji glasi:</w:t>
      </w:r>
    </w:p>
    <w:p>
      <w:pPr>
        <w:pStyle w:val="ListParagraph"/>
        <w:numPr>
          <w:ilvl w:val="0"/>
          <w:numId w:val="18"/>
        </w:numPr>
        <w:tabs>
          <w:tab w:val="clear" w:pos="708"/>
          <w:tab w:val="left" w:pos="66" w:leader="none"/>
        </w:tabs>
        <w:spacing w:lineRule="auto" w:line="300" w:before="0" w:after="0"/>
        <w:jc w:val="both"/>
        <w:rPr>
          <w:rFonts w:cs="Calibri" w:cstheme="minorHAnsi"/>
          <w:i/>
          <w:i/>
        </w:rPr>
      </w:pPr>
      <w:r>
        <w:rPr>
          <w:rFonts w:cs="Calibri" w:cstheme="minorHAnsi"/>
          <w:i/>
        </w:rPr>
        <w:t>Odredbe o načinu izračuna i određivanju cijene, te iznos obvezne minimalne javne usluge za korisnike usluge razvrstane u kategoriju korisnika kućanstvo i potkategorije korisnika koji nisu kućanstvo biti će utvrđene posebnom odlukom, te će se početi primjenjivati nakon što davatelj usluge sklopi ugovor sa Fondom za zaštitu okoliša i energetsku učinkovitost kojim se određuju uvjeti sakupljanja i predaje reciklabilnog komunalnog otpada, a čije troškove se obvezao financirati Fond za zaštitu okoliša i energetsku učinkovitost te nakon uspostave burze otpada na cjelokupnom području Republike Hrvatske.</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42., mijenja se i glasi:</w:t>
      </w:r>
    </w:p>
    <w:p>
      <w:pPr>
        <w:pStyle w:val="Normal"/>
        <w:numPr>
          <w:ilvl w:val="0"/>
          <w:numId w:val="20"/>
        </w:numPr>
        <w:spacing w:lineRule="auto" w:line="300"/>
        <w:jc w:val="both"/>
        <w:rPr>
          <w:i/>
          <w:i/>
        </w:rPr>
      </w:pPr>
      <w:r>
        <w:rPr>
          <w:i/>
        </w:rPr>
        <w:t>Davatelj usluge cjenikom određuje visinu jedinične cijene za količinu predanog komunalnog otpada, na način određivanja cijene za volumen spremnika otpada koji se dodjeljuje pojedinom tipu korisnika te je isti osnova za obračun količine predanog komunalnog otpada.</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43., stavak 1. mijenja se i glasi:</w:t>
      </w:r>
    </w:p>
    <w:p>
      <w:pPr>
        <w:pStyle w:val="Normal"/>
        <w:numPr>
          <w:ilvl w:val="0"/>
          <w:numId w:val="21"/>
        </w:numPr>
        <w:spacing w:lineRule="auto" w:line="300"/>
        <w:jc w:val="both"/>
        <w:rPr>
          <w:i/>
          <w:i/>
        </w:rPr>
      </w:pPr>
      <w:r>
        <w:rPr>
          <w:i/>
        </w:rPr>
        <w:t xml:space="preserve">Cijena javne usluge za količinu predanog komunalnog otpada određuje se prema izrazu: </w:t>
      </w:r>
    </w:p>
    <w:p>
      <w:pPr>
        <w:pStyle w:val="Normal"/>
        <w:ind w:left="360" w:hanging="0"/>
        <w:jc w:val="center"/>
        <w:rPr>
          <w:b/>
          <w:b/>
          <w:i/>
          <w:i/>
        </w:rPr>
      </w:pPr>
      <w:r>
        <w:rPr>
          <w:b/>
          <w:i/>
        </w:rPr>
        <w:t>C = JCV × BP × U</w:t>
      </w:r>
    </w:p>
    <w:p>
      <w:pPr>
        <w:pStyle w:val="Normal"/>
        <w:ind w:left="360" w:hanging="0"/>
        <w:jc w:val="both"/>
        <w:rPr>
          <w:i/>
          <w:i/>
        </w:rPr>
      </w:pPr>
      <w:r>
        <w:rPr>
          <w:i/>
        </w:rPr>
        <w:t>pri čemu je:</w:t>
      </w:r>
    </w:p>
    <w:p>
      <w:pPr>
        <w:pStyle w:val="Normal"/>
        <w:numPr>
          <w:ilvl w:val="0"/>
          <w:numId w:val="22"/>
        </w:numPr>
        <w:spacing w:lineRule="auto" w:line="300"/>
        <w:jc w:val="both"/>
        <w:rPr>
          <w:i/>
          <w:i/>
        </w:rPr>
      </w:pPr>
      <w:r>
        <w:rPr>
          <w:i/>
        </w:rPr>
        <w:t>C – cijena javne usluge za količinu predanog miješanog komunalnog otpada izražena u kunama</w:t>
      </w:r>
    </w:p>
    <w:p>
      <w:pPr>
        <w:pStyle w:val="Normal"/>
        <w:numPr>
          <w:ilvl w:val="0"/>
          <w:numId w:val="22"/>
        </w:numPr>
        <w:spacing w:lineRule="auto" w:line="300"/>
        <w:jc w:val="both"/>
        <w:rPr>
          <w:i/>
          <w:i/>
        </w:rPr>
      </w:pPr>
      <w:r>
        <w:rPr>
          <w:i/>
        </w:rPr>
        <w:t xml:space="preserve">JCV – jedinična cijena za pražnjenje volumena spremnika miješanog komunalnog otpada izražena u kunama sukladno cjeniku </w:t>
      </w:r>
    </w:p>
    <w:p>
      <w:pPr>
        <w:pStyle w:val="Normal"/>
        <w:numPr>
          <w:ilvl w:val="0"/>
          <w:numId w:val="22"/>
        </w:numPr>
        <w:spacing w:lineRule="auto" w:line="300"/>
        <w:jc w:val="both"/>
        <w:rPr>
          <w:i/>
          <w:i/>
        </w:rPr>
      </w:pPr>
      <w:r>
        <w:rPr>
          <w:i/>
        </w:rPr>
        <w:t xml:space="preserve">BP – </w:t>
      </w:r>
      <w:r>
        <w:rPr>
          <w:rFonts w:cs="Calibri" w:cstheme="minorHAnsi"/>
          <w:i/>
        </w:rPr>
        <w:t>broj pražnjenja spremnika miješanog komunalnog otpada u obračunskom razdoblju sukladno podacima u evidenciji</w:t>
      </w:r>
      <w:r>
        <w:rPr>
          <w:i/>
        </w:rPr>
        <w:t xml:space="preserve"> davatelja usluge. </w:t>
      </w:r>
    </w:p>
    <w:p>
      <w:pPr>
        <w:pStyle w:val="Normal"/>
        <w:numPr>
          <w:ilvl w:val="0"/>
          <w:numId w:val="22"/>
        </w:numPr>
        <w:spacing w:lineRule="auto" w:line="300"/>
        <w:jc w:val="both"/>
        <w:rPr>
          <w:i/>
          <w:i/>
        </w:rPr>
      </w:pPr>
      <w:r>
        <w:rPr>
          <w:i/>
        </w:rPr>
        <w:t>U – udio korisnika usluge u korištenju spremnika.</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52., mijenja se i glasi:</w:t>
      </w:r>
    </w:p>
    <w:p>
      <w:pPr>
        <w:pStyle w:val="ListParagraph"/>
        <w:numPr>
          <w:ilvl w:val="0"/>
          <w:numId w:val="23"/>
        </w:numPr>
        <w:jc w:val="both"/>
        <w:rPr>
          <w:rFonts w:cs="Calibri" w:cstheme="minorHAnsi"/>
          <w:i/>
          <w:i/>
          <w:iCs/>
        </w:rPr>
      </w:pPr>
      <w:r>
        <w:rPr>
          <w:rFonts w:cs="Calibri" w:cstheme="minorHAnsi"/>
          <w:i/>
          <w:iCs/>
        </w:rPr>
        <w:t>Kriteriji za određivanje udjela korisnika usluge koji nije kućanstvo u slučaju kada su korisnici javne usluge kućanstva i korisnici koji nisu kućanstvo koji se bave neproizvodnim djelatnostima i koriste zajednički spremnik, a nije postignut sporazum o njihovim udjelima je cijena obvezne minimalne javne usluge za korisnika koji nije kućanstvo i broja osoba kojima je mjesto rada na tom obračunskom mjestu u odnosu na ukupan broj osoba odnosno prema podacima dosadašnje razine usluge tog tipa korisnika.</w:t>
      </w:r>
    </w:p>
    <w:p>
      <w:pPr>
        <w:pStyle w:val="ListParagraph"/>
        <w:numPr>
          <w:ilvl w:val="0"/>
          <w:numId w:val="23"/>
        </w:numPr>
        <w:jc w:val="both"/>
        <w:rPr>
          <w:rFonts w:cs="Calibri" w:cstheme="minorHAnsi"/>
          <w:i/>
          <w:i/>
          <w:iCs/>
        </w:rPr>
      </w:pPr>
      <w:r>
        <w:rPr>
          <w:rFonts w:cs="Calibri" w:cstheme="minorHAnsi"/>
          <w:i/>
          <w:iCs/>
        </w:rPr>
        <w:t xml:space="preserve">Ako se korisnik koji nije kućanstvo bavi proizvodnom ili ugostiteljskom djelatnošću, dodijelit će mu se poseban spremnik za otpad. </w:t>
      </w:r>
    </w:p>
    <w:p>
      <w:pPr>
        <w:pStyle w:val="ListParagraph"/>
        <w:numPr>
          <w:ilvl w:val="0"/>
          <w:numId w:val="23"/>
        </w:numPr>
        <w:jc w:val="both"/>
        <w:rPr>
          <w:rFonts w:cs="Calibri" w:cstheme="minorHAnsi"/>
          <w:i/>
          <w:i/>
          <w:iCs/>
        </w:rPr>
      </w:pPr>
      <w:r>
        <w:rPr>
          <w:rFonts w:cs="Calibri" w:cstheme="minorHAnsi"/>
          <w:i/>
        </w:rPr>
        <w:t>U slučaju da prijedlog davatelja usluge iz prethodnog stavka nije prihvaćen korisnici javne usluge razvrstani u kategoriju korisnika koji nije kućanstvo tretirat će se zasebno i davatelj usluge tim korisnicima određuje  posebno obračunsko mjesto sa zasebnim spremnikom. U tom slučaju korisnik usluge je dužan osigurati prostorne mogućnosti za smještanje spremnika.</w:t>
      </w:r>
    </w:p>
    <w:p>
      <w:pPr>
        <w:pStyle w:val="Normal"/>
        <w:rPr/>
      </w:pPr>
      <w:r>
        <w:rPr/>
      </w:r>
    </w:p>
    <w:p>
      <w:pPr>
        <w:pStyle w:val="Normal"/>
        <w:rPr/>
      </w:pPr>
      <w:r>
        <w:rPr/>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se u članak 57., iza stavka 3. dodaju se stavci 4. i 5.  koji glase:</w:t>
      </w:r>
    </w:p>
    <w:p>
      <w:pPr>
        <w:pStyle w:val="Normal"/>
        <w:numPr>
          <w:ilvl w:val="0"/>
          <w:numId w:val="24"/>
        </w:numPr>
        <w:spacing w:lineRule="auto" w:line="300"/>
        <w:jc w:val="both"/>
        <w:rPr>
          <w:i/>
          <w:i/>
        </w:rPr>
      </w:pPr>
      <w:r>
        <w:rPr>
          <w:i/>
        </w:rPr>
        <w:t>Odredbe o ugovornoj kazni 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 a najviše do iznosa godišnje cijene obvezne minimalne javne usluge za kategoriju korisnika usluge u koju je korisnik razvrstan .</w:t>
      </w:r>
    </w:p>
    <w:p>
      <w:pPr>
        <w:pStyle w:val="Normal"/>
        <w:numPr>
          <w:ilvl w:val="0"/>
          <w:numId w:val="24"/>
        </w:numPr>
        <w:spacing w:lineRule="auto" w:line="300"/>
        <w:jc w:val="both"/>
        <w:rPr>
          <w:i/>
          <w:i/>
        </w:rPr>
      </w:pPr>
      <w:r>
        <w:rPr>
          <w:i/>
        </w:rPr>
        <w:t>Iznos ugovorne kazne određen za pojedino postupanje mora biti razmjeran troškovima uklanjanja takvog postupanja, a najviše do iznosa godišnje cijene obvezne minimalne javne usluge  za kategoriju korisnika usluge u koju je korisnik razvrstan.</w:t>
      </w:r>
    </w:p>
    <w:p>
      <w:pPr>
        <w:pStyle w:val="Normal"/>
        <w:rPr/>
      </w:pPr>
      <w:r>
        <w:rPr/>
      </w:r>
    </w:p>
    <w:p>
      <w:pPr>
        <w:pStyle w:val="Normal"/>
        <w:numPr>
          <w:ilvl w:val="0"/>
          <w:numId w:val="2"/>
        </w:numPr>
        <w:spacing w:lineRule="auto" w:line="300"/>
        <w:jc w:val="center"/>
        <w:rPr/>
      </w:pPr>
      <w:r>
        <w:rPr/>
      </w:r>
    </w:p>
    <w:p>
      <w:pPr>
        <w:pStyle w:val="Normal"/>
        <w:jc w:val="both"/>
        <w:rPr>
          <w:rFonts w:cs="Calibri" w:cstheme="minorHAnsi"/>
        </w:rPr>
      </w:pPr>
      <w:r>
        <w:rPr>
          <w:rFonts w:cs="Calibri" w:cstheme="minorHAnsi"/>
        </w:rPr>
        <w:t>U Odluci o načinu pružanja javne usluge članak 58., mijenja se i glasi:</w:t>
      </w:r>
    </w:p>
    <w:p>
      <w:pPr>
        <w:pStyle w:val="Normal"/>
        <w:numPr>
          <w:ilvl w:val="0"/>
          <w:numId w:val="1"/>
        </w:numPr>
        <w:spacing w:lineRule="auto" w:line="300"/>
        <w:jc w:val="both"/>
        <w:rPr>
          <w:i/>
          <w:i/>
        </w:rPr>
      </w:pPr>
      <w:r>
        <w:rPr>
          <w:i/>
        </w:rPr>
        <w:t>Smatra se da je korisnik usluge postupio protivno Ugovoru:</w:t>
      </w:r>
    </w:p>
    <w:p>
      <w:pPr>
        <w:pStyle w:val="Normal"/>
        <w:numPr>
          <w:ilvl w:val="1"/>
          <w:numId w:val="1"/>
        </w:numPr>
        <w:spacing w:lineRule="auto" w:line="300"/>
        <w:jc w:val="both"/>
        <w:rPr>
          <w:i/>
          <w:i/>
        </w:rPr>
      </w:pPr>
      <w:r>
        <w:rPr>
          <w:i/>
        </w:rPr>
        <w:t>ako ne koristi javnu uslugu i ne predaje komunalni otpad davatelju javne usluge (ne zaduži spremnik i/ili izjavljuje da ne koristi nekretninu) a na temelju podataka očitanja mjernih uređaja za potrošnju struje ili pitke vode ili na drugi način davatelj usluge utvrdi da koristi nekretninu.</w:t>
      </w:r>
    </w:p>
    <w:p>
      <w:pPr>
        <w:pStyle w:val="Normal"/>
        <w:numPr>
          <w:ilvl w:val="1"/>
          <w:numId w:val="1"/>
        </w:numPr>
        <w:spacing w:lineRule="auto" w:line="300"/>
        <w:jc w:val="both"/>
        <w:rPr>
          <w:i/>
          <w:i/>
        </w:rPr>
      </w:pPr>
      <w:r>
        <w:rPr>
          <w:i/>
        </w:rPr>
        <w:t>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usluge.</w:t>
      </w:r>
    </w:p>
    <w:p>
      <w:pPr>
        <w:pStyle w:val="Normal"/>
        <w:numPr>
          <w:ilvl w:val="1"/>
          <w:numId w:val="1"/>
        </w:numPr>
        <w:spacing w:lineRule="auto" w:line="300"/>
        <w:jc w:val="both"/>
        <w:rPr>
          <w:i/>
          <w:i/>
        </w:rPr>
      </w:pPr>
      <w:r>
        <w:rPr>
          <w:i/>
        </w:rPr>
        <w:t>ako u spremnike za odvojeno prikupljanje reciklabilnog otpada odloži miješani komunalni otpad, kao i bilo koji drugi otpad koji ne odgovara definiciji otpada za koji je spremnik namijenjen.</w:t>
      </w:r>
    </w:p>
    <w:p>
      <w:pPr>
        <w:pStyle w:val="Normal"/>
        <w:numPr>
          <w:ilvl w:val="1"/>
          <w:numId w:val="1"/>
        </w:numPr>
        <w:spacing w:lineRule="auto" w:line="300"/>
        <w:jc w:val="both"/>
        <w:rPr>
          <w:i/>
          <w:i/>
        </w:rPr>
      </w:pPr>
      <w:r>
        <w:rPr>
          <w:i/>
        </w:rPr>
        <w:t>ako s glomaznim otpadom postupa na način da isti odlaže u spremnike za prikupljanje komunalnog otpada, odlaže na mjesta koja za to nisu predviđena, te da s glomaznim komunalnim otpadom odlaže bačve, kante i slične posude u kojima ima ulja, boja, kiselina i drugih opasnih tvari te drugog problematičnog otpada.</w:t>
      </w:r>
    </w:p>
    <w:p>
      <w:pPr>
        <w:pStyle w:val="Normal"/>
        <w:numPr>
          <w:ilvl w:val="1"/>
          <w:numId w:val="1"/>
        </w:numPr>
        <w:spacing w:lineRule="auto" w:line="300"/>
        <w:jc w:val="both"/>
        <w:rPr>
          <w:i/>
          <w:i/>
        </w:rPr>
      </w:pPr>
      <w:r>
        <w:rPr>
          <w:i/>
        </w:rPr>
        <w:t>ako pretrpa i dodatno sabije ili preša komunalni otpad tako da on ne može gravitacijski ispasti iz spremnika prilikom pražnjenja.</w:t>
      </w:r>
    </w:p>
    <w:p>
      <w:pPr>
        <w:pStyle w:val="Normal"/>
        <w:numPr>
          <w:ilvl w:val="1"/>
          <w:numId w:val="1"/>
        </w:numPr>
        <w:spacing w:lineRule="auto" w:line="300"/>
        <w:jc w:val="both"/>
        <w:rPr>
          <w:i/>
          <w:i/>
        </w:rPr>
      </w:pPr>
      <w:r>
        <w:rPr>
          <w:i/>
        </w:rPr>
        <w:t>ako u spremnik za odvojeno prikupljanje reciklabilnog otpada odloži neodgovarajući reciklabilni otpad i odgovarajući ali onečišćeni reciklabilni otpad.</w:t>
      </w:r>
    </w:p>
    <w:p>
      <w:pPr>
        <w:pStyle w:val="Normal"/>
        <w:numPr>
          <w:ilvl w:val="1"/>
          <w:numId w:val="1"/>
        </w:numPr>
        <w:spacing w:lineRule="auto" w:line="300"/>
        <w:jc w:val="both"/>
        <w:rPr>
          <w:i/>
          <w:i/>
        </w:rPr>
      </w:pPr>
      <w:r>
        <w:rPr>
          <w:i/>
        </w:rPr>
        <w:t>ako na svom obračunskom mjestu postupa s otpadom na način koji nije sukladan ovoj Odluci, na način kojim se dovodi u opasnost ljudsko zdravlje i dovodi do rasipanja otpada oko spremnika i uzrokuje pojava neugode drugoj osobi.</w:t>
      </w:r>
    </w:p>
    <w:p>
      <w:pPr>
        <w:pStyle w:val="Normal"/>
        <w:numPr>
          <w:ilvl w:val="1"/>
          <w:numId w:val="1"/>
        </w:numPr>
        <w:spacing w:lineRule="auto" w:line="300"/>
        <w:jc w:val="both"/>
        <w:rPr>
          <w:i/>
          <w:i/>
        </w:rPr>
      </w:pPr>
      <w:r>
        <w:rPr>
          <w:i/>
        </w:rPr>
        <w:t>ako ne predaje reciklabilni komunalni otpad, problematični otpad i glomazni otpad odvojeno od miješanog komunalnog otpada.</w:t>
      </w:r>
    </w:p>
    <w:p>
      <w:pPr>
        <w:pStyle w:val="ListParagraph"/>
        <w:numPr>
          <w:ilvl w:val="1"/>
          <w:numId w:val="1"/>
        </w:numPr>
        <w:spacing w:lineRule="auto" w:line="300"/>
        <w:rPr>
          <w:i/>
          <w:i/>
        </w:rPr>
      </w:pPr>
      <w:r>
        <w:rPr>
          <w:i/>
        </w:rPr>
        <w:t>ako je volumen predanog miješanog komunalnog otpada veći od ugovorene zapremine spremnika, pa poklopac spremnika nije zatvoren.</w:t>
      </w:r>
    </w:p>
    <w:p>
      <w:pPr>
        <w:pStyle w:val="Normal"/>
        <w:numPr>
          <w:ilvl w:val="1"/>
          <w:numId w:val="1"/>
        </w:numPr>
        <w:spacing w:lineRule="auto" w:line="300"/>
        <w:jc w:val="both"/>
        <w:rPr>
          <w:i/>
          <w:i/>
        </w:rPr>
      </w:pPr>
      <w:r>
        <w:rPr>
          <w:i/>
        </w:rPr>
        <w:t>ako ne drži spremnik na za to propisanom mjestu.</w:t>
      </w:r>
    </w:p>
    <w:p>
      <w:pPr>
        <w:pStyle w:val="Normal"/>
        <w:numPr>
          <w:ilvl w:val="1"/>
          <w:numId w:val="1"/>
        </w:numPr>
        <w:spacing w:lineRule="auto" w:line="300"/>
        <w:jc w:val="both"/>
        <w:rPr>
          <w:i/>
          <w:i/>
        </w:rPr>
      </w:pPr>
      <w:r>
        <w:rPr>
          <w:i/>
        </w:rPr>
        <w:t>ako onemogući davatelju usluge pristup spremniku na mjestu primopredaje.</w:t>
      </w:r>
    </w:p>
    <w:p>
      <w:pPr>
        <w:pStyle w:val="Normal"/>
        <w:numPr>
          <w:ilvl w:val="1"/>
          <w:numId w:val="1"/>
        </w:numPr>
        <w:spacing w:lineRule="auto" w:line="300"/>
        <w:jc w:val="both"/>
        <w:rPr>
          <w:i/>
          <w:i/>
        </w:rPr>
      </w:pPr>
      <w:r>
        <w:rPr>
          <w:i/>
        </w:rPr>
        <w:t>ako ne omogući davatelju usluge označavanje spremnika s kojim već raspolaže.</w:t>
      </w:r>
    </w:p>
    <w:p>
      <w:pPr>
        <w:pStyle w:val="Normal"/>
        <w:numPr>
          <w:ilvl w:val="1"/>
          <w:numId w:val="1"/>
        </w:numPr>
        <w:spacing w:lineRule="auto" w:line="300"/>
        <w:jc w:val="both"/>
        <w:rPr>
          <w:i/>
          <w:i/>
        </w:rPr>
      </w:pPr>
      <w:r>
        <w:rPr>
          <w:i/>
        </w:rPr>
        <w:t>ako je uništio ili oštetio spremnik dodijeljen korisniku usluge postavljen na javnoj površini za prikupljanje komunalnog otpada.</w:t>
      </w:r>
    </w:p>
    <w:p>
      <w:pPr>
        <w:pStyle w:val="Normal"/>
        <w:numPr>
          <w:ilvl w:val="1"/>
          <w:numId w:val="1"/>
        </w:numPr>
        <w:spacing w:lineRule="auto" w:line="300"/>
        <w:jc w:val="both"/>
        <w:rPr>
          <w:i/>
          <w:i/>
        </w:rPr>
      </w:pPr>
      <w:r>
        <w:rPr>
          <w:i/>
        </w:rPr>
        <w:t>ako je u izjavi o načinu korištenja usluge očigledno naveo netočne podatke.</w:t>
      </w:r>
    </w:p>
    <w:p>
      <w:pPr>
        <w:pStyle w:val="Normal"/>
        <w:numPr>
          <w:ilvl w:val="1"/>
          <w:numId w:val="1"/>
        </w:numPr>
        <w:spacing w:lineRule="auto" w:line="300"/>
        <w:jc w:val="both"/>
        <w:rPr>
          <w:i/>
          <w:i/>
        </w:rPr>
      </w:pPr>
      <w:r>
        <w:rPr>
          <w:i/>
        </w:rPr>
        <w:t>ako je u izjavi o korištenju usluge lažno naveo da trajno ne koristi nekretninu.</w:t>
      </w:r>
    </w:p>
    <w:p>
      <w:pPr>
        <w:pStyle w:val="Normal"/>
        <w:numPr>
          <w:ilvl w:val="1"/>
          <w:numId w:val="1"/>
        </w:numPr>
        <w:spacing w:lineRule="auto" w:line="300"/>
        <w:jc w:val="both"/>
        <w:rPr>
          <w:i/>
          <w:i/>
        </w:rPr>
      </w:pPr>
      <w:r>
        <w:rPr>
          <w:i/>
        </w:rPr>
        <w:t>ako je uništio ili oštetio spremnik postavljen na javnoj površini za prikupljanje papira, kartona, plastike i ostalog reciklabilnog otpada.</w:t>
      </w:r>
    </w:p>
    <w:p>
      <w:pPr>
        <w:pStyle w:val="Normal"/>
        <w:numPr>
          <w:ilvl w:val="1"/>
          <w:numId w:val="1"/>
        </w:numPr>
        <w:spacing w:lineRule="auto" w:line="300"/>
        <w:jc w:val="both"/>
        <w:rPr>
          <w:i/>
          <w:i/>
        </w:rPr>
      </w:pPr>
      <w:r>
        <w:rPr>
          <w:i/>
        </w:rPr>
        <w:t>ako ne dojavi davatelju usluge promjenu podataka iz Izjave o korištenju usluge u roku od 15 dana od dana kad je nastupila promjena.</w:t>
      </w:r>
    </w:p>
    <w:p>
      <w:pPr>
        <w:pStyle w:val="Normal"/>
        <w:numPr>
          <w:ilvl w:val="1"/>
          <w:numId w:val="1"/>
        </w:numPr>
        <w:spacing w:lineRule="auto" w:line="300"/>
        <w:jc w:val="both"/>
        <w:rPr>
          <w:i/>
          <w:i/>
        </w:rPr>
      </w:pPr>
      <w:r>
        <w:rPr>
          <w:i/>
        </w:rPr>
        <w:t>ako ne dojavi davatelju usluge u roku od 15 dana svaku promjenu namjene prostora ili djelatnosti te proširenje i izmjenu djelatnosti ili druge okolnosti koje znatno utječu na povećanje ili smanjenje javne usluge.</w:t>
      </w:r>
    </w:p>
    <w:p>
      <w:pPr>
        <w:pStyle w:val="Normal"/>
        <w:numPr>
          <w:ilvl w:val="1"/>
          <w:numId w:val="1"/>
        </w:numPr>
        <w:spacing w:lineRule="auto" w:line="300"/>
        <w:jc w:val="both"/>
        <w:rPr>
          <w:i/>
          <w:i/>
        </w:rPr>
      </w:pPr>
      <w:r>
        <w:rPr>
          <w:i/>
        </w:rPr>
        <w:t>ako u spremnik za miješani komunalni otpad odloži biorazgradivi otpad iz kuhinje i kantina (kuhinjski otpad, ostaci hrane i sl.,), jestiva ulja i masti (otpadna ulja iz friteza, pećnica i sl.) nastali radom ugostiteljskog objekta.</w:t>
      </w:r>
    </w:p>
    <w:p>
      <w:pPr>
        <w:pStyle w:val="Normal"/>
        <w:numPr>
          <w:ilvl w:val="0"/>
          <w:numId w:val="1"/>
        </w:numPr>
        <w:spacing w:lineRule="auto" w:line="300"/>
        <w:jc w:val="both"/>
        <w:rPr>
          <w:i/>
          <w:i/>
        </w:rPr>
      </w:pPr>
      <w:r>
        <w:rPr>
          <w:i/>
        </w:rPr>
        <w:t>Ako korisnik odloži bilo kakav otpad pored spremnika protivno Ugovoru dužan je platiti troškove iz članka 57. i ugovornu kaznu.</w:t>
      </w:r>
    </w:p>
    <w:p>
      <w:pPr>
        <w:pStyle w:val="Normal"/>
        <w:numPr>
          <w:ilvl w:val="0"/>
          <w:numId w:val="1"/>
        </w:numPr>
        <w:spacing w:lineRule="auto" w:line="300"/>
        <w:jc w:val="both"/>
        <w:rPr>
          <w:i/>
          <w:i/>
        </w:rPr>
      </w:pPr>
      <w:r>
        <w:rPr>
          <w:i/>
        </w:rPr>
        <w:t>Ako korisnik u spremnik za komunalni otpad odloži problematičan otpad ili opasan otpad ili reciklabilni otpad, dužan je platiti troškove iz članka 57. i platiti ugovornu kaznu.</w:t>
      </w:r>
    </w:p>
    <w:p>
      <w:pPr>
        <w:pStyle w:val="Normal"/>
        <w:numPr>
          <w:ilvl w:val="0"/>
          <w:numId w:val="1"/>
        </w:numPr>
        <w:spacing w:lineRule="auto" w:line="300"/>
        <w:jc w:val="both"/>
        <w:rPr>
          <w:i/>
          <w:i/>
        </w:rPr>
      </w:pPr>
      <w:r>
        <w:rPr>
          <w:i/>
        </w:rPr>
        <w:t>Ako se utvrdi da je korisnik usluge počinio više radnji za koje je prema ovom članku propisana obveza plaćanja ugovorne kazne, davatelj usluge će mu za svaku od navedenih radnji obračunati i naplatiti ugovornu kaznu.</w:t>
      </w:r>
    </w:p>
    <w:p>
      <w:pPr>
        <w:pStyle w:val="Normal"/>
        <w:numPr>
          <w:ilvl w:val="0"/>
          <w:numId w:val="1"/>
        </w:numPr>
        <w:spacing w:lineRule="auto" w:line="300"/>
        <w:jc w:val="both"/>
        <w:rPr>
          <w:i/>
          <w:i/>
        </w:rPr>
      </w:pPr>
      <w:r>
        <w:rPr>
          <w:i/>
        </w:rPr>
        <w:t>Iznos ugovorne kazne koju je korisnik usluge dužan platiti za svako pojedino postupanje protivno Ugovoru iz stavka 1. ovoga članka odrediti će se po utvrđivanju iznosa obvezne minimalne javne usluge pri čemu se ista može utvrditi najviše do iznosa godišnje cijene obvezne minimalne javne usluge za kategoriju korisnika usluge u koju je korisnik razvrstan.</w:t>
      </w:r>
    </w:p>
    <w:p>
      <w:pPr>
        <w:pStyle w:val="Normal"/>
        <w:rPr/>
      </w:pPr>
      <w:r>
        <w:rPr/>
      </w:r>
    </w:p>
    <w:p>
      <w:pPr>
        <w:pStyle w:val="Normal"/>
        <w:numPr>
          <w:ilvl w:val="0"/>
          <w:numId w:val="2"/>
        </w:numPr>
        <w:spacing w:lineRule="auto" w:line="300"/>
        <w:jc w:val="center"/>
        <w:rPr/>
      </w:pPr>
      <w:r>
        <w:rPr/>
      </w:r>
    </w:p>
    <w:p>
      <w:pPr>
        <w:pStyle w:val="Normal"/>
        <w:rPr/>
      </w:pPr>
      <w:r>
        <w:rPr/>
        <w:t xml:space="preserve">Prilog iz Uredbe o gospodarenju komunalnim otpadom (Narodne novine, broj 50/17 i 84/19) dodaje se kao PRILOG II. POPIS POTKATEGORIJA KORISNIKA KOJI NISU KUĆANSTVA PREMA DJELATNOSTIMA, </w:t>
      </w:r>
    </w:p>
    <w:p>
      <w:pPr>
        <w:pStyle w:val="Normal"/>
        <w:jc w:val="both"/>
        <w:rPr/>
      </w:pPr>
      <w:r>
        <w:rPr/>
        <w:t>koji je sastavni dio ove Odluke.</w:t>
      </w:r>
    </w:p>
    <w:p>
      <w:pPr>
        <w:pStyle w:val="Normal"/>
        <w:rPr/>
      </w:pPr>
      <w:r>
        <w:rPr/>
      </w:r>
    </w:p>
    <w:p>
      <w:pPr>
        <w:pStyle w:val="Normal"/>
        <w:numPr>
          <w:ilvl w:val="0"/>
          <w:numId w:val="2"/>
        </w:numPr>
        <w:spacing w:lineRule="auto" w:line="300"/>
        <w:jc w:val="center"/>
        <w:rPr/>
      </w:pPr>
      <w:r>
        <w:rPr/>
      </w:r>
    </w:p>
    <w:p>
      <w:pPr>
        <w:pStyle w:val="Normal"/>
        <w:jc w:val="both"/>
        <w:rPr/>
      </w:pPr>
      <w:r>
        <w:rPr/>
        <w:t>Ova Odluka stupa na snagu nakon što davatelj usluge zaključi s Fondom za zaštitu okoliša i energetsku učinkovitost Ugovor o financiranju iz članka 18. stavka 3. Uredbe o gospodarenju komunalnim otpadom (Narodne novine, broj 50/17 i 84/19) i nakon što se uspostavi Burza otpada na cjelokupnom području Republike Hrvatske.</w:t>
      </w:r>
    </w:p>
    <w:p>
      <w:pPr>
        <w:pStyle w:val="Normal"/>
        <w:rPr/>
      </w:pPr>
      <w:r>
        <w:rPr/>
      </w:r>
    </w:p>
    <w:p>
      <w:pPr>
        <w:pStyle w:val="Normal"/>
        <w:rPr/>
      </w:pPr>
      <w:r>
        <w:rPr/>
      </w:r>
    </w:p>
    <w:p>
      <w:pPr>
        <w:pStyle w:val="Normal"/>
        <w:rPr/>
      </w:pPr>
      <w:r>
        <w:rPr/>
      </w:r>
    </w:p>
    <w:p>
      <w:pPr>
        <w:pStyle w:val="Normal"/>
        <w:rPr/>
      </w:pPr>
      <w:r>
        <w:rPr/>
      </w:r>
    </w:p>
    <w:p>
      <w:pPr>
        <w:pStyle w:val="Normal"/>
        <w:spacing w:lineRule="auto" w:line="240"/>
        <w:rPr/>
      </w:pPr>
      <w:r>
        <w:rPr/>
        <w:t xml:space="preserve">KLASA: </w:t>
      </w:r>
      <w:r>
        <w:rPr/>
        <w:t>363-01/18-01/02</w:t>
      </w:r>
    </w:p>
    <w:p>
      <w:pPr>
        <w:pStyle w:val="Normal"/>
        <w:rPr/>
      </w:pPr>
      <w:r>
        <w:rPr/>
        <w:t xml:space="preserve">URBROJ: </w:t>
      </w:r>
      <w:r>
        <w:rPr/>
        <w:t>2105/01-05/01-19-7</w:t>
      </w:r>
    </w:p>
    <w:p>
      <w:pPr>
        <w:pStyle w:val="Normal"/>
        <w:rPr/>
      </w:pPr>
      <w:r>
        <w:rPr/>
        <w:t xml:space="preserve">Buje, dana: </w:t>
      </w:r>
      <w:r>
        <w:rPr/>
        <w:t>25.11.2019.</w:t>
      </w:r>
    </w:p>
    <w:p>
      <w:pPr>
        <w:pStyle w:val="Normal"/>
        <w:rPr/>
      </w:pPr>
      <w:r>
        <w:rPr/>
      </w:r>
    </w:p>
    <w:p>
      <w:pPr>
        <w:pStyle w:val="Normal"/>
        <w:rPr/>
      </w:pPr>
      <w:r>
        <w:rPr/>
      </w:r>
    </w:p>
    <w:p>
      <w:pPr>
        <w:pStyle w:val="Normal"/>
        <w:jc w:val="center"/>
        <w:rPr/>
      </w:pPr>
      <w:r>
        <w:rPr/>
        <w:t>GRADSKO VIJEĆE GRADA BUJA-</w:t>
      </w:r>
      <w:r>
        <w:rPr/>
        <w:t>BUIE</w:t>
      </w:r>
    </w:p>
    <w:p>
      <w:pPr>
        <w:pStyle w:val="Normal"/>
        <w:jc w:val="center"/>
        <w:rPr/>
      </w:pPr>
      <w:r>
        <w:rPr/>
      </w:r>
    </w:p>
    <w:p>
      <w:pPr>
        <w:pStyle w:val="Normal"/>
        <w:jc w:val="right"/>
        <w:rPr/>
      </w:pPr>
      <w:r>
        <w:rPr/>
        <w:t>PREDSJEDNI</w:t>
      </w:r>
      <w:r>
        <w:rPr/>
        <w:t>IK</w:t>
      </w:r>
    </w:p>
    <w:p>
      <w:pPr>
        <w:pStyle w:val="Normal"/>
        <w:jc w:val="right"/>
        <w:rPr/>
      </w:pPr>
      <w:r>
        <w:rPr/>
        <w:t>Rino Duniš</w:t>
      </w:r>
    </w:p>
    <w:p>
      <w:pPr>
        <w:pStyle w:val="Normal"/>
        <w:rPr/>
      </w:pPr>
      <w:r>
        <w:rPr/>
      </w:r>
    </w:p>
    <w:p>
      <w:pPr>
        <w:pStyle w:val="Normal"/>
        <w:rPr/>
      </w:pPr>
      <w:r>
        <w:rPr/>
      </w:r>
    </w:p>
    <w:p>
      <w:pPr>
        <w:pStyle w:val="Normal"/>
        <w:rPr/>
      </w:pPr>
      <w:r>
        <w:rPr/>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Normal"/>
        <w:spacing w:lineRule="auto" w:line="240"/>
        <w:rPr>
          <w:rFonts w:eastAsia="" w:cs="Calibri" w:cstheme="minorHAnsi" w:eastAsiaTheme="majorEastAsia"/>
          <w:b/>
          <w:b/>
          <w:bCs/>
          <w:color w:val="76923C" w:themeColor="accent3" w:themeShade="bf"/>
          <w:sz w:val="24"/>
          <w:szCs w:val="24"/>
        </w:rPr>
      </w:pPr>
      <w:r>
        <w:rPr>
          <w:rFonts w:eastAsia="" w:cs="Calibri" w:cstheme="minorHAnsi" w:eastAsiaTheme="majorEastAsia"/>
          <w:b/>
          <w:bCs/>
          <w:color w:val="76923C" w:themeColor="accent3" w:themeShade="bf"/>
          <w:sz w:val="24"/>
          <w:szCs w:val="24"/>
        </w:rPr>
      </w:r>
      <w:r>
        <w:br w:type="page"/>
      </w:r>
    </w:p>
    <w:p>
      <w:pPr>
        <w:pStyle w:val="Stilnaslova1"/>
        <w:spacing w:lineRule="auto" w:line="276"/>
        <w:rPr>
          <w:rFonts w:ascii="Calibri" w:hAnsi="Calibri" w:eastAsia="Calibri" w:cs="Calibri" w:asciiTheme="minorHAnsi" w:cstheme="minorHAnsi" w:hAnsiTheme="minorHAnsi"/>
          <w:color w:val="auto"/>
          <w:sz w:val="24"/>
          <w:szCs w:val="24"/>
        </w:rPr>
      </w:pPr>
      <w:r>
        <w:rPr>
          <w:rFonts w:cs="Calibri" w:ascii="Calibri" w:hAnsi="Calibri" w:asciiTheme="minorHAnsi" w:cstheme="minorHAnsi" w:hAnsiTheme="minorHAnsi"/>
          <w:color w:val="auto"/>
          <w:sz w:val="24"/>
          <w:szCs w:val="24"/>
        </w:rPr>
        <w:t xml:space="preserve">PRILOG II: </w:t>
      </w:r>
      <w:r>
        <w:rPr>
          <w:rFonts w:eastAsia="Calibri" w:cs="Calibri" w:ascii="Calibri" w:hAnsi="Calibri" w:asciiTheme="minorHAnsi" w:cstheme="minorHAnsi" w:hAnsiTheme="minorHAnsi"/>
          <w:color w:val="auto"/>
          <w:sz w:val="24"/>
          <w:szCs w:val="24"/>
        </w:rPr>
        <w:t>POPIS POTKATEGORIJA KORISNIKA KOJI NISU KUĆANSTVA PREMA DJELATNOSTIMA</w:t>
      </w:r>
    </w:p>
    <w:p>
      <w:pPr>
        <w:pStyle w:val="Normal"/>
        <w:spacing w:lineRule="auto" w:line="276"/>
        <w:jc w:val="center"/>
        <w:textAlignment w:val="baseline"/>
        <w:rPr/>
      </w:pPr>
      <w:r>
        <w:rPr/>
      </w:r>
    </w:p>
    <w:tbl>
      <w:tblPr>
        <w:tblStyle w:val="TableGrid"/>
        <w:tblW w:w="9180" w:type="dxa"/>
        <w:jc w:val="left"/>
        <w:tblInd w:w="108" w:type="dxa"/>
        <w:tblCellMar>
          <w:top w:w="0" w:type="dxa"/>
          <w:left w:w="108" w:type="dxa"/>
          <w:bottom w:w="0" w:type="dxa"/>
          <w:right w:w="108" w:type="dxa"/>
        </w:tblCellMar>
        <w:tblLook w:val="04a0"/>
      </w:tblPr>
      <w:tblGrid>
        <w:gridCol w:w="1455"/>
        <w:gridCol w:w="7724"/>
      </w:tblGrid>
      <w:tr>
        <w:trPr/>
        <w:tc>
          <w:tcPr>
            <w:tcW w:w="1455" w:type="dxa"/>
            <w:tcBorders/>
            <w:shd w:fill="auto" w:val="clear"/>
          </w:tcPr>
          <w:p>
            <w:pPr>
              <w:pStyle w:val="Normal"/>
              <w:spacing w:lineRule="auto" w:line="276"/>
              <w:jc w:val="center"/>
              <w:rPr>
                <w:b/>
                <w:b/>
              </w:rPr>
            </w:pPr>
            <w:r>
              <w:rPr>
                <w:b/>
              </w:rPr>
              <w:t>Potkategorija</w:t>
            </w:r>
          </w:p>
        </w:tc>
        <w:tc>
          <w:tcPr>
            <w:tcW w:w="7724" w:type="dxa"/>
            <w:tcBorders/>
            <w:shd w:fill="auto" w:val="clear"/>
          </w:tcPr>
          <w:p>
            <w:pPr>
              <w:pStyle w:val="Normal"/>
              <w:spacing w:lineRule="auto" w:line="276"/>
              <w:jc w:val="center"/>
              <w:rPr>
                <w:b/>
                <w:b/>
              </w:rPr>
            </w:pPr>
            <w:r>
              <w:rPr>
                <w:b/>
              </w:rPr>
              <w:t>Djelatnost koja se obavlja u nekretnini odnosno</w:t>
              <w:br/>
              <w:t>posebnom dijelu nekretnine</w:t>
            </w:r>
          </w:p>
        </w:tc>
      </w:tr>
      <w:tr>
        <w:trPr/>
        <w:tc>
          <w:tcPr>
            <w:tcW w:w="1455" w:type="dxa"/>
            <w:tcBorders/>
            <w:shd w:fill="auto" w:val="clear"/>
          </w:tcPr>
          <w:p>
            <w:pPr>
              <w:pStyle w:val="Normal"/>
              <w:spacing w:lineRule="auto" w:line="276"/>
              <w:jc w:val="center"/>
              <w:rPr/>
            </w:pPr>
            <w:r>
              <w:rPr/>
              <w:t>I.</w:t>
            </w:r>
          </w:p>
        </w:tc>
        <w:tc>
          <w:tcPr>
            <w:tcW w:w="7724" w:type="dxa"/>
            <w:tcBorders/>
            <w:shd w:fill="auto" w:val="clear"/>
          </w:tcPr>
          <w:p>
            <w:pPr>
              <w:pStyle w:val="Normal"/>
              <w:spacing w:lineRule="auto" w:line="276"/>
              <w:rPr/>
            </w:pPr>
            <w:r>
              <w:rPr/>
              <w:t>Škole i vrtići, učilišta, vjerski objekti, samostani, bolnice, dnevne bolnice, ambulante, domovi za starije osobe, ustanove socijalne skrbi i druge slične djelatnosti</w:t>
            </w:r>
          </w:p>
        </w:tc>
      </w:tr>
      <w:tr>
        <w:trPr/>
        <w:tc>
          <w:tcPr>
            <w:tcW w:w="1455" w:type="dxa"/>
            <w:tcBorders/>
            <w:shd w:fill="auto" w:val="clear"/>
          </w:tcPr>
          <w:p>
            <w:pPr>
              <w:pStyle w:val="Normal"/>
              <w:spacing w:lineRule="auto" w:line="276"/>
              <w:jc w:val="center"/>
              <w:rPr/>
            </w:pPr>
            <w:r>
              <w:rPr/>
              <w:t>II.</w:t>
            </w:r>
          </w:p>
        </w:tc>
        <w:tc>
          <w:tcPr>
            <w:tcW w:w="7724" w:type="dxa"/>
            <w:tcBorders/>
            <w:shd w:fill="auto" w:val="clear"/>
          </w:tcPr>
          <w:p>
            <w:pPr>
              <w:pStyle w:val="Normal"/>
              <w:spacing w:lineRule="auto" w:line="276"/>
              <w:rPr/>
            </w:pPr>
            <w:r>
              <w:rPr/>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trPr/>
        <w:tc>
          <w:tcPr>
            <w:tcW w:w="1455" w:type="dxa"/>
            <w:tcBorders/>
            <w:shd w:fill="auto" w:val="clear"/>
          </w:tcPr>
          <w:p>
            <w:pPr>
              <w:pStyle w:val="Normal"/>
              <w:spacing w:lineRule="auto" w:line="276"/>
              <w:jc w:val="center"/>
              <w:rPr/>
            </w:pPr>
            <w:r>
              <w:rPr/>
              <w:t>III.</w:t>
            </w:r>
          </w:p>
        </w:tc>
        <w:tc>
          <w:tcPr>
            <w:tcW w:w="7724" w:type="dxa"/>
            <w:tcBorders/>
            <w:shd w:fill="auto" w:val="clear"/>
          </w:tcPr>
          <w:p>
            <w:pPr>
              <w:pStyle w:val="Normal"/>
              <w:spacing w:lineRule="auto" w:line="276"/>
              <w:rPr/>
            </w:pPr>
            <w:r>
              <w:rPr/>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r>
      <w:tr>
        <w:trPr/>
        <w:tc>
          <w:tcPr>
            <w:tcW w:w="1455" w:type="dxa"/>
            <w:tcBorders/>
            <w:shd w:fill="auto" w:val="clear"/>
          </w:tcPr>
          <w:p>
            <w:pPr>
              <w:pStyle w:val="Normal"/>
              <w:spacing w:lineRule="auto" w:line="276"/>
              <w:jc w:val="center"/>
              <w:rPr/>
            </w:pPr>
            <w:r>
              <w:rPr/>
              <w:t>IV.</w:t>
            </w:r>
          </w:p>
        </w:tc>
        <w:tc>
          <w:tcPr>
            <w:tcW w:w="7724" w:type="dxa"/>
            <w:tcBorders/>
            <w:shd w:fill="auto" w:val="clear"/>
          </w:tcPr>
          <w:p>
            <w:pPr>
              <w:pStyle w:val="Normal"/>
              <w:spacing w:lineRule="auto" w:line="276"/>
              <w:rPr/>
            </w:pPr>
            <w:r>
              <w:rPr/>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r>
      <w:tr>
        <w:trPr/>
        <w:tc>
          <w:tcPr>
            <w:tcW w:w="1455" w:type="dxa"/>
            <w:tcBorders/>
            <w:shd w:fill="auto" w:val="clear"/>
          </w:tcPr>
          <w:p>
            <w:pPr>
              <w:pStyle w:val="Normal"/>
              <w:spacing w:lineRule="auto" w:line="276"/>
              <w:jc w:val="center"/>
              <w:rPr/>
            </w:pPr>
            <w:r>
              <w:rPr/>
              <w:t>V.</w:t>
            </w:r>
          </w:p>
        </w:tc>
        <w:tc>
          <w:tcPr>
            <w:tcW w:w="7724" w:type="dxa"/>
            <w:tcBorders/>
            <w:shd w:fill="auto" w:val="clear"/>
          </w:tcPr>
          <w:p>
            <w:pPr>
              <w:pStyle w:val="Normal"/>
              <w:spacing w:lineRule="auto" w:line="276"/>
              <w:rPr/>
            </w:pPr>
            <w:r>
              <w:rPr/>
              <w:t>Korisnici koji pružaju ugostiteljske usluge u domaćinstvu (fizička osoba – građanin koji iznajmljuje sobu/apartman/kuću za odmor i slično)</w:t>
            </w:r>
          </w:p>
        </w:tc>
      </w:tr>
      <w:tr>
        <w:trPr/>
        <w:tc>
          <w:tcPr>
            <w:tcW w:w="1455" w:type="dxa"/>
            <w:tcBorders/>
            <w:shd w:fill="auto" w:val="clear"/>
          </w:tcPr>
          <w:p>
            <w:pPr>
              <w:pStyle w:val="Normal"/>
              <w:spacing w:lineRule="auto" w:line="276"/>
              <w:jc w:val="center"/>
              <w:rPr/>
            </w:pPr>
            <w:r>
              <w:rPr/>
              <w:t>VI.</w:t>
            </w:r>
          </w:p>
        </w:tc>
        <w:tc>
          <w:tcPr>
            <w:tcW w:w="7724" w:type="dxa"/>
            <w:tcBorders/>
            <w:shd w:fill="auto" w:val="clear"/>
          </w:tcPr>
          <w:p>
            <w:pPr>
              <w:pStyle w:val="Normal"/>
              <w:spacing w:lineRule="auto" w:line="276"/>
              <w:rPr/>
            </w:pPr>
            <w:r>
              <w:rPr/>
              <w:t>Korisnici (pravne i fizičke osobe – obrtnici) koji obavljaju ugostiteljsku djelatnost i pružaju uslugu smještaja (kamp, hotel, hostel, prenoćišta i slično)</w:t>
            </w:r>
          </w:p>
        </w:tc>
      </w:tr>
      <w:tr>
        <w:trPr/>
        <w:tc>
          <w:tcPr>
            <w:tcW w:w="1455" w:type="dxa"/>
            <w:tcBorders/>
            <w:shd w:fill="auto" w:val="clear"/>
          </w:tcPr>
          <w:p>
            <w:pPr>
              <w:pStyle w:val="Normal"/>
              <w:spacing w:lineRule="auto" w:line="276"/>
              <w:jc w:val="center"/>
              <w:rPr/>
            </w:pPr>
            <w:r>
              <w:rPr/>
              <w:t>VII.</w:t>
            </w:r>
          </w:p>
        </w:tc>
        <w:tc>
          <w:tcPr>
            <w:tcW w:w="7724" w:type="dxa"/>
            <w:tcBorders/>
            <w:shd w:fill="auto" w:val="clear"/>
          </w:tcPr>
          <w:p>
            <w:pPr>
              <w:pStyle w:val="Normal"/>
              <w:spacing w:lineRule="auto" w:line="276"/>
              <w:rPr/>
            </w:pPr>
            <w:r>
              <w:rPr/>
              <w:t>Luka, autobusni i željeznički kolodvor, zračne luke i druge slične djelatnosti</w:t>
            </w:r>
          </w:p>
        </w:tc>
      </w:tr>
    </w:tbl>
    <w:p>
      <w:pPr>
        <w:pStyle w:val="Normal"/>
        <w:spacing w:lineRule="auto" w:line="276" w:before="0" w:after="48"/>
        <w:ind w:firstLine="408"/>
        <w:textAlignment w:val="baseline"/>
        <w:rPr/>
      </w:pPr>
      <w:r>
        <w:rPr/>
      </w:r>
    </w:p>
    <w:p>
      <w:pPr>
        <w:pStyle w:val="Normal"/>
        <w:spacing w:lineRule="auto" w:line="276"/>
        <w:jc w:val="center"/>
        <w:rPr/>
      </w:pPr>
      <w:r>
        <w:rPr/>
      </w:r>
    </w:p>
    <w:sectPr>
      <w:footerReference w:type="default" r:id="rId2"/>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egoe UI">
    <w:charset w:val="ee"/>
    <w:family w:val="roman"/>
    <w:pitch w:val="variable"/>
  </w:font>
  <w:font w:name="HRTimes">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78704848"/>
    </w:sdtPr>
    <w:sdtContent>
      <w:p>
        <w:pPr>
          <w:pStyle w:val="Podnoje"/>
          <w:jc w:val="right"/>
          <w:rPr>
            <w:b/>
            <w:b/>
            <w:bCs/>
            <w:sz w:val="18"/>
            <w:szCs w:val="18"/>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Članak %1."/>
      <w:lvlJc w:val="center"/>
      <w:pPr>
        <w:ind w:left="720" w:hanging="360"/>
      </w:pPr>
      <w:rPr>
        <w:sz w:val="18"/>
        <w:i w:val="false"/>
        <w:b w:val="false"/>
        <w:szCs w:val="18"/>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rPr>
        <w:dstrike w:val="false"/>
        <w:strike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rPr>
        <w:dstrike w:val="false"/>
        <w:strike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rPr>
        <w:dstrike w:val="false"/>
        <w:strike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4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l-SI" w:eastAsia="sl-S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04ec"/>
    <w:pPr>
      <w:widowControl/>
      <w:bidi w:val="0"/>
      <w:spacing w:lineRule="auto" w:line="312"/>
      <w:jc w:val="left"/>
    </w:pPr>
    <w:rPr>
      <w:rFonts w:ascii="Calibri" w:hAnsi="Calibri" w:asciiTheme="minorHAnsi" w:hAnsiTheme="minorHAnsi" w:eastAsia="Calibri" w:cs="Times New Roman"/>
      <w:color w:val="auto"/>
      <w:kern w:val="0"/>
      <w:sz w:val="22"/>
      <w:szCs w:val="22"/>
      <w:lang w:val="hr-HR" w:eastAsia="en-US" w:bidi="ar-SA"/>
    </w:rPr>
  </w:style>
  <w:style w:type="paragraph" w:styleId="Stilnaslova1">
    <w:name w:val="Heading 1"/>
    <w:basedOn w:val="Normal"/>
    <w:next w:val="Normal"/>
    <w:link w:val="Heading1Char"/>
    <w:uiPriority w:val="9"/>
    <w:qFormat/>
    <w:rsid w:val="00997fc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Stilnaslova6">
    <w:name w:val="Heading 6"/>
    <w:basedOn w:val="Normal"/>
    <w:next w:val="Normal"/>
    <w:link w:val="Heading6Char"/>
    <w:qFormat/>
    <w:rsid w:val="003d77ee"/>
    <w:pPr>
      <w:keepNext w:val="true"/>
      <w:tabs>
        <w:tab w:val="clear" w:pos="708"/>
        <w:tab w:val="center" w:pos="7088" w:leader="none"/>
      </w:tabs>
      <w:spacing w:lineRule="auto" w:line="240"/>
      <w:outlineLvl w:val="5"/>
    </w:pPr>
    <w:rPr>
      <w:rFonts w:ascii="Times New Roman" w:hAnsi="Times New Roman" w:eastAsia="Times New Roman"/>
      <w:b/>
      <w:szCs w:val="20"/>
    </w:rPr>
  </w:style>
  <w:style w:type="paragraph" w:styleId="Stilnaslova9">
    <w:name w:val="Heading 9"/>
    <w:basedOn w:val="Normal"/>
    <w:next w:val="Normal"/>
    <w:link w:val="Heading9Char"/>
    <w:qFormat/>
    <w:rsid w:val="003d77ee"/>
    <w:pPr>
      <w:keepNext w:val="true"/>
      <w:spacing w:lineRule="auto" w:line="240"/>
      <w:jc w:val="center"/>
      <w:outlineLvl w:val="8"/>
    </w:pPr>
    <w:rPr>
      <w:rFonts w:ascii="Times New Roman" w:hAnsi="Times New Roman" w:eastAsia="Times New Roman"/>
      <w:b/>
      <w:szCs w:val="20"/>
    </w:rPr>
  </w:style>
  <w:style w:type="character" w:styleId="DefaultParagraphFont" w:default="1">
    <w:name w:val="Default Paragraph Font"/>
    <w:uiPriority w:val="1"/>
    <w:semiHidden/>
    <w:unhideWhenUsed/>
    <w:qFormat/>
    <w:rPr/>
  </w:style>
  <w:style w:type="character" w:styleId="Fontstyle01" w:customStyle="1">
    <w:name w:val="fontstyle01"/>
    <w:qFormat/>
    <w:rsid w:val="00db5476"/>
    <w:rPr>
      <w:rFonts w:ascii="Times New Roman" w:hAnsi="Times New Roman" w:cs="Times New Roman"/>
      <w:b w:val="false"/>
      <w:bCs w:val="false"/>
      <w:i w:val="false"/>
      <w:iCs w:val="false"/>
      <w:color w:val="000000"/>
      <w:sz w:val="24"/>
      <w:szCs w:val="24"/>
    </w:rPr>
  </w:style>
  <w:style w:type="character" w:styleId="BalloonTextChar" w:customStyle="1">
    <w:name w:val="Balloon Text Char"/>
    <w:link w:val="BalloonText"/>
    <w:uiPriority w:val="99"/>
    <w:semiHidden/>
    <w:qFormat/>
    <w:rsid w:val="003b473f"/>
    <w:rPr>
      <w:rFonts w:ascii="Segoe UI" w:hAnsi="Segoe UI" w:cs="Segoe UI"/>
      <w:sz w:val="18"/>
      <w:szCs w:val="18"/>
      <w:lang w:eastAsia="en-US"/>
    </w:rPr>
  </w:style>
  <w:style w:type="character" w:styleId="Annotationreference">
    <w:name w:val="annotation reference"/>
    <w:uiPriority w:val="99"/>
    <w:semiHidden/>
    <w:unhideWhenUsed/>
    <w:qFormat/>
    <w:rsid w:val="0093106b"/>
    <w:rPr>
      <w:sz w:val="16"/>
      <w:szCs w:val="16"/>
    </w:rPr>
  </w:style>
  <w:style w:type="character" w:styleId="CommentTextChar" w:customStyle="1">
    <w:name w:val="Comment Text Char"/>
    <w:link w:val="CommentText"/>
    <w:uiPriority w:val="99"/>
    <w:semiHidden/>
    <w:qFormat/>
    <w:rsid w:val="0093106b"/>
    <w:rPr>
      <w:rFonts w:ascii="Times New Roman" w:hAnsi="Times New Roman" w:eastAsia="Times New Roman"/>
      <w:bCs/>
    </w:rPr>
  </w:style>
  <w:style w:type="character" w:styleId="BodyTextChar" w:customStyle="1">
    <w:name w:val="Body Text Char"/>
    <w:link w:val="BodyText"/>
    <w:qFormat/>
    <w:rsid w:val="009e4de7"/>
    <w:rPr>
      <w:rFonts w:ascii="HRTimes" w:hAnsi="HRTimes" w:eastAsia="Times New Roman"/>
      <w:sz w:val="22"/>
    </w:rPr>
  </w:style>
  <w:style w:type="character" w:styleId="Heading6Char" w:customStyle="1">
    <w:name w:val="Heading 6 Char"/>
    <w:link w:val="Heading6"/>
    <w:qFormat/>
    <w:rsid w:val="003d77ee"/>
    <w:rPr>
      <w:rFonts w:ascii="Times New Roman" w:hAnsi="Times New Roman" w:eastAsia="Times New Roman"/>
      <w:b/>
      <w:sz w:val="22"/>
    </w:rPr>
  </w:style>
  <w:style w:type="character" w:styleId="Heading9Char" w:customStyle="1">
    <w:name w:val="Heading 9 Char"/>
    <w:link w:val="Heading9"/>
    <w:qFormat/>
    <w:rsid w:val="003d77ee"/>
    <w:rPr>
      <w:rFonts w:ascii="Times New Roman" w:hAnsi="Times New Roman" w:eastAsia="Times New Roman"/>
      <w:b/>
      <w:sz w:val="22"/>
    </w:rPr>
  </w:style>
  <w:style w:type="character" w:styleId="BodyTextIndentChar" w:customStyle="1">
    <w:name w:val="Body Text Indent Char"/>
    <w:link w:val="BodyTextIndent"/>
    <w:uiPriority w:val="99"/>
    <w:semiHidden/>
    <w:qFormat/>
    <w:rsid w:val="00b70a9b"/>
    <w:rPr>
      <w:sz w:val="22"/>
      <w:szCs w:val="22"/>
      <w:lang w:eastAsia="en-US"/>
    </w:rPr>
  </w:style>
  <w:style w:type="character" w:styleId="HeaderChar" w:customStyle="1">
    <w:name w:val="Header Char"/>
    <w:basedOn w:val="DefaultParagraphFont"/>
    <w:link w:val="Header"/>
    <w:uiPriority w:val="99"/>
    <w:qFormat/>
    <w:rsid w:val="009f4a11"/>
    <w:rPr>
      <w:rFonts w:ascii="Calibri" w:hAnsi="Calibri" w:asciiTheme="minorHAnsi" w:hAnsiTheme="minorHAnsi"/>
      <w:sz w:val="22"/>
      <w:szCs w:val="22"/>
      <w:lang w:val="hr-HR" w:eastAsia="en-US"/>
    </w:rPr>
  </w:style>
  <w:style w:type="character" w:styleId="FooterChar" w:customStyle="1">
    <w:name w:val="Footer Char"/>
    <w:basedOn w:val="DefaultParagraphFont"/>
    <w:link w:val="Footer"/>
    <w:uiPriority w:val="99"/>
    <w:qFormat/>
    <w:rsid w:val="009f4a11"/>
    <w:rPr>
      <w:rFonts w:ascii="Calibri" w:hAnsi="Calibri" w:asciiTheme="minorHAnsi" w:hAnsiTheme="minorHAnsi"/>
      <w:sz w:val="22"/>
      <w:szCs w:val="22"/>
      <w:lang w:val="hr-HR" w:eastAsia="en-US"/>
    </w:rPr>
  </w:style>
  <w:style w:type="character" w:styleId="Heading1Char" w:customStyle="1">
    <w:name w:val="Heading 1 Char"/>
    <w:basedOn w:val="DefaultParagraphFont"/>
    <w:link w:val="Heading1"/>
    <w:uiPriority w:val="9"/>
    <w:qFormat/>
    <w:rsid w:val="00997fc7"/>
    <w:rPr>
      <w:rFonts w:ascii="Cambria" w:hAnsi="Cambria" w:eastAsia="" w:cs="" w:asciiTheme="majorHAnsi" w:cstheme="majorBidi" w:eastAsiaTheme="majorEastAsia" w:hAnsiTheme="majorHAnsi"/>
      <w:b/>
      <w:bCs/>
      <w:color w:val="365F91" w:themeColor="accent1" w:themeShade="bf"/>
      <w:sz w:val="28"/>
      <w:szCs w:val="28"/>
      <w:lang w:val="hr-HR" w:eastAsia="en-US"/>
    </w:rPr>
  </w:style>
  <w:style w:type="character" w:styleId="ListLabel1">
    <w:name w:val="ListLabel 1"/>
    <w:qFormat/>
    <w:rPr>
      <w:rFonts w:cs="Calibri"/>
      <w:b w:val="false"/>
      <w:i w:val="false"/>
      <w:sz w:val="18"/>
      <w:szCs w:val="18"/>
    </w:rPr>
  </w:style>
  <w:style w:type="character" w:styleId="ListLabel2">
    <w:name w:val="ListLabel 2"/>
    <w:qFormat/>
    <w:rPr>
      <w:strike w:val="false"/>
      <w:dstrike w:val="false"/>
    </w:rPr>
  </w:style>
  <w:style w:type="character" w:styleId="ListLabel3">
    <w:name w:val="ListLabel 3"/>
    <w:qFormat/>
    <w:rPr>
      <w:strike w:val="false"/>
      <w:dstrike w:val="false"/>
    </w:rPr>
  </w:style>
  <w:style w:type="character" w:styleId="ListLabel4">
    <w:name w:val="ListLabel 4"/>
    <w:qFormat/>
    <w:rPr>
      <w:strike w:val="false"/>
      <w:dstrike w:val="fals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rsid w:val="009e4de7"/>
    <w:pPr>
      <w:spacing w:lineRule="auto" w:line="240"/>
      <w:jc w:val="both"/>
    </w:pPr>
    <w:rPr>
      <w:rFonts w:ascii="HRTimes" w:hAnsi="HRTimes" w:eastAsia="Times New Roman"/>
      <w:szCs w:val="20"/>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x461283" w:customStyle="1">
    <w:name w:val="box_461283"/>
    <w:basedOn w:val="Normal"/>
    <w:qFormat/>
    <w:rsid w:val="009d30d0"/>
    <w:pPr>
      <w:spacing w:lineRule="auto" w:line="240" w:beforeAutospacing="1" w:afterAutospacing="1"/>
    </w:pPr>
    <w:rPr>
      <w:rFonts w:ascii="Times New Roman" w:hAnsi="Times New Roman" w:eastAsia="Times New Roman"/>
      <w:sz w:val="24"/>
      <w:szCs w:val="24"/>
      <w:lang w:eastAsia="hr-HR"/>
    </w:rPr>
  </w:style>
  <w:style w:type="paragraph" w:styleId="BalloonText">
    <w:name w:val="Balloon Text"/>
    <w:basedOn w:val="Normal"/>
    <w:link w:val="BalloonTextChar"/>
    <w:uiPriority w:val="99"/>
    <w:semiHidden/>
    <w:unhideWhenUsed/>
    <w:qFormat/>
    <w:rsid w:val="003b473f"/>
    <w:pPr>
      <w:spacing w:lineRule="auto" w:line="240"/>
    </w:pPr>
    <w:rPr>
      <w:rFonts w:ascii="Segoe UI" w:hAnsi="Segoe UI"/>
      <w:sz w:val="18"/>
      <w:szCs w:val="18"/>
    </w:rPr>
  </w:style>
  <w:style w:type="paragraph" w:styleId="Annotationtext">
    <w:name w:val="annotation text"/>
    <w:basedOn w:val="Normal"/>
    <w:link w:val="CommentTextChar"/>
    <w:uiPriority w:val="99"/>
    <w:semiHidden/>
    <w:unhideWhenUsed/>
    <w:qFormat/>
    <w:rsid w:val="0093106b"/>
    <w:pPr>
      <w:spacing w:lineRule="auto" w:line="240"/>
    </w:pPr>
    <w:rPr>
      <w:rFonts w:ascii="Times New Roman" w:hAnsi="Times New Roman" w:eastAsia="Times New Roman"/>
      <w:bCs/>
      <w:sz w:val="20"/>
      <w:szCs w:val="20"/>
    </w:rPr>
  </w:style>
  <w:style w:type="paragraph" w:styleId="NoSpacing">
    <w:name w:val="No Spacing"/>
    <w:uiPriority w:val="1"/>
    <w:qFormat/>
    <w:rsid w:val="00065f5b"/>
    <w:pPr>
      <w:widowControl/>
      <w:bidi w:val="0"/>
      <w:jc w:val="left"/>
    </w:pPr>
    <w:rPr>
      <w:rFonts w:ascii="Calibri" w:hAnsi="Calibri" w:eastAsia="Calibri" w:cs="Times New Roman"/>
      <w:color w:val="auto"/>
      <w:kern w:val="0"/>
      <w:sz w:val="22"/>
      <w:szCs w:val="22"/>
      <w:lang w:val="hr-HR" w:eastAsia="en-US" w:bidi="ar-SA"/>
    </w:rPr>
  </w:style>
  <w:style w:type="paragraph" w:styleId="Uvlakatijelateksta">
    <w:name w:val="Body Text Indent"/>
    <w:basedOn w:val="Normal"/>
    <w:link w:val="BodyTextIndentChar"/>
    <w:uiPriority w:val="99"/>
    <w:semiHidden/>
    <w:unhideWhenUsed/>
    <w:rsid w:val="00b70a9b"/>
    <w:pPr>
      <w:spacing w:before="0" w:after="120"/>
      <w:ind w:left="283" w:hanging="0"/>
    </w:pPr>
    <w:rPr/>
  </w:style>
  <w:style w:type="paragraph" w:styleId="ListParagraph">
    <w:name w:val="List Paragraph"/>
    <w:basedOn w:val="Normal"/>
    <w:uiPriority w:val="34"/>
    <w:qFormat/>
    <w:rsid w:val="00ff04ec"/>
    <w:pPr>
      <w:spacing w:before="0" w:after="0"/>
      <w:contextualSpacing/>
    </w:pPr>
    <w:rPr/>
  </w:style>
  <w:style w:type="paragraph" w:styleId="Zaglavlje">
    <w:name w:val="Header"/>
    <w:basedOn w:val="Normal"/>
    <w:link w:val="HeaderChar"/>
    <w:uiPriority w:val="99"/>
    <w:unhideWhenUsed/>
    <w:rsid w:val="009f4a11"/>
    <w:pPr>
      <w:tabs>
        <w:tab w:val="clear" w:pos="708"/>
        <w:tab w:val="center" w:pos="4536" w:leader="none"/>
        <w:tab w:val="right" w:pos="9072" w:leader="none"/>
      </w:tabs>
      <w:spacing w:lineRule="auto" w:line="240"/>
    </w:pPr>
    <w:rPr/>
  </w:style>
  <w:style w:type="paragraph" w:styleId="Podnoje">
    <w:name w:val="Footer"/>
    <w:basedOn w:val="Normal"/>
    <w:link w:val="FooterChar"/>
    <w:uiPriority w:val="99"/>
    <w:unhideWhenUsed/>
    <w:rsid w:val="009f4a11"/>
    <w:pPr>
      <w:tabs>
        <w:tab w:val="clear" w:pos="708"/>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251d4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3B93-EDD8-4920-AE37-F6D4DE1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LibreOffice/6.1.3.2$Windows_X86_64 LibreOffice_project/86daf60bf00efa86ad547e59e09d6bb77c699acb</Application>
  <Pages>10</Pages>
  <Words>3471</Words>
  <Characters>20559</Characters>
  <CharactersWithSpaces>23814</CharactersWithSpaces>
  <Paragraphs>172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2019-11-20T17:39:00Z</dcterms:created>
  <dc:creator>Anes Durgutović</dc:creator>
  <dc:description/>
  <dc:language>hr-HR</dc:language>
  <cp:lastModifiedBy/>
  <cp:lastPrinted>2019-11-14T11:34:00Z</cp:lastPrinted>
  <dcterms:modified xsi:type="dcterms:W3CDTF">2019-11-25T12:16:06Z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