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97" w:rsidRDefault="001833E6">
      <w:pPr>
        <w:rPr>
          <w:b/>
        </w:rPr>
      </w:pPr>
      <w:r w:rsidRPr="001833E6">
        <w:rPr>
          <w:b/>
        </w:rPr>
        <w:t>Zahtjev za izdavanje koncesijskog odobrenja za obavljanje djelatnosti na pomorskom dobru</w:t>
      </w:r>
      <w:r>
        <w:rPr>
          <w:b/>
        </w:rPr>
        <w:t xml:space="preserve"> u 2017.</w:t>
      </w:r>
    </w:p>
    <w:p w:rsidR="001833E6" w:rsidRDefault="001833E6">
      <w:pPr>
        <w:rPr>
          <w:b/>
        </w:rPr>
      </w:pPr>
    </w:p>
    <w:p w:rsidR="001833E6" w:rsidRPr="001833E6" w:rsidRDefault="001833E6" w:rsidP="001833E6">
      <w:pPr>
        <w:jc w:val="both"/>
      </w:pPr>
      <w:r w:rsidRPr="001833E6">
        <w:t>Uredbom o postupku davanja koncesijskog odobrenja na pomorskom dobru (NN 36/2004, 63/2008, 133/2013, 63/2014) propisuju se djelatnosti za koje se može dati koncesijsko odobrenje, postupak davanja koncesijskog odobrenja i visina naknade za davanje koncesijskog odobrenja.</w:t>
      </w:r>
    </w:p>
    <w:p w:rsidR="001833E6" w:rsidRPr="001833E6" w:rsidRDefault="001833E6" w:rsidP="001833E6">
      <w:pPr>
        <w:jc w:val="both"/>
      </w:pPr>
    </w:p>
    <w:p w:rsidR="001833E6" w:rsidRPr="001833E6" w:rsidRDefault="001833E6" w:rsidP="001833E6">
      <w:pPr>
        <w:jc w:val="both"/>
      </w:pPr>
      <w:r w:rsidRPr="001833E6">
        <w:t>Za svaki grad/općinu na čijem području postoji pomorsko dobro osniva se Vijeće za davanje koncesijskog odobrenja. Vijeće daje koncesijsko odobrenje za obavljanje djelatnosti na pomorskom dobru, koje ne isključuju niti ograničuju opću upotrebu pomorskog dobra.</w:t>
      </w:r>
    </w:p>
    <w:p w:rsidR="001833E6" w:rsidRPr="001833E6" w:rsidRDefault="001833E6" w:rsidP="001833E6">
      <w:pPr>
        <w:jc w:val="both"/>
      </w:pPr>
    </w:p>
    <w:p w:rsidR="001833E6" w:rsidRPr="001833E6" w:rsidRDefault="001833E6" w:rsidP="001833E6">
      <w:pPr>
        <w:jc w:val="both"/>
      </w:pPr>
      <w:r w:rsidRPr="001833E6">
        <w:t xml:space="preserve">Gradonačelnik donosi godišnji plan upravljanja pomorskim dobrom za svaku godinu. Godišnji plan upravljanja pomorskim dobrom na </w:t>
      </w:r>
      <w:r>
        <w:t>području Grada Buja-Buie za 2017</w:t>
      </w:r>
      <w:r w:rsidRPr="001833E6">
        <w:t>. godinu objavljen je u „S</w:t>
      </w:r>
      <w:r>
        <w:t>lužbenim novinama Grada Buja“ 02/17</w:t>
      </w:r>
      <w:r w:rsidRPr="001833E6">
        <w:t>.</w:t>
      </w:r>
    </w:p>
    <w:p w:rsidR="001833E6" w:rsidRPr="001833E6" w:rsidRDefault="001833E6" w:rsidP="001833E6">
      <w:pPr>
        <w:jc w:val="both"/>
      </w:pPr>
    </w:p>
    <w:p w:rsidR="001833E6" w:rsidRPr="001833E6" w:rsidRDefault="001833E6" w:rsidP="001833E6">
      <w:pPr>
        <w:jc w:val="both"/>
      </w:pPr>
      <w:r w:rsidRPr="001833E6">
        <w:t>Godišnji plan upravljanja pomorskim dobrom između ostalog mora sadržavati popis djelatnosti iz Jedinstvenog popisa djelatnosti na pomorskom dobru, koje se mogu obavljati na području grada/općine koja ga donosi i mikrolokacije za obavljanje istih djelatnosti.</w:t>
      </w:r>
    </w:p>
    <w:p w:rsidR="001833E6" w:rsidRPr="001833E6" w:rsidRDefault="001833E6" w:rsidP="001833E6">
      <w:pPr>
        <w:jc w:val="both"/>
      </w:pPr>
    </w:p>
    <w:p w:rsidR="001833E6" w:rsidRDefault="001833E6" w:rsidP="001833E6">
      <w:pPr>
        <w:jc w:val="both"/>
      </w:pPr>
      <w:r w:rsidRPr="001833E6">
        <w:t xml:space="preserve"> Godišnjim planom upravljanja pomorskim dobrom na </w:t>
      </w:r>
      <w:r>
        <w:t>području Grada Buja-Buie za 2017</w:t>
      </w:r>
      <w:r w:rsidRPr="001833E6">
        <w:t>. godinu mogu se obavljati djelatnosti na mikrolokaciji na pomorskom dobru koji obuhvaća dio k.č.br. 460/69 (istočno od lučkog područja) i dio k.č.br. 460/46 sve k.o. Savudrija, kako sljedi</w:t>
      </w:r>
    </w:p>
    <w:p w:rsidR="001833E6" w:rsidRDefault="001833E6" w:rsidP="001833E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1833E6" w:rsidRPr="001833E6" w:rsidTr="005A7F41">
        <w:tc>
          <w:tcPr>
            <w:tcW w:w="8522" w:type="dxa"/>
            <w:gridSpan w:val="5"/>
            <w:shd w:val="clear" w:color="auto" w:fill="auto"/>
          </w:tcPr>
          <w:p w:rsidR="001833E6" w:rsidRPr="001833E6" w:rsidRDefault="001833E6" w:rsidP="001833E6">
            <w:pPr>
              <w:jc w:val="both"/>
              <w:rPr>
                <w:sz w:val="20"/>
                <w:szCs w:val="20"/>
              </w:rPr>
            </w:pPr>
            <w:r w:rsidRPr="001833E6">
              <w:rPr>
                <w:sz w:val="20"/>
                <w:szCs w:val="20"/>
              </w:rPr>
              <w:t>MIKROLOKACIJA U01</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R.br.</w:t>
            </w:r>
          </w:p>
        </w:tc>
        <w:tc>
          <w:tcPr>
            <w:tcW w:w="1704" w:type="dxa"/>
            <w:shd w:val="clear" w:color="auto" w:fill="auto"/>
          </w:tcPr>
          <w:p w:rsidR="001833E6" w:rsidRPr="001833E6" w:rsidRDefault="001833E6" w:rsidP="001833E6">
            <w:pPr>
              <w:jc w:val="both"/>
              <w:rPr>
                <w:sz w:val="20"/>
                <w:szCs w:val="20"/>
              </w:rPr>
            </w:pPr>
            <w:r w:rsidRPr="001833E6">
              <w:rPr>
                <w:sz w:val="20"/>
                <w:szCs w:val="20"/>
              </w:rPr>
              <w:t>Djelatnost</w:t>
            </w:r>
          </w:p>
        </w:tc>
        <w:tc>
          <w:tcPr>
            <w:tcW w:w="1704" w:type="dxa"/>
            <w:shd w:val="clear" w:color="auto" w:fill="auto"/>
          </w:tcPr>
          <w:p w:rsidR="001833E6" w:rsidRPr="001833E6" w:rsidRDefault="001833E6" w:rsidP="001833E6">
            <w:pPr>
              <w:jc w:val="both"/>
              <w:rPr>
                <w:sz w:val="20"/>
                <w:szCs w:val="20"/>
              </w:rPr>
            </w:pPr>
            <w:r w:rsidRPr="001833E6">
              <w:rPr>
                <w:sz w:val="20"/>
                <w:szCs w:val="20"/>
              </w:rPr>
              <w:t>Obračunska jedinica</w:t>
            </w:r>
          </w:p>
        </w:tc>
        <w:tc>
          <w:tcPr>
            <w:tcW w:w="1705" w:type="dxa"/>
            <w:shd w:val="clear" w:color="auto" w:fill="auto"/>
          </w:tcPr>
          <w:p w:rsidR="001833E6" w:rsidRPr="001833E6" w:rsidRDefault="001833E6" w:rsidP="001833E6">
            <w:pPr>
              <w:jc w:val="both"/>
              <w:rPr>
                <w:sz w:val="20"/>
                <w:szCs w:val="20"/>
              </w:rPr>
            </w:pPr>
            <w:r w:rsidRPr="001833E6">
              <w:rPr>
                <w:sz w:val="20"/>
                <w:szCs w:val="20"/>
              </w:rPr>
              <w:t>Mikrolokacija</w:t>
            </w:r>
          </w:p>
        </w:tc>
        <w:tc>
          <w:tcPr>
            <w:tcW w:w="1705" w:type="dxa"/>
            <w:shd w:val="clear" w:color="auto" w:fill="auto"/>
          </w:tcPr>
          <w:p w:rsidR="001833E6" w:rsidRPr="001833E6" w:rsidRDefault="001833E6" w:rsidP="001833E6">
            <w:pPr>
              <w:jc w:val="both"/>
              <w:rPr>
                <w:sz w:val="20"/>
                <w:szCs w:val="20"/>
              </w:rPr>
            </w:pPr>
            <w:r w:rsidRPr="001833E6">
              <w:rPr>
                <w:sz w:val="20"/>
                <w:szCs w:val="20"/>
              </w:rPr>
              <w:t>Rok</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1.</w:t>
            </w:r>
          </w:p>
        </w:tc>
        <w:tc>
          <w:tcPr>
            <w:tcW w:w="1704" w:type="dxa"/>
            <w:shd w:val="clear" w:color="auto" w:fill="auto"/>
          </w:tcPr>
          <w:p w:rsidR="001833E6" w:rsidRPr="001833E6" w:rsidRDefault="001833E6" w:rsidP="001833E6">
            <w:pPr>
              <w:jc w:val="both"/>
              <w:rPr>
                <w:sz w:val="20"/>
                <w:szCs w:val="20"/>
              </w:rPr>
            </w:pPr>
            <w:r w:rsidRPr="001833E6">
              <w:rPr>
                <w:sz w:val="20"/>
                <w:szCs w:val="20"/>
              </w:rPr>
              <w:t xml:space="preserve">Ležaljke </w:t>
            </w:r>
          </w:p>
          <w:p w:rsidR="001833E6" w:rsidRPr="001833E6" w:rsidRDefault="001833E6" w:rsidP="001833E6">
            <w:pPr>
              <w:jc w:val="both"/>
              <w:rPr>
                <w:sz w:val="20"/>
                <w:szCs w:val="20"/>
              </w:rPr>
            </w:pPr>
            <w:r w:rsidRPr="001833E6">
              <w:rPr>
                <w:sz w:val="20"/>
                <w:szCs w:val="20"/>
              </w:rPr>
              <w:t>–do 150 kom</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40,00 kn / kom</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U01</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2.</w:t>
            </w:r>
          </w:p>
        </w:tc>
        <w:tc>
          <w:tcPr>
            <w:tcW w:w="1704" w:type="dxa"/>
            <w:shd w:val="clear" w:color="auto" w:fill="auto"/>
          </w:tcPr>
          <w:p w:rsidR="001833E6" w:rsidRPr="001833E6" w:rsidRDefault="001833E6" w:rsidP="001833E6">
            <w:pPr>
              <w:jc w:val="both"/>
              <w:rPr>
                <w:sz w:val="20"/>
                <w:szCs w:val="20"/>
              </w:rPr>
            </w:pPr>
            <w:r w:rsidRPr="001833E6">
              <w:rPr>
                <w:sz w:val="20"/>
                <w:szCs w:val="20"/>
              </w:rPr>
              <w:t>kulturne, komercijalne, zabavne i športske priredbe</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7,00 kn / po m²/dan</w:t>
            </w:r>
          </w:p>
        </w:tc>
        <w:tc>
          <w:tcPr>
            <w:tcW w:w="1705" w:type="dxa"/>
            <w:shd w:val="clear" w:color="auto" w:fill="auto"/>
            <w:vAlign w:val="center"/>
          </w:tcPr>
          <w:p w:rsidR="001833E6" w:rsidRPr="001833E6" w:rsidRDefault="001833E6" w:rsidP="001833E6">
            <w:pPr>
              <w:jc w:val="both"/>
              <w:rPr>
                <w:sz w:val="20"/>
                <w:szCs w:val="20"/>
                <w:lang w:val="en-GB"/>
              </w:rPr>
            </w:pPr>
            <w:r w:rsidRPr="001833E6">
              <w:rPr>
                <w:sz w:val="20"/>
                <w:szCs w:val="20"/>
              </w:rPr>
              <w:t>U01</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3.</w:t>
            </w:r>
          </w:p>
        </w:tc>
        <w:tc>
          <w:tcPr>
            <w:tcW w:w="1704" w:type="dxa"/>
            <w:shd w:val="clear" w:color="auto" w:fill="auto"/>
          </w:tcPr>
          <w:p w:rsidR="001833E6" w:rsidRPr="001833E6" w:rsidRDefault="001833E6" w:rsidP="001833E6">
            <w:pPr>
              <w:jc w:val="both"/>
              <w:rPr>
                <w:sz w:val="20"/>
                <w:szCs w:val="20"/>
              </w:rPr>
            </w:pPr>
            <w:r w:rsidRPr="001833E6">
              <w:rPr>
                <w:sz w:val="20"/>
                <w:szCs w:val="20"/>
              </w:rPr>
              <w:t>snimanje komercijalnog programa i reklamiranje</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1.000,00 kn / paušal/dan</w:t>
            </w:r>
          </w:p>
        </w:tc>
        <w:tc>
          <w:tcPr>
            <w:tcW w:w="1705" w:type="dxa"/>
            <w:shd w:val="clear" w:color="auto" w:fill="auto"/>
            <w:vAlign w:val="center"/>
          </w:tcPr>
          <w:p w:rsidR="001833E6" w:rsidRPr="001833E6" w:rsidRDefault="001833E6" w:rsidP="001833E6">
            <w:pPr>
              <w:jc w:val="both"/>
              <w:rPr>
                <w:sz w:val="20"/>
                <w:szCs w:val="20"/>
                <w:lang w:val="en-GB"/>
              </w:rPr>
            </w:pPr>
            <w:r w:rsidRPr="001833E6">
              <w:rPr>
                <w:sz w:val="20"/>
                <w:szCs w:val="20"/>
              </w:rPr>
              <w:t>U01</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4.</w:t>
            </w:r>
          </w:p>
        </w:tc>
        <w:tc>
          <w:tcPr>
            <w:tcW w:w="1704" w:type="dxa"/>
            <w:shd w:val="clear" w:color="auto" w:fill="auto"/>
          </w:tcPr>
          <w:p w:rsidR="001833E6" w:rsidRPr="001833E6" w:rsidRDefault="001833E6" w:rsidP="001833E6">
            <w:pPr>
              <w:jc w:val="both"/>
              <w:rPr>
                <w:sz w:val="20"/>
                <w:szCs w:val="20"/>
              </w:rPr>
            </w:pPr>
            <w:r w:rsidRPr="001833E6">
              <w:rPr>
                <w:sz w:val="20"/>
                <w:szCs w:val="20"/>
              </w:rPr>
              <w:t>slikanje, fotografiranje</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700,00 kn / paušal</w:t>
            </w:r>
          </w:p>
        </w:tc>
        <w:tc>
          <w:tcPr>
            <w:tcW w:w="1705" w:type="dxa"/>
            <w:shd w:val="clear" w:color="auto" w:fill="auto"/>
            <w:vAlign w:val="center"/>
          </w:tcPr>
          <w:p w:rsidR="001833E6" w:rsidRPr="001833E6" w:rsidRDefault="001833E6" w:rsidP="001833E6">
            <w:pPr>
              <w:jc w:val="both"/>
              <w:rPr>
                <w:sz w:val="20"/>
                <w:szCs w:val="20"/>
                <w:lang w:val="en-GB"/>
              </w:rPr>
            </w:pPr>
            <w:r w:rsidRPr="001833E6">
              <w:rPr>
                <w:sz w:val="20"/>
                <w:szCs w:val="20"/>
              </w:rPr>
              <w:t>U01</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5.</w:t>
            </w:r>
          </w:p>
        </w:tc>
        <w:tc>
          <w:tcPr>
            <w:tcW w:w="1704" w:type="dxa"/>
            <w:shd w:val="clear" w:color="auto" w:fill="auto"/>
          </w:tcPr>
          <w:p w:rsidR="001833E6" w:rsidRPr="001833E6" w:rsidRDefault="001833E6" w:rsidP="001833E6">
            <w:pPr>
              <w:jc w:val="both"/>
              <w:rPr>
                <w:sz w:val="20"/>
                <w:szCs w:val="20"/>
              </w:rPr>
            </w:pPr>
            <w:r w:rsidRPr="001833E6">
              <w:rPr>
                <w:sz w:val="20"/>
                <w:szCs w:val="20"/>
              </w:rPr>
              <w:t>kiosk, prikolice i montažni objekti do 12 m2</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15.000,00 kn / paušal</w:t>
            </w:r>
          </w:p>
        </w:tc>
        <w:tc>
          <w:tcPr>
            <w:tcW w:w="1705" w:type="dxa"/>
            <w:shd w:val="clear" w:color="auto" w:fill="auto"/>
            <w:vAlign w:val="center"/>
          </w:tcPr>
          <w:p w:rsidR="001833E6" w:rsidRPr="001833E6" w:rsidRDefault="001833E6" w:rsidP="001833E6">
            <w:pPr>
              <w:rPr>
                <w:sz w:val="20"/>
                <w:szCs w:val="20"/>
              </w:rPr>
            </w:pPr>
            <w:r w:rsidRPr="001833E6">
              <w:rPr>
                <w:sz w:val="20"/>
                <w:szCs w:val="20"/>
              </w:rPr>
              <w:t>U01</w:t>
            </w:r>
          </w:p>
          <w:p w:rsidR="001833E6" w:rsidRPr="001833E6" w:rsidRDefault="001833E6" w:rsidP="001833E6">
            <w:pPr>
              <w:rPr>
                <w:sz w:val="20"/>
                <w:szCs w:val="20"/>
              </w:rPr>
            </w:pPr>
            <w:r w:rsidRPr="001833E6">
              <w:rPr>
                <w:sz w:val="20"/>
                <w:szCs w:val="20"/>
              </w:rPr>
              <w:t>lokacija na kojoj se nalazi postojeća betonirana terasa</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r w:rsidR="001833E6" w:rsidRPr="001833E6" w:rsidTr="005A7F41">
        <w:tc>
          <w:tcPr>
            <w:tcW w:w="1704" w:type="dxa"/>
            <w:shd w:val="clear" w:color="auto" w:fill="auto"/>
          </w:tcPr>
          <w:p w:rsidR="001833E6" w:rsidRPr="001833E6" w:rsidRDefault="001833E6" w:rsidP="001833E6">
            <w:pPr>
              <w:jc w:val="both"/>
              <w:rPr>
                <w:sz w:val="20"/>
                <w:szCs w:val="20"/>
              </w:rPr>
            </w:pPr>
            <w:r w:rsidRPr="001833E6">
              <w:rPr>
                <w:sz w:val="20"/>
                <w:szCs w:val="20"/>
              </w:rPr>
              <w:t>6.</w:t>
            </w:r>
          </w:p>
        </w:tc>
        <w:tc>
          <w:tcPr>
            <w:tcW w:w="1704" w:type="dxa"/>
            <w:shd w:val="clear" w:color="auto" w:fill="auto"/>
          </w:tcPr>
          <w:p w:rsidR="001833E6" w:rsidRPr="001833E6" w:rsidRDefault="001833E6" w:rsidP="001833E6">
            <w:pPr>
              <w:jc w:val="both"/>
              <w:rPr>
                <w:sz w:val="20"/>
                <w:szCs w:val="20"/>
              </w:rPr>
            </w:pPr>
            <w:r w:rsidRPr="001833E6">
              <w:rPr>
                <w:sz w:val="20"/>
                <w:szCs w:val="20"/>
              </w:rPr>
              <w:t>pripadajuća terasa objekta</w:t>
            </w:r>
          </w:p>
        </w:tc>
        <w:tc>
          <w:tcPr>
            <w:tcW w:w="1704" w:type="dxa"/>
            <w:shd w:val="clear" w:color="auto" w:fill="auto"/>
            <w:vAlign w:val="center"/>
          </w:tcPr>
          <w:p w:rsidR="001833E6" w:rsidRPr="001833E6" w:rsidRDefault="001833E6" w:rsidP="001833E6">
            <w:pPr>
              <w:jc w:val="both"/>
              <w:rPr>
                <w:sz w:val="20"/>
                <w:szCs w:val="20"/>
              </w:rPr>
            </w:pPr>
            <w:r w:rsidRPr="001833E6">
              <w:rPr>
                <w:sz w:val="20"/>
                <w:szCs w:val="20"/>
              </w:rPr>
              <w:t>600,00 kn / m2</w:t>
            </w:r>
          </w:p>
        </w:tc>
        <w:tc>
          <w:tcPr>
            <w:tcW w:w="1705" w:type="dxa"/>
            <w:shd w:val="clear" w:color="auto" w:fill="auto"/>
            <w:vAlign w:val="center"/>
          </w:tcPr>
          <w:p w:rsidR="001833E6" w:rsidRPr="001833E6" w:rsidRDefault="001833E6" w:rsidP="001833E6">
            <w:pPr>
              <w:rPr>
                <w:sz w:val="20"/>
                <w:szCs w:val="20"/>
              </w:rPr>
            </w:pPr>
            <w:r w:rsidRPr="001833E6">
              <w:rPr>
                <w:sz w:val="20"/>
                <w:szCs w:val="20"/>
              </w:rPr>
              <w:t>U01</w:t>
            </w:r>
          </w:p>
          <w:p w:rsidR="001833E6" w:rsidRPr="001833E6" w:rsidRDefault="001833E6" w:rsidP="001833E6">
            <w:pPr>
              <w:rPr>
                <w:sz w:val="20"/>
                <w:szCs w:val="20"/>
              </w:rPr>
            </w:pPr>
            <w:r w:rsidRPr="001833E6">
              <w:rPr>
                <w:sz w:val="20"/>
                <w:szCs w:val="20"/>
              </w:rPr>
              <w:t>lokacija na kojoj se nalazi postojeća betonirana terasa</w:t>
            </w:r>
          </w:p>
        </w:tc>
        <w:tc>
          <w:tcPr>
            <w:tcW w:w="1705" w:type="dxa"/>
            <w:shd w:val="clear" w:color="auto" w:fill="auto"/>
            <w:vAlign w:val="center"/>
          </w:tcPr>
          <w:p w:rsidR="001833E6" w:rsidRPr="001833E6" w:rsidRDefault="001833E6" w:rsidP="001833E6">
            <w:pPr>
              <w:jc w:val="both"/>
              <w:rPr>
                <w:sz w:val="20"/>
                <w:szCs w:val="20"/>
              </w:rPr>
            </w:pPr>
            <w:r w:rsidRPr="001833E6">
              <w:rPr>
                <w:sz w:val="20"/>
                <w:szCs w:val="20"/>
              </w:rPr>
              <w:t>31.12.2017.</w:t>
            </w:r>
          </w:p>
        </w:tc>
      </w:tr>
    </w:tbl>
    <w:p w:rsidR="001833E6" w:rsidRDefault="001833E6" w:rsidP="001833E6">
      <w:pPr>
        <w:jc w:val="both"/>
        <w:rPr>
          <w:sz w:val="22"/>
          <w:szCs w:val="22"/>
        </w:rPr>
      </w:pPr>
    </w:p>
    <w:p w:rsidR="007137AB" w:rsidRDefault="007137AB" w:rsidP="001833E6">
      <w:pPr>
        <w:jc w:val="both"/>
        <w:rPr>
          <w:sz w:val="22"/>
          <w:szCs w:val="22"/>
        </w:rPr>
      </w:pPr>
    </w:p>
    <w:p w:rsidR="007137AB" w:rsidRPr="007137AB" w:rsidRDefault="007137AB" w:rsidP="007137AB">
      <w:pPr>
        <w:jc w:val="both"/>
        <w:rPr>
          <w:sz w:val="22"/>
          <w:szCs w:val="22"/>
        </w:rPr>
      </w:pPr>
      <w:r w:rsidRPr="007137AB">
        <w:rPr>
          <w:sz w:val="22"/>
          <w:szCs w:val="22"/>
        </w:rPr>
        <w:t>Vijeće za izdavanje koncesijskih odobrenja na pomorskom dobru djeluje pri Upravnom odjelu za komunalne djelatnosti Grada Buja-Buie. Koncesijsko odobrenje izdavat će se</w:t>
      </w:r>
      <w:r>
        <w:rPr>
          <w:sz w:val="22"/>
          <w:szCs w:val="22"/>
        </w:rPr>
        <w:t xml:space="preserve"> isključivo na rok do 31.12.2017</w:t>
      </w:r>
      <w:r w:rsidRPr="007137AB">
        <w:rPr>
          <w:sz w:val="22"/>
          <w:szCs w:val="22"/>
        </w:rPr>
        <w:t>, odnosno za obavljanje djelatnosti na pomorskom dobru ti</w:t>
      </w:r>
      <w:r>
        <w:rPr>
          <w:sz w:val="22"/>
          <w:szCs w:val="22"/>
        </w:rPr>
        <w:t>jekom 2017</w:t>
      </w:r>
      <w:r w:rsidRPr="007137AB">
        <w:rPr>
          <w:sz w:val="22"/>
          <w:szCs w:val="22"/>
        </w:rPr>
        <w:t>. godine.</w:t>
      </w:r>
    </w:p>
    <w:p w:rsidR="007137AB" w:rsidRPr="007137AB" w:rsidRDefault="007137AB" w:rsidP="007137AB">
      <w:pPr>
        <w:jc w:val="both"/>
        <w:rPr>
          <w:sz w:val="22"/>
          <w:szCs w:val="22"/>
        </w:rPr>
      </w:pPr>
      <w:bookmarkStart w:id="0" w:name="_GoBack"/>
      <w:bookmarkEnd w:id="0"/>
    </w:p>
    <w:p w:rsidR="007137AB" w:rsidRPr="001833E6" w:rsidRDefault="007137AB" w:rsidP="007137AB">
      <w:pPr>
        <w:jc w:val="both"/>
        <w:rPr>
          <w:sz w:val="22"/>
          <w:szCs w:val="22"/>
        </w:rPr>
      </w:pPr>
      <w:r w:rsidRPr="007137AB">
        <w:rPr>
          <w:sz w:val="22"/>
          <w:szCs w:val="22"/>
        </w:rPr>
        <w:lastRenderedPageBreak/>
        <w:t>Zahtjev za izdavanje koncesijskog odobrenja podnosi se na obrascu koji se nalazi u prilogu. Zahtjev se podnosi Vijeću putem Upravnog odjela za komunalne djelatnosti – adresa: GRAD BUJE-BUIE, Istarska 2, 52460 Buje.</w:t>
      </w:r>
    </w:p>
    <w:sectPr w:rsidR="007137AB" w:rsidRPr="00183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E6"/>
    <w:rsid w:val="001833E6"/>
    <w:rsid w:val="004E2497"/>
    <w:rsid w:val="007137AB"/>
    <w:rsid w:val="00D40E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C7"/>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40EC7"/>
    <w:pPr>
      <w:widowControl w:val="0"/>
      <w:tabs>
        <w:tab w:val="left" w:pos="709"/>
        <w:tab w:val="left" w:pos="1134"/>
      </w:tabs>
      <w:overflowPunct/>
      <w:autoSpaceDE/>
      <w:autoSpaceDN/>
      <w:adjustRightInd/>
      <w:jc w:val="center"/>
      <w:textAlignment w:val="auto"/>
    </w:pPr>
    <w:rPr>
      <w:b/>
      <w:bCs/>
      <w:sz w:val="22"/>
      <w:szCs w:val="22"/>
    </w:rPr>
  </w:style>
  <w:style w:type="character" w:customStyle="1" w:styleId="TitleChar">
    <w:name w:val="Title Char"/>
    <w:basedOn w:val="DefaultParagraphFont"/>
    <w:link w:val="Title"/>
    <w:uiPriority w:val="99"/>
    <w:rsid w:val="00D40EC7"/>
    <w:rPr>
      <w:b/>
      <w:bCs/>
    </w:rPr>
  </w:style>
  <w:style w:type="paragraph" w:styleId="ListParagraph">
    <w:name w:val="List Paragraph"/>
    <w:basedOn w:val="Normal"/>
    <w:uiPriority w:val="99"/>
    <w:qFormat/>
    <w:rsid w:val="00D40E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C7"/>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40EC7"/>
    <w:pPr>
      <w:widowControl w:val="0"/>
      <w:tabs>
        <w:tab w:val="left" w:pos="709"/>
        <w:tab w:val="left" w:pos="1134"/>
      </w:tabs>
      <w:overflowPunct/>
      <w:autoSpaceDE/>
      <w:autoSpaceDN/>
      <w:adjustRightInd/>
      <w:jc w:val="center"/>
      <w:textAlignment w:val="auto"/>
    </w:pPr>
    <w:rPr>
      <w:b/>
      <w:bCs/>
      <w:sz w:val="22"/>
      <w:szCs w:val="22"/>
    </w:rPr>
  </w:style>
  <w:style w:type="character" w:customStyle="1" w:styleId="TitleChar">
    <w:name w:val="Title Char"/>
    <w:basedOn w:val="DefaultParagraphFont"/>
    <w:link w:val="Title"/>
    <w:uiPriority w:val="99"/>
    <w:rsid w:val="00D40EC7"/>
    <w:rPr>
      <w:b/>
      <w:bCs/>
    </w:rPr>
  </w:style>
  <w:style w:type="paragraph" w:styleId="ListParagraph">
    <w:name w:val="List Paragraph"/>
    <w:basedOn w:val="Normal"/>
    <w:uiPriority w:val="99"/>
    <w:qFormat/>
    <w:rsid w:val="00D40E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4895-ADEC-44F5-9B08-AB464F0D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BUJE</dc:creator>
  <cp:lastModifiedBy>GRAD BUJE</cp:lastModifiedBy>
  <cp:revision>3</cp:revision>
  <dcterms:created xsi:type="dcterms:W3CDTF">2017-04-27T08:25:00Z</dcterms:created>
  <dcterms:modified xsi:type="dcterms:W3CDTF">2017-04-27T09:42:00Z</dcterms:modified>
</cp:coreProperties>
</file>